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95F09">
      <w:pPr>
        <w:pStyle w:val="2"/>
        <w:keepNext w:val="0"/>
        <w:keepLines w:val="0"/>
        <w:widowControl/>
        <w:suppressLineNumbers w:val="0"/>
      </w:pPr>
      <w:r>
        <w:t>股市行情走势分析与板块策略研判</w:t>
      </w:r>
    </w:p>
    <w:p w14:paraId="2911FD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：云起</w:t>
      </w:r>
    </w:p>
    <w:p w14:paraId="1D6BBD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：主要指数及行业板块技术面分析与后市展望</w:t>
      </w:r>
    </w:p>
    <w:p w14:paraId="24DBB1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：大盘整体呈下跌趋势，多数板块处于下跌中继或反弹阶段，建议谨慎操作，关注关键支撑位的抵抗与破位风险。</w:t>
      </w:r>
    </w:p>
    <w:p w14:paraId="3AAFA462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主要股指及各大行业板块的技术走势，指出上证、深证、创业板及科创50均面临下行压力，关键支撑位分别为3000点、12000点等。金融、科技、消费、能源等板块多呈现震荡或下跌中继形态，仅部分细分领域存在短期反弹机会，整体策略以防御和观察为主，警惕破位风险。</w:t>
      </w:r>
    </w:p>
    <w:p w14:paraId="0CC98F2F">
      <w:pPr>
        <w:pStyle w:val="3"/>
        <w:keepNext w:val="0"/>
        <w:keepLines w:val="0"/>
        <w:widowControl/>
        <w:suppressLineNumbers w:val="0"/>
      </w:pPr>
      <w:r>
        <w:t>主要指数走势分析</w:t>
      </w:r>
    </w:p>
    <w:p w14:paraId="46FB035E">
      <w:pPr>
        <w:pStyle w:val="4"/>
        <w:keepNext w:val="0"/>
        <w:keepLines w:val="0"/>
        <w:widowControl/>
        <w:suppressLineNumbers w:val="0"/>
      </w:pPr>
      <w:r>
        <w:t>上证指数</w:t>
      </w:r>
    </w:p>
    <w:p w14:paraId="126F87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当日收小阴线，勉强守住3800点关口 。</w:t>
      </w:r>
    </w:p>
    <w:p w14:paraId="707A63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短期预计在3800~3900点之间震荡，若跌破该区间，将进一步看跌至3000点附近 。</w:t>
      </w:r>
    </w:p>
    <w:p w14:paraId="00D274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3000点具备较强支撑，行情到达该区域后出现反弹的概率较大，但短期走势存在不确定性，不宜对当前位置抱过高期望 。</w:t>
      </w:r>
    </w:p>
    <w:p w14:paraId="3EDE74C5">
      <w:pPr>
        <w:pStyle w:val="4"/>
        <w:keepNext w:val="0"/>
        <w:keepLines w:val="0"/>
        <w:widowControl/>
        <w:suppressLineNumbers w:val="0"/>
      </w:pPr>
      <w:r>
        <w:t>深证成指</w:t>
      </w:r>
    </w:p>
    <w:p w14:paraId="489E7D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上方形成明确双顶结构，行情总体向下判断 。</w:t>
      </w:r>
    </w:p>
    <w:p w14:paraId="2A8ACE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已跌破13721点，当前横盘视为下跌中继，后市有望进一步下跌至12000点左右 。</w:t>
      </w:r>
    </w:p>
    <w:p w14:paraId="2DB6543A">
      <w:pPr>
        <w:pStyle w:val="4"/>
        <w:keepNext w:val="0"/>
        <w:keepLines w:val="0"/>
        <w:widowControl/>
        <w:suppressLineNumbers w:val="0"/>
      </w:pPr>
      <w:r>
        <w:t>创业板指</w:t>
      </w:r>
    </w:p>
    <w:p w14:paraId="148F16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在3600点下方横盘，后续看跌 。</w:t>
      </w:r>
    </w:p>
    <w:p w14:paraId="50306C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左侧存在箱体密集区，对行情有一定支撑作用，但横盘后进一步下跌概率大，重点关注3000点附近的抵抗与反弹机会 。</w:t>
      </w:r>
    </w:p>
    <w:p w14:paraId="4A67FBB1">
      <w:pPr>
        <w:pStyle w:val="4"/>
        <w:keepNext w:val="0"/>
        <w:keepLines w:val="0"/>
        <w:widowControl/>
        <w:suppressLineNumbers w:val="0"/>
      </w:pPr>
      <w:r>
        <w:t>科创50</w:t>
      </w:r>
    </w:p>
    <w:p w14:paraId="2379DF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以双顶为起点判断总体向下趋势 。</w:t>
      </w:r>
    </w:p>
    <w:p w14:paraId="21E1BA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现阶段在1670~1900点之间震荡，视为下跌中继，震荡结束后进一步下跌至1500点的可能性较大 。</w:t>
      </w:r>
    </w:p>
    <w:p w14:paraId="3544DB33">
      <w:pPr>
        <w:pStyle w:val="3"/>
        <w:keepNext w:val="0"/>
        <w:keepLines w:val="0"/>
        <w:widowControl/>
        <w:suppressLineNumbers w:val="0"/>
      </w:pPr>
      <w:r>
        <w:t>重点行业板块分析</w:t>
      </w:r>
    </w:p>
    <w:p w14:paraId="235AA270">
      <w:pPr>
        <w:pStyle w:val="4"/>
        <w:keepNext w:val="0"/>
        <w:keepLines w:val="0"/>
        <w:widowControl/>
        <w:suppressLineNumbers w:val="0"/>
      </w:pPr>
      <w:r>
        <w:t>金融板块</w:t>
      </w:r>
    </w:p>
    <w:p w14:paraId="7D9F75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：收小阴线，未能站稳1200点，后续看1680~1720点区间震荡；需站上并坐稳1720点后，方可考虑恢复看涨 。</w:t>
      </w:r>
    </w:p>
    <w:p w14:paraId="5C4DB3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：回踩2800点，目前在2895~2762点之间震荡；若能维持震荡约一周，可进一步看涨至3000点附近 。</w:t>
      </w:r>
    </w:p>
    <w:p w14:paraId="467220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银行（国有）</w:t>
      </w:r>
      <w:r>
        <w:t>：突破下方箱体，目标看至2070点左右；若未来一两周能维持在2000~2070点震荡，则有望进一步上行，但节奏较慢，时间成本较高 。</w:t>
      </w:r>
    </w:p>
    <w:p w14:paraId="0305FF66">
      <w:pPr>
        <w:pStyle w:val="4"/>
        <w:keepNext w:val="0"/>
        <w:keepLines w:val="0"/>
        <w:widowControl/>
        <w:suppressLineNumbers w:val="0"/>
      </w:pPr>
      <w:r>
        <w:t>科技板块</w:t>
      </w:r>
    </w:p>
    <w:p w14:paraId="1E829A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：大幅跳水，以上方双顶为起点，当前横盘为下跌中继；8000点附近有抵抗，随后可能向下破位，下一目标看至7000点左右 。</w:t>
      </w:r>
    </w:p>
    <w:p w14:paraId="7CF2E1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：上方呈小规模三重顶，阶梯式下跌，目标看至10000点附近，该位置可能有明显反弹 。</w:t>
      </w:r>
    </w:p>
    <w:p w14:paraId="1514F4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：在1300~1400点之间震荡，无底部特征，后市进一步下跌可能性大 。</w:t>
      </w:r>
    </w:p>
    <w:p w14:paraId="0FB3F9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：上方有明确双顶，目前在4500~5000点震荡，后市持续下跌至4000点的可能性较大 。</w:t>
      </w:r>
    </w:p>
    <w:p w14:paraId="1FB691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：受1500点支撑出现反弹，但无见底动作 。</w:t>
      </w:r>
    </w:p>
    <w:p w14:paraId="299F16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：跌破1800点，视为主跌浪中的骑形反弹及破位后回踩，后续将进一步下跌至1585点附近 。</w:t>
      </w:r>
    </w:p>
    <w:p w14:paraId="0CD811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</w:t>
      </w:r>
      <w:r>
        <w:t>：在1000~1070点波动，无明显好转迹象 。</w:t>
      </w:r>
    </w:p>
    <w:p w14:paraId="3D53EF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软件开发</w:t>
      </w:r>
      <w:r>
        <w:t>：下跌减速，但底部特征不明显，短期难以上涨 。</w:t>
      </w:r>
    </w:p>
    <w:p w14:paraId="152EF5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：下跌空间巨大，目前仍有约1/3跌幅未走完，目标看至4000点，建议远离 。</w:t>
      </w:r>
    </w:p>
    <w:p w14:paraId="3897B780">
      <w:pPr>
        <w:pStyle w:val="4"/>
        <w:keepNext w:val="0"/>
        <w:keepLines w:val="0"/>
        <w:widowControl/>
        <w:suppressLineNumbers w:val="0"/>
      </w:pPr>
      <w:r>
        <w:t>消费板块</w:t>
      </w:r>
    </w:p>
    <w:p w14:paraId="2943C7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整体策略</w:t>
      </w:r>
      <w:r>
        <w:t>：医药医疗的可操作性相对优于食品饮料；食品饮料无需过多关注 。</w:t>
      </w:r>
    </w:p>
    <w:p w14:paraId="798E28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白酒</w:t>
      </w:r>
      <w:r>
        <w:t>：仅为反弹，不具备反转条件，高点看至500点左右；当前在7月20日大阳线中点之上波动，属短期向好迹象 。</w:t>
      </w:r>
    </w:p>
    <w:p w14:paraId="4416C6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饮料乳品</w:t>
      </w:r>
      <w:r>
        <w:t>：下跌途中的反弹，下方有小规模头肩底横盘，后市高点看至800点左右 。</w:t>
      </w:r>
    </w:p>
    <w:p w14:paraId="0C843F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休闲食品</w:t>
      </w:r>
      <w:r>
        <w:t>：无好转迹象 。</w:t>
      </w:r>
    </w:p>
    <w:p w14:paraId="4074B2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调味发酵品</w:t>
      </w:r>
      <w:r>
        <w:t>：仅横盘，未下跌不代表上涨，逻辑需厘清 。</w:t>
      </w:r>
    </w:p>
    <w:p w14:paraId="742C69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医药（创新药）</w:t>
      </w:r>
      <w:r>
        <w:t>：指数表现不佳，在1000点位置停顿，存在向下破位风险，需警惕 。</w:t>
      </w:r>
    </w:p>
    <w:p w14:paraId="263D1D08">
      <w:pPr>
        <w:pStyle w:val="4"/>
        <w:keepNext w:val="0"/>
        <w:keepLines w:val="0"/>
        <w:widowControl/>
        <w:suppressLineNumbers w:val="0"/>
      </w:pPr>
      <w:r>
        <w:t>能源与资源板块</w:t>
      </w:r>
    </w:p>
    <w:p w14:paraId="2CED89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：在1736~1800点震荡，无启动信号；需在1736点之上震荡一段时间再观察，目前持续向上希望不大 。</w:t>
      </w:r>
    </w:p>
    <w:p w14:paraId="2E32D2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：在1050~1100点震荡；若未来一两周能维持在1050点之上，可考虑进一步看涨 。</w:t>
      </w:r>
    </w:p>
    <w:p w14:paraId="108B2C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：2065点支撑未破，但反弹偏弱，需等待更佳位置 。</w:t>
      </w:r>
    </w:p>
    <w:p w14:paraId="65E856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：在800~853点区间震荡，视为下跌途中横盘，后期向下破位风险更大，上行迹象不明显 。</w:t>
      </w:r>
    </w:p>
    <w:p w14:paraId="3DCA28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：在400~453点震荡，无筑底过程，短期难以上涨 。</w:t>
      </w:r>
    </w:p>
    <w:p w14:paraId="2270DF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  <w:r>
        <w:t>：区间震荡，有小规模头肩底形态，但规模小且启动信号不足，需继续观察 。</w:t>
      </w:r>
    </w:p>
    <w:p w14:paraId="3EE6A5D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：若本周能守住3460点，可看涨至3820点；若跌破上周三低点，则反弹结束，退回3000点附近 。</w:t>
      </w:r>
    </w:p>
    <w:p w14:paraId="519858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：在540~473点区间震荡（注：原文“540~4400 73”推测为识别错误，结合语境修正为具体区间或保留原意理解为无底部特征的震荡），无底部特征，仅为反弹，后期持续向下风险大 。</w:t>
      </w:r>
    </w:p>
    <w:p w14:paraId="598C086D">
      <w:pPr>
        <w:pStyle w:val="4"/>
        <w:keepNext w:val="0"/>
        <w:keepLines w:val="0"/>
        <w:widowControl/>
        <w:suppressLineNumbers w:val="0"/>
      </w:pPr>
      <w:r>
        <w:t>其他板块</w:t>
      </w:r>
    </w:p>
    <w:p w14:paraId="445173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机械设备/机器人</w:t>
      </w:r>
      <w:r>
        <w:t>：仅为反弹或下跌途中的区间震荡，维持在上周一阴线范围内，后期继续向下风险大 。</w:t>
      </w:r>
    </w:p>
    <w:p w14:paraId="4B4B26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农商建交</w:t>
      </w:r>
      <w:r>
        <w:t>：均为下跌途中的反弹，无底部基础，总体上涨潜力不大，勿将其误判为主力赛道 。</w:t>
      </w:r>
    </w:p>
    <w:p w14:paraId="79177E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军工/游戏</w:t>
      </w:r>
      <w:r>
        <w:t>：本次未作详细展开 。</w:t>
      </w:r>
    </w:p>
    <w:p w14:paraId="46480C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C73720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4FBE10"/>
    <w:multiLevelType w:val="multilevel"/>
    <w:tmpl w:val="F34FB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90679"/>
    <w:multiLevelType w:val="multilevel"/>
    <w:tmpl w:val="FFF906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07D15F8"/>
    <w:multiLevelType w:val="multilevel"/>
    <w:tmpl w:val="107D1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AC1E493"/>
    <w:multiLevelType w:val="multilevel"/>
    <w:tmpl w:val="1AC1E4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129E629"/>
    <w:multiLevelType w:val="multilevel"/>
    <w:tmpl w:val="2129E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884385F"/>
    <w:multiLevelType w:val="multilevel"/>
    <w:tmpl w:val="38843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49A1E64"/>
    <w:multiLevelType w:val="multilevel"/>
    <w:tmpl w:val="449A1E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4D5E805"/>
    <w:multiLevelType w:val="multilevel"/>
    <w:tmpl w:val="44D5E8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998AD15"/>
    <w:multiLevelType w:val="multilevel"/>
    <w:tmpl w:val="6998AD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C5DDDC2"/>
    <w:multiLevelType w:val="multilevel"/>
    <w:tmpl w:val="6C5DDD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0"/>
  </w:num>
  <w:num w:numId="5">
    <w:abstractNumId w:val="2"/>
  </w:num>
  <w:num w:numId="6">
    <w:abstractNumId w:val="5"/>
  </w:num>
  <w:num w:numId="7">
    <w:abstractNumId w:val="4"/>
  </w:num>
  <w:num w:numId="8">
    <w:abstractNumId w:val="6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F6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2026-07-28T11:23:25Z</dcterms:created>
  <dc:creator>11</dc:creator>
  <cp:lastModifiedBy>赵振宇</cp:lastModifiedBy>
  <dcterms:modified xsi:type="dcterms:W3CDTF">2026-07-28T11:23:45Z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128FAB95FCAE47859325B1E99AAFED93_12</vt:lpwstr>
  </property>
</Properties>
</file>