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5617" w14:textId="73313FA7" w:rsidR="00135FF9" w:rsidRPr="00DC4B44" w:rsidRDefault="00D73990">
      <w:pPr>
        <w:rPr>
          <w:rFonts w:ascii="Times New Roman" w:hAnsi="Times New Roman" w:cs="Times New Roman"/>
          <w:lang w:val="en-US"/>
        </w:rPr>
      </w:pPr>
      <w:r w:rsidRPr="00DC4B44">
        <w:rPr>
          <w:rFonts w:ascii="Times New Roman" w:hAnsi="Times New Roman" w:cs="Times New Roman"/>
          <w:lang w:val="en-US"/>
        </w:rPr>
        <w:t>Pricing Strategy Document</w:t>
      </w:r>
    </w:p>
    <w:p w14:paraId="6791E9E7" w14:textId="2D2B6326" w:rsidR="00D73990" w:rsidRPr="00DC4B44" w:rsidRDefault="00D73990" w:rsidP="00D73990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C4B44">
        <w:rPr>
          <w:rFonts w:ascii="Times New Roman" w:hAnsi="Times New Roman" w:cs="Times New Roman"/>
          <w:lang w:val="en-US"/>
        </w:rPr>
        <w:t>Executive Summary</w:t>
      </w:r>
    </w:p>
    <w:p w14:paraId="09EBB0D0" w14:textId="5716D35E" w:rsidR="00D73990" w:rsidRPr="00DC4B44" w:rsidRDefault="00746A5C" w:rsidP="00746A5C">
      <w:pPr>
        <w:ind w:left="360"/>
        <w:rPr>
          <w:rFonts w:ascii="Times New Roman" w:hAnsi="Times New Roman" w:cs="Times New Roman"/>
          <w:lang w:val="en-US"/>
        </w:rPr>
      </w:pPr>
      <w:r w:rsidRPr="00DC4B44">
        <w:rPr>
          <w:rFonts w:ascii="Times New Roman" w:hAnsi="Times New Roman" w:cs="Times New Roman"/>
          <w:lang w:val="en-US"/>
        </w:rPr>
        <w:t>The CFO Bot is a cloud cost estimation tool that helps businesses predict monthly expenses for running AI-powered chatbot applications. This document analyzes cost drivers and provides optimization recommendations based on data from the calculator.</w:t>
      </w:r>
    </w:p>
    <w:p w14:paraId="4C64AEB7" w14:textId="7BB49477" w:rsidR="00746A5C" w:rsidRPr="00DC4B44" w:rsidRDefault="00746A5C" w:rsidP="00746A5C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C4B44">
        <w:rPr>
          <w:rFonts w:ascii="Times New Roman" w:hAnsi="Times New Roman" w:cs="Times New Roman"/>
          <w:lang w:val="en-US"/>
        </w:rPr>
        <w:t>Cost Components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46A5C" w:rsidRPr="00DC4B44" w14:paraId="5C32E7BA" w14:textId="77777777" w:rsidTr="00DC4B44">
        <w:tc>
          <w:tcPr>
            <w:tcW w:w="3005" w:type="dxa"/>
            <w:vAlign w:val="center"/>
          </w:tcPr>
          <w:p w14:paraId="4D55F277" w14:textId="32295479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Fonts w:ascii="Times New Roman" w:hAnsi="Times New Roman" w:cs="Times New Roman"/>
                <w:color w:val="000000" w:themeColor="text1"/>
              </w:rPr>
              <w:t>Component</w:t>
            </w:r>
          </w:p>
        </w:tc>
        <w:tc>
          <w:tcPr>
            <w:tcW w:w="3005" w:type="dxa"/>
            <w:vAlign w:val="center"/>
          </w:tcPr>
          <w:p w14:paraId="7543A01C" w14:textId="769A633F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Fonts w:ascii="Times New Roman" w:hAnsi="Times New Roman" w:cs="Times New Roman"/>
                <w:color w:val="000000" w:themeColor="text1"/>
              </w:rPr>
              <w:t>Pricing Formula</w:t>
            </w:r>
          </w:p>
        </w:tc>
        <w:tc>
          <w:tcPr>
            <w:tcW w:w="3006" w:type="dxa"/>
            <w:vAlign w:val="center"/>
          </w:tcPr>
          <w:p w14:paraId="3E624D0E" w14:textId="1BDE580F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Fonts w:ascii="Times New Roman" w:hAnsi="Times New Roman" w:cs="Times New Roman"/>
                <w:color w:val="000000" w:themeColor="text1"/>
              </w:rPr>
              <w:t>Source</w:t>
            </w:r>
          </w:p>
        </w:tc>
      </w:tr>
      <w:tr w:rsidR="00746A5C" w:rsidRPr="00DC4B44" w14:paraId="1BC42986" w14:textId="77777777" w:rsidTr="00DC4B44">
        <w:tc>
          <w:tcPr>
            <w:tcW w:w="3005" w:type="dxa"/>
            <w:vAlign w:val="center"/>
          </w:tcPr>
          <w:p w14:paraId="27F0BC03" w14:textId="3BE4E7C7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Style w:val="ae"/>
                <w:rFonts w:ascii="Times New Roman" w:hAnsi="Times New Roman" w:cs="Times New Roman"/>
                <w:b w:val="0"/>
                <w:bCs w:val="0"/>
                <w:color w:val="000000" w:themeColor="text1"/>
              </w:rPr>
              <w:t>AI Inference</w:t>
            </w:r>
          </w:p>
        </w:tc>
        <w:tc>
          <w:tcPr>
            <w:tcW w:w="3005" w:type="dxa"/>
            <w:vAlign w:val="center"/>
          </w:tcPr>
          <w:p w14:paraId="59699914" w14:textId="579C9D33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Fonts w:ascii="Times New Roman" w:hAnsi="Times New Roman" w:cs="Times New Roman"/>
                <w:color w:val="000000" w:themeColor="text1"/>
              </w:rPr>
              <w:t>(Tokens / 1M) × Model Rate</w:t>
            </w:r>
          </w:p>
        </w:tc>
        <w:tc>
          <w:tcPr>
            <w:tcW w:w="3006" w:type="dxa"/>
            <w:vAlign w:val="center"/>
          </w:tcPr>
          <w:p w14:paraId="432273E0" w14:textId="2E479A8D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Fonts w:ascii="Times New Roman" w:hAnsi="Times New Roman" w:cs="Times New Roman"/>
                <w:color w:val="000000" w:themeColor="text1"/>
              </w:rPr>
              <w:t>SSOT Section 3</w:t>
            </w:r>
          </w:p>
        </w:tc>
      </w:tr>
      <w:tr w:rsidR="00746A5C" w:rsidRPr="00DC4B44" w14:paraId="4533D7CC" w14:textId="77777777" w:rsidTr="00DC4B44">
        <w:tc>
          <w:tcPr>
            <w:tcW w:w="3005" w:type="dxa"/>
            <w:vAlign w:val="center"/>
          </w:tcPr>
          <w:p w14:paraId="4F79C8A7" w14:textId="0C00D1B7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Style w:val="ae"/>
                <w:rFonts w:ascii="Times New Roman" w:hAnsi="Times New Roman" w:cs="Times New Roman"/>
                <w:b w:val="0"/>
                <w:bCs w:val="0"/>
                <w:color w:val="000000" w:themeColor="text1"/>
              </w:rPr>
              <w:t>Hosting</w:t>
            </w:r>
          </w:p>
        </w:tc>
        <w:tc>
          <w:tcPr>
            <w:tcW w:w="3005" w:type="dxa"/>
            <w:vAlign w:val="center"/>
          </w:tcPr>
          <w:p w14:paraId="0E1399BE" w14:textId="167A1FB1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Fonts w:ascii="Times New Roman" w:hAnsi="Times New Roman" w:cs="Times New Roman"/>
                <w:color w:val="000000" w:themeColor="text1"/>
              </w:rPr>
              <w:t>Fixed: $0, $5, or $10/month</w:t>
            </w:r>
          </w:p>
        </w:tc>
        <w:tc>
          <w:tcPr>
            <w:tcW w:w="3006" w:type="dxa"/>
            <w:vAlign w:val="center"/>
          </w:tcPr>
          <w:p w14:paraId="20FDD728" w14:textId="661E8458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Fonts w:ascii="Times New Roman" w:hAnsi="Times New Roman" w:cs="Times New Roman"/>
                <w:color w:val="000000" w:themeColor="text1"/>
              </w:rPr>
              <w:t>SSOT Section 4.1</w:t>
            </w:r>
          </w:p>
        </w:tc>
      </w:tr>
      <w:tr w:rsidR="00746A5C" w:rsidRPr="00DC4B44" w14:paraId="02D6806A" w14:textId="77777777" w:rsidTr="00DC4B44">
        <w:tc>
          <w:tcPr>
            <w:tcW w:w="3005" w:type="dxa"/>
            <w:vAlign w:val="center"/>
          </w:tcPr>
          <w:p w14:paraId="70EA84C6" w14:textId="3BC802E7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Style w:val="ae"/>
                <w:rFonts w:ascii="Times New Roman" w:hAnsi="Times New Roman" w:cs="Times New Roman"/>
                <w:b w:val="0"/>
                <w:bCs w:val="0"/>
                <w:color w:val="000000" w:themeColor="text1"/>
              </w:rPr>
              <w:t>Storage</w:t>
            </w:r>
          </w:p>
        </w:tc>
        <w:tc>
          <w:tcPr>
            <w:tcW w:w="3005" w:type="dxa"/>
            <w:vAlign w:val="center"/>
          </w:tcPr>
          <w:p w14:paraId="6FF48DB2" w14:textId="03243715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Fonts w:ascii="Times New Roman" w:hAnsi="Times New Roman" w:cs="Times New Roman"/>
                <w:color w:val="000000" w:themeColor="text1"/>
              </w:rPr>
              <w:t>$0.02 × GB</w:t>
            </w:r>
          </w:p>
        </w:tc>
        <w:tc>
          <w:tcPr>
            <w:tcW w:w="3006" w:type="dxa"/>
            <w:vAlign w:val="center"/>
          </w:tcPr>
          <w:p w14:paraId="13ECE9EA" w14:textId="1F61C7F8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Fonts w:ascii="Times New Roman" w:hAnsi="Times New Roman" w:cs="Times New Roman"/>
                <w:color w:val="000000" w:themeColor="text1"/>
              </w:rPr>
              <w:t>SSOT Section 4.2</w:t>
            </w:r>
          </w:p>
        </w:tc>
      </w:tr>
      <w:tr w:rsidR="00746A5C" w:rsidRPr="00DC4B44" w14:paraId="33053825" w14:textId="77777777" w:rsidTr="00DC4B44">
        <w:tc>
          <w:tcPr>
            <w:tcW w:w="3005" w:type="dxa"/>
            <w:vAlign w:val="center"/>
          </w:tcPr>
          <w:p w14:paraId="7A092424" w14:textId="05413670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Style w:val="ae"/>
                <w:rFonts w:ascii="Times New Roman" w:hAnsi="Times New Roman" w:cs="Times New Roman"/>
                <w:b w:val="0"/>
                <w:bCs w:val="0"/>
                <w:color w:val="000000" w:themeColor="text1"/>
              </w:rPr>
              <w:t>Bandwidth</w:t>
            </w:r>
          </w:p>
        </w:tc>
        <w:tc>
          <w:tcPr>
            <w:tcW w:w="3005" w:type="dxa"/>
            <w:vAlign w:val="center"/>
          </w:tcPr>
          <w:p w14:paraId="4BBC7DC7" w14:textId="31D219CA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Fonts w:ascii="Times New Roman" w:hAnsi="Times New Roman" w:cs="Times New Roman"/>
                <w:color w:val="000000" w:themeColor="text1"/>
              </w:rPr>
              <w:t>$0.05 × GB</w:t>
            </w:r>
          </w:p>
        </w:tc>
        <w:tc>
          <w:tcPr>
            <w:tcW w:w="3006" w:type="dxa"/>
            <w:vAlign w:val="center"/>
          </w:tcPr>
          <w:p w14:paraId="19322013" w14:textId="64342F93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Fonts w:ascii="Times New Roman" w:hAnsi="Times New Roman" w:cs="Times New Roman"/>
                <w:color w:val="000000" w:themeColor="text1"/>
              </w:rPr>
              <w:t>SSOT Section 4.3</w:t>
            </w:r>
          </w:p>
        </w:tc>
      </w:tr>
      <w:tr w:rsidR="00746A5C" w:rsidRPr="00DC4B44" w14:paraId="41ACA5D2" w14:textId="77777777" w:rsidTr="00DC4B44">
        <w:tc>
          <w:tcPr>
            <w:tcW w:w="3005" w:type="dxa"/>
            <w:vAlign w:val="center"/>
          </w:tcPr>
          <w:p w14:paraId="6A47A29B" w14:textId="41120866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Style w:val="ae"/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Database</w:t>
            </w:r>
          </w:p>
        </w:tc>
        <w:tc>
          <w:tcPr>
            <w:tcW w:w="3005" w:type="dxa"/>
            <w:vAlign w:val="center"/>
          </w:tcPr>
          <w:p w14:paraId="5935F2DE" w14:textId="6BD8FD67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Fonts w:ascii="Times New Roman" w:hAnsi="Times New Roman" w:cs="Times New Roman"/>
                <w:color w:val="000000" w:themeColor="text1"/>
              </w:rPr>
              <w:t>(Reads × $0.0001) + (Writes × $0.0002)</w:t>
            </w:r>
          </w:p>
        </w:tc>
        <w:tc>
          <w:tcPr>
            <w:tcW w:w="3006" w:type="dxa"/>
            <w:vAlign w:val="center"/>
          </w:tcPr>
          <w:p w14:paraId="05B31155" w14:textId="7E7E5C23" w:rsidR="00746A5C" w:rsidRPr="00DC4B44" w:rsidRDefault="00746A5C" w:rsidP="00746A5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4B44">
              <w:rPr>
                <w:rFonts w:ascii="Times New Roman" w:hAnsi="Times New Roman" w:cs="Times New Roman"/>
                <w:color w:val="000000" w:themeColor="text1"/>
              </w:rPr>
              <w:t>SSOT Section 4.4</w:t>
            </w:r>
          </w:p>
        </w:tc>
      </w:tr>
    </w:tbl>
    <w:p w14:paraId="65547C01" w14:textId="6C0A5631" w:rsidR="00746A5C" w:rsidRPr="00DC4B44" w:rsidRDefault="00746A5C" w:rsidP="00746A5C">
      <w:pPr>
        <w:rPr>
          <w:rFonts w:ascii="Times New Roman" w:hAnsi="Times New Roman" w:cs="Times New Roman"/>
          <w:lang w:val="en-US"/>
        </w:rPr>
      </w:pPr>
    </w:p>
    <w:p w14:paraId="16AF0F71" w14:textId="27285169" w:rsidR="00746A5C" w:rsidRPr="00DC4B44" w:rsidRDefault="00746A5C" w:rsidP="00746A5C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C4B44">
        <w:rPr>
          <w:rFonts w:ascii="Times New Roman" w:hAnsi="Times New Roman" w:cs="Times New Roman"/>
          <w:lang w:val="en-US"/>
        </w:rPr>
        <w:t>Cost Analysis Scenarios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284"/>
        <w:gridCol w:w="1126"/>
        <w:gridCol w:w="1229"/>
        <w:gridCol w:w="1245"/>
        <w:gridCol w:w="1190"/>
        <w:gridCol w:w="1330"/>
        <w:gridCol w:w="1252"/>
      </w:tblGrid>
      <w:tr w:rsidR="00DC4B44" w:rsidRPr="00DC4B44" w14:paraId="3F9DAD18" w14:textId="77777777" w:rsidTr="00DC4B44">
        <w:tc>
          <w:tcPr>
            <w:tcW w:w="1284" w:type="dxa"/>
          </w:tcPr>
          <w:p w14:paraId="38017E00" w14:textId="72243291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Scenario</w:t>
            </w:r>
          </w:p>
        </w:tc>
        <w:tc>
          <w:tcPr>
            <w:tcW w:w="1126" w:type="dxa"/>
          </w:tcPr>
          <w:p w14:paraId="2C4BA409" w14:textId="4BF8D8AC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Users</w:t>
            </w:r>
          </w:p>
        </w:tc>
        <w:tc>
          <w:tcPr>
            <w:tcW w:w="1229" w:type="dxa"/>
          </w:tcPr>
          <w:p w14:paraId="6CE0C588" w14:textId="79B0E3D5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Msg/Day</w:t>
            </w:r>
          </w:p>
        </w:tc>
        <w:tc>
          <w:tcPr>
            <w:tcW w:w="1245" w:type="dxa"/>
          </w:tcPr>
          <w:p w14:paraId="0606F190" w14:textId="604ADD02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Model</w:t>
            </w:r>
          </w:p>
        </w:tc>
        <w:tc>
          <w:tcPr>
            <w:tcW w:w="1190" w:type="dxa"/>
          </w:tcPr>
          <w:p w14:paraId="536DDE3A" w14:textId="6DFAC6AC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Storage</w:t>
            </w:r>
          </w:p>
        </w:tc>
        <w:tc>
          <w:tcPr>
            <w:tcW w:w="1330" w:type="dxa"/>
          </w:tcPr>
          <w:p w14:paraId="38F34AC3" w14:textId="31596B44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Bandwidth</w:t>
            </w:r>
          </w:p>
        </w:tc>
        <w:tc>
          <w:tcPr>
            <w:tcW w:w="1252" w:type="dxa"/>
          </w:tcPr>
          <w:p w14:paraId="6887DFB2" w14:textId="68F2C0D0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Total Cost</w:t>
            </w:r>
          </w:p>
        </w:tc>
      </w:tr>
      <w:tr w:rsidR="00DC4B44" w:rsidRPr="00DC4B44" w14:paraId="7D5A7898" w14:textId="77777777" w:rsidTr="00DC4B44">
        <w:tc>
          <w:tcPr>
            <w:tcW w:w="1284" w:type="dxa"/>
          </w:tcPr>
          <w:p w14:paraId="1F064E1C" w14:textId="6EDB5060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Small Startup</w:t>
            </w:r>
          </w:p>
        </w:tc>
        <w:tc>
          <w:tcPr>
            <w:tcW w:w="1126" w:type="dxa"/>
          </w:tcPr>
          <w:p w14:paraId="4FEF3A39" w14:textId="48F5B2C1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29" w:type="dxa"/>
          </w:tcPr>
          <w:p w14:paraId="2799836F" w14:textId="6F175D72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245" w:type="dxa"/>
          </w:tcPr>
          <w:p w14:paraId="47541449" w14:textId="29B60249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Lite</w:t>
            </w:r>
          </w:p>
        </w:tc>
        <w:tc>
          <w:tcPr>
            <w:tcW w:w="1190" w:type="dxa"/>
          </w:tcPr>
          <w:p w14:paraId="7F9B21FC" w14:textId="09628AAC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5 GB</w:t>
            </w:r>
          </w:p>
        </w:tc>
        <w:tc>
          <w:tcPr>
            <w:tcW w:w="1330" w:type="dxa"/>
          </w:tcPr>
          <w:p w14:paraId="7D73CF35" w14:textId="7AAC2C28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5 GB</w:t>
            </w:r>
          </w:p>
        </w:tc>
        <w:tc>
          <w:tcPr>
            <w:tcW w:w="1252" w:type="dxa"/>
          </w:tcPr>
          <w:p w14:paraId="5EE11E76" w14:textId="425AFAF2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$5.39</w:t>
            </w:r>
          </w:p>
        </w:tc>
      </w:tr>
      <w:tr w:rsidR="00DC4B44" w:rsidRPr="00DC4B44" w14:paraId="09269993" w14:textId="77777777" w:rsidTr="00DC4B44">
        <w:tc>
          <w:tcPr>
            <w:tcW w:w="1284" w:type="dxa"/>
          </w:tcPr>
          <w:p w14:paraId="12D1565C" w14:textId="4AF924B0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Growing Business</w:t>
            </w:r>
          </w:p>
        </w:tc>
        <w:tc>
          <w:tcPr>
            <w:tcW w:w="1126" w:type="dxa"/>
          </w:tcPr>
          <w:p w14:paraId="03EAB38F" w14:textId="23B86B4A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1229" w:type="dxa"/>
          </w:tcPr>
          <w:p w14:paraId="5DF727E6" w14:textId="467C38CD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245" w:type="dxa"/>
          </w:tcPr>
          <w:p w14:paraId="6DC2902C" w14:textId="5862ACF1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Standard</w:t>
            </w:r>
          </w:p>
        </w:tc>
        <w:tc>
          <w:tcPr>
            <w:tcW w:w="1190" w:type="dxa"/>
          </w:tcPr>
          <w:p w14:paraId="5C21DE38" w14:textId="6070C12D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20 GB</w:t>
            </w:r>
          </w:p>
        </w:tc>
        <w:tc>
          <w:tcPr>
            <w:tcW w:w="1330" w:type="dxa"/>
          </w:tcPr>
          <w:p w14:paraId="1A56FC50" w14:textId="28C2AF9A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20 GB</w:t>
            </w:r>
          </w:p>
        </w:tc>
        <w:tc>
          <w:tcPr>
            <w:tcW w:w="1252" w:type="dxa"/>
          </w:tcPr>
          <w:p w14:paraId="161A471B" w14:textId="4CFBF1E6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$21.40</w:t>
            </w:r>
          </w:p>
        </w:tc>
      </w:tr>
      <w:tr w:rsidR="00DC4B44" w:rsidRPr="00DC4B44" w14:paraId="085D7318" w14:textId="77777777" w:rsidTr="00DC4B44">
        <w:tc>
          <w:tcPr>
            <w:tcW w:w="1284" w:type="dxa"/>
          </w:tcPr>
          <w:p w14:paraId="28DE49D0" w14:textId="246B1CE8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Enterprise</w:t>
            </w:r>
          </w:p>
        </w:tc>
        <w:tc>
          <w:tcPr>
            <w:tcW w:w="1126" w:type="dxa"/>
          </w:tcPr>
          <w:p w14:paraId="72C266E2" w14:textId="1C15D114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5 000</w:t>
            </w:r>
          </w:p>
        </w:tc>
        <w:tc>
          <w:tcPr>
            <w:tcW w:w="1229" w:type="dxa"/>
          </w:tcPr>
          <w:p w14:paraId="26F1E064" w14:textId="4958AFA0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1245" w:type="dxa"/>
          </w:tcPr>
          <w:p w14:paraId="283A3293" w14:textId="3FDA6EA8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Pro</w:t>
            </w:r>
          </w:p>
        </w:tc>
        <w:tc>
          <w:tcPr>
            <w:tcW w:w="1190" w:type="dxa"/>
          </w:tcPr>
          <w:p w14:paraId="5BB2E780" w14:textId="01B806DA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100 GB</w:t>
            </w:r>
          </w:p>
        </w:tc>
        <w:tc>
          <w:tcPr>
            <w:tcW w:w="1330" w:type="dxa"/>
          </w:tcPr>
          <w:p w14:paraId="7967F8E1" w14:textId="655E4E84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100 GB</w:t>
            </w:r>
          </w:p>
        </w:tc>
        <w:tc>
          <w:tcPr>
            <w:tcW w:w="1252" w:type="dxa"/>
          </w:tcPr>
          <w:p w14:paraId="24C3D8B6" w14:textId="5E85434C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$</w:t>
            </w:r>
            <w:r w:rsidR="00670E0A">
              <w:rPr>
                <w:rFonts w:ascii="Times New Roman" w:hAnsi="Times New Roman" w:cs="Times New Roman"/>
                <w:lang w:val="en-US"/>
              </w:rPr>
              <w:t>912</w:t>
            </w:r>
            <w:r w:rsidRPr="00DC4B44">
              <w:rPr>
                <w:rFonts w:ascii="Times New Roman" w:hAnsi="Times New Roman" w:cs="Times New Roman"/>
                <w:lang w:val="en-US"/>
              </w:rPr>
              <w:t>.00</w:t>
            </w:r>
          </w:p>
        </w:tc>
      </w:tr>
      <w:tr w:rsidR="00DC4B44" w:rsidRPr="00DC4B44" w14:paraId="14326569" w14:textId="77777777" w:rsidTr="00DC4B44">
        <w:tc>
          <w:tcPr>
            <w:tcW w:w="1284" w:type="dxa"/>
          </w:tcPr>
          <w:p w14:paraId="0415234F" w14:textId="64AF6CDF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High Traffic</w:t>
            </w:r>
          </w:p>
        </w:tc>
        <w:tc>
          <w:tcPr>
            <w:tcW w:w="1126" w:type="dxa"/>
          </w:tcPr>
          <w:p w14:paraId="39F83B08" w14:textId="59BE2828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10 000</w:t>
            </w:r>
          </w:p>
        </w:tc>
        <w:tc>
          <w:tcPr>
            <w:tcW w:w="1229" w:type="dxa"/>
          </w:tcPr>
          <w:p w14:paraId="02FD77A1" w14:textId="12878313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1245" w:type="dxa"/>
          </w:tcPr>
          <w:p w14:paraId="50E3072C" w14:textId="5281C329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Pro</w:t>
            </w:r>
          </w:p>
        </w:tc>
        <w:tc>
          <w:tcPr>
            <w:tcW w:w="1190" w:type="dxa"/>
          </w:tcPr>
          <w:p w14:paraId="3096F8DB" w14:textId="2D244C1F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200 GB</w:t>
            </w:r>
          </w:p>
        </w:tc>
        <w:tc>
          <w:tcPr>
            <w:tcW w:w="1330" w:type="dxa"/>
          </w:tcPr>
          <w:p w14:paraId="2AD5BA2F" w14:textId="03429FBF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500 GB</w:t>
            </w:r>
          </w:p>
        </w:tc>
        <w:tc>
          <w:tcPr>
            <w:tcW w:w="1252" w:type="dxa"/>
          </w:tcPr>
          <w:p w14:paraId="645461A2" w14:textId="5B911F90" w:rsidR="00746A5C" w:rsidRPr="00DC4B44" w:rsidRDefault="00746A5C" w:rsidP="00746A5C">
            <w:pPr>
              <w:rPr>
                <w:rFonts w:ascii="Times New Roman" w:hAnsi="Times New Roman" w:cs="Times New Roman"/>
                <w:lang w:val="en-US"/>
              </w:rPr>
            </w:pPr>
            <w:r w:rsidRPr="00DC4B44">
              <w:rPr>
                <w:rFonts w:ascii="Times New Roman" w:hAnsi="Times New Roman" w:cs="Times New Roman"/>
                <w:lang w:val="en-US"/>
              </w:rPr>
              <w:t>$</w:t>
            </w:r>
            <w:r w:rsidR="00670E0A">
              <w:rPr>
                <w:rFonts w:ascii="Times New Roman" w:hAnsi="Times New Roman" w:cs="Times New Roman"/>
                <w:lang w:val="en-US"/>
              </w:rPr>
              <w:t>2734</w:t>
            </w:r>
            <w:r w:rsidRPr="00DC4B44">
              <w:rPr>
                <w:rFonts w:ascii="Times New Roman" w:hAnsi="Times New Roman" w:cs="Times New Roman"/>
                <w:lang w:val="en-US"/>
              </w:rPr>
              <w:t>.00</w:t>
            </w:r>
          </w:p>
        </w:tc>
      </w:tr>
    </w:tbl>
    <w:p w14:paraId="77628D9A" w14:textId="77777777" w:rsidR="00746A5C" w:rsidRPr="00DC4B44" w:rsidRDefault="00746A5C" w:rsidP="00746A5C">
      <w:pPr>
        <w:ind w:left="360"/>
        <w:rPr>
          <w:rFonts w:ascii="Times New Roman" w:hAnsi="Times New Roman" w:cs="Times New Roman"/>
          <w:lang w:val="en-US"/>
        </w:rPr>
      </w:pPr>
    </w:p>
    <w:p w14:paraId="0D3C5425" w14:textId="535C9DA3" w:rsidR="00746A5C" w:rsidRPr="00DC4B44" w:rsidRDefault="00DC4B44" w:rsidP="00746A5C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C4B44">
        <w:rPr>
          <w:rFonts w:ascii="Times New Roman" w:hAnsi="Times New Roman" w:cs="Times New Roman"/>
          <w:lang w:val="en-US"/>
        </w:rPr>
        <w:t>Key Findings</w:t>
      </w:r>
    </w:p>
    <w:p w14:paraId="765D51C4" w14:textId="0D5177C6" w:rsidR="00DC4B44" w:rsidRPr="00DC4B44" w:rsidRDefault="00DC4B44" w:rsidP="00DC4B44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DC4B44">
        <w:rPr>
          <w:color w:val="000000" w:themeColor="text1"/>
        </w:rPr>
        <w:t xml:space="preserve">Pro model costs </w:t>
      </w:r>
      <w:r w:rsidR="00670E0A">
        <w:rPr>
          <w:color w:val="000000" w:themeColor="text1"/>
        </w:rPr>
        <w:t xml:space="preserve">45.28 </w:t>
      </w:r>
      <w:r w:rsidRPr="00DC4B44">
        <w:rPr>
          <w:color w:val="000000" w:themeColor="text1"/>
        </w:rPr>
        <w:t>% more than Lite model for the same usage</w:t>
      </w:r>
    </w:p>
    <w:p w14:paraId="7516C98E" w14:textId="77777777" w:rsidR="00DC4B44" w:rsidRPr="00DC4B44" w:rsidRDefault="00DC4B44" w:rsidP="00DC4B44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DC4B44">
        <w:rPr>
          <w:color w:val="000000" w:themeColor="text1"/>
        </w:rPr>
        <w:t>AI inference represents the largest cost component for most scenarios</w:t>
      </w:r>
    </w:p>
    <w:p w14:paraId="063F4872" w14:textId="77777777" w:rsidR="00DC4B44" w:rsidRPr="00DC4B44" w:rsidRDefault="00DC4B44" w:rsidP="00DC4B44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DC4B44">
        <w:rPr>
          <w:color w:val="000000" w:themeColor="text1"/>
        </w:rPr>
        <w:t>Storage and bandwidth costs remain relatively small unless usage is very high</w:t>
      </w:r>
    </w:p>
    <w:p w14:paraId="180BAC25" w14:textId="77777777" w:rsidR="00DC4B44" w:rsidRPr="00DC4B44" w:rsidRDefault="00DC4B44" w:rsidP="00DC4B44">
      <w:pPr>
        <w:ind w:left="360"/>
        <w:rPr>
          <w:rFonts w:ascii="Times New Roman" w:hAnsi="Times New Roman" w:cs="Times New Roman"/>
        </w:rPr>
      </w:pPr>
    </w:p>
    <w:sectPr w:rsidR="00DC4B44" w:rsidRPr="00DC4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F2CC2"/>
    <w:multiLevelType w:val="hybridMultilevel"/>
    <w:tmpl w:val="41025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36AC1"/>
    <w:multiLevelType w:val="multilevel"/>
    <w:tmpl w:val="6B40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402E2"/>
    <w:multiLevelType w:val="hybridMultilevel"/>
    <w:tmpl w:val="B7D4D7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772555">
    <w:abstractNumId w:val="0"/>
  </w:num>
  <w:num w:numId="2" w16cid:durableId="2105876587">
    <w:abstractNumId w:val="2"/>
  </w:num>
  <w:num w:numId="3" w16cid:durableId="1487622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90"/>
    <w:rsid w:val="00135FF9"/>
    <w:rsid w:val="00162FCF"/>
    <w:rsid w:val="00670E0A"/>
    <w:rsid w:val="006B2C0C"/>
    <w:rsid w:val="00746A5C"/>
    <w:rsid w:val="00D65CC9"/>
    <w:rsid w:val="00D73990"/>
    <w:rsid w:val="00DC4B44"/>
    <w:rsid w:val="00E1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7249CD"/>
  <w15:chartTrackingRefBased/>
  <w15:docId w15:val="{B22ACBFF-AD32-854D-8DA3-2C762D74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73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7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9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9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9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9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9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9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9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9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9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9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399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46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746A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746A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3">
    <w:name w:val="Plain Table 2"/>
    <w:basedOn w:val="a1"/>
    <w:uiPriority w:val="42"/>
    <w:rsid w:val="00746A5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746A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746A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746A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746A5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1"/>
    <w:uiPriority w:val="46"/>
    <w:rsid w:val="00746A5C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746A5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e">
    <w:name w:val="Strong"/>
    <w:basedOn w:val="a0"/>
    <w:uiPriority w:val="22"/>
    <w:qFormat/>
    <w:rsid w:val="00746A5C"/>
    <w:rPr>
      <w:b/>
      <w:bCs/>
    </w:rPr>
  </w:style>
  <w:style w:type="paragraph" w:customStyle="1" w:styleId="ds-markdown-paragraph">
    <w:name w:val="ds-markdown-paragraph"/>
    <w:basedOn w:val="a"/>
    <w:rsid w:val="00DC4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DC4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183</Words>
  <Characters>916</Characters>
  <Application>Microsoft Office Word</Application>
  <DocSecurity>0</DocSecurity>
  <Lines>70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Aigerim Zhumzhumina</dc:creator>
  <cp:keywords/>
  <dc:description/>
  <cp:lastModifiedBy>Aigerim Zhumzhumina</cp:lastModifiedBy>
  <cp:revision>2</cp:revision>
  <dcterms:created xsi:type="dcterms:W3CDTF">2026-03-25T18:01:00Z</dcterms:created>
  <dcterms:modified xsi:type="dcterms:W3CDTF">2026-03-25T20:26:00Z</dcterms:modified>
</cp:coreProperties>
</file>