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4BEF" w14:textId="77777777" w:rsidR="00371401" w:rsidRDefault="00371401" w:rsidP="003714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/>
        </w:rPr>
        <w:t>23.</w:t>
      </w:r>
      <w:r>
        <w:rPr>
          <w:rFonts w:ascii="Times New Roman" w:hAnsi="Times New Roman" w:cs="Times New Roman" w:hint="eastAsia"/>
        </w:rPr>
        <w:t>模型参数</w:t>
      </w:r>
    </w:p>
    <w:tbl>
      <w:tblPr>
        <w:tblStyle w:val="12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08"/>
      </w:tblGrid>
      <w:tr w:rsidR="00371401" w14:paraId="35F8CD27" w14:textId="77777777" w:rsidTr="00371401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3603AB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3763B5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类货物运输单位费用</w:t>
            </w:r>
            <w:r>
              <w:rPr>
                <w:rFonts w:ascii="Times New Roman" w:hAnsi="Times New Roman" w:cs="Times New Roman"/>
                <w:szCs w:val="21"/>
              </w:rPr>
              <w:t xml:space="preserve"> yuan/ton*km</w:t>
            </w:r>
          </w:p>
        </w:tc>
      </w:tr>
      <w:tr w:rsidR="00371401" w14:paraId="35487EA9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E32610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ijn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3805EF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类货物需求点</w:t>
            </w:r>
            <m:oMath>
              <m:r>
                <w:rPr>
                  <w:rFonts w:ascii="Cambria Math" w:hAnsi="Cambria Math" w:cs="Times New Roman"/>
                  <w:szCs w:val="21"/>
                </w:rPr>
                <m:t>j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的需求量</w:t>
            </w:r>
            <w:r>
              <w:rPr>
                <w:rFonts w:ascii="Times New Roman" w:hAnsi="Times New Roman" w:cs="Times New Roman"/>
                <w:szCs w:val="21"/>
              </w:rPr>
              <w:t xml:space="preserve"> ton</w:t>
            </w:r>
          </w:p>
        </w:tc>
      </w:tr>
      <w:tr w:rsidR="00371401" w14:paraId="73CDBDA4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FF542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ijnk</m:t>
                    </m:r>
                  </m:sub>
                </m:sSub>
              </m:oMath>
            </m:oMathPara>
          </w:p>
          <w:p w14:paraId="7FE0B2F9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knt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3EFE07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第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类货物需求点</w:t>
            </w:r>
            <m:oMath>
              <m:r>
                <w:rPr>
                  <w:rFonts w:ascii="Cambria Math" w:hAnsi="Cambria Math" w:cs="Times New Roman"/>
                  <w:szCs w:val="21"/>
                </w:rPr>
                <m:t>j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到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物流网点的距离</w:t>
            </w:r>
            <w:r>
              <w:rPr>
                <w:rFonts w:ascii="Times New Roman" w:hAnsi="Times New Roman" w:cs="Times New Roman"/>
                <w:szCs w:val="21"/>
              </w:rPr>
              <w:t xml:space="preserve"> km</w:t>
            </w:r>
          </w:p>
          <w:p w14:paraId="0DA45140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到运输方式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的出口</w:t>
            </w:r>
            <m:oMath>
              <m:r>
                <w:rPr>
                  <w:rFonts w:ascii="Cambria Math" w:hAnsi="Cambria Math" w:cs="Times New Roman"/>
                  <w:szCs w:val="21"/>
                </w:rPr>
                <m:t>t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的距离</w:t>
            </w:r>
          </w:p>
        </w:tc>
      </w:tr>
      <w:tr w:rsidR="00371401" w14:paraId="1B029A17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F14207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ik</m:t>
                    </m:r>
                  </m:sub>
                </m:sSub>
              </m:oMath>
            </m:oMathPara>
          </w:p>
          <w:p w14:paraId="607ECD59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ik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98C21E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在物流网点备选点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建设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类型货物仓库的成本</w:t>
            </w:r>
            <w:r>
              <w:rPr>
                <w:rFonts w:ascii="Times New Roman" w:hAnsi="Times New Roman" w:cs="Times New Roman"/>
                <w:szCs w:val="21"/>
              </w:rPr>
              <w:t xml:space="preserve"> yuan</w:t>
            </w:r>
          </w:p>
          <w:p w14:paraId="2E5C0398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在物流网点备选点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建设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类型货物仓库的土地费用</w:t>
            </w:r>
          </w:p>
        </w:tc>
      </w:tr>
      <w:tr w:rsidR="00371401" w14:paraId="3E263AC9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E1CDA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AF62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类型货物仓库的容量</w:t>
            </w:r>
            <w:r>
              <w:rPr>
                <w:rFonts w:ascii="Times New Roman" w:hAnsi="Times New Roman" w:cs="Times New Roman"/>
                <w:szCs w:val="21"/>
              </w:rPr>
              <w:t xml:space="preserve"> ton</w:t>
            </w:r>
          </w:p>
        </w:tc>
      </w:tr>
      <w:tr w:rsidR="00371401" w14:paraId="4801F3ED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AA1858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r</m:t>
                </m:r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74D451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计算物流仓库建设成本的折现率</w:t>
            </w:r>
          </w:p>
        </w:tc>
      </w:tr>
      <w:tr w:rsidR="00371401" w14:paraId="3F309DD6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F7B666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1D1EB9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新建设物流仓库的使用年限</w:t>
            </w:r>
            <w:r>
              <w:rPr>
                <w:rFonts w:ascii="Times New Roman" w:hAnsi="Times New Roman" w:cs="Times New Roman"/>
                <w:szCs w:val="21"/>
              </w:rPr>
              <w:t xml:space="preserve"> year</w:t>
            </w:r>
          </w:p>
        </w:tc>
      </w:tr>
      <w:tr w:rsidR="00371401" w14:paraId="757FA02C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3F3AF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S</m:t>
                </m:r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484B5A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物流网点备选点的集合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1"/>
                </w:rPr>
                <m:t>k∈S</m:t>
              </m:r>
            </m:oMath>
          </w:p>
        </w:tc>
      </w:tr>
      <w:tr w:rsidR="00371401" w14:paraId="4EBDAC11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30A814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CD6EA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类型货物需求点集合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1"/>
                </w:rPr>
                <m:t>j∈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i</m:t>
                  </m:r>
                </m:sub>
              </m:sSub>
            </m:oMath>
          </w:p>
        </w:tc>
      </w:tr>
      <w:tr w:rsidR="00371401" w14:paraId="114EC3FF" w14:textId="77777777" w:rsidTr="00371401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7EF8F1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F</m:t>
                </m:r>
              </m:oMath>
            </m:oMathPara>
          </w:p>
          <w:p w14:paraId="6B211D8D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T</m:t>
                </m:r>
              </m:oMath>
            </m:oMathPara>
          </w:p>
          <w:p w14:paraId="7077888E" w14:textId="77777777" w:rsidR="00371401" w:rsidRDefault="00371401">
            <w:pPr>
              <w:spacing w:line="440" w:lineRule="exact"/>
              <w:ind w:firstLineChars="200" w:firstLine="48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E</m:t>
                </m:r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EA3CD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货物类型集合</w:t>
            </w:r>
            <m:oMath>
              <m:r>
                <w:rPr>
                  <w:rFonts w:ascii="Cambria Math" w:hAnsi="Cambria Math" w:cs="Times New Roman"/>
                  <w:szCs w:val="21"/>
                </w:rPr>
                <m:t>i∈F</m:t>
              </m:r>
            </m:oMath>
          </w:p>
          <w:p w14:paraId="109EBED3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运输方式集合</w:t>
            </w:r>
            <m:oMath>
              <m:r>
                <w:rPr>
                  <w:rFonts w:ascii="Cambria Math" w:hAnsi="Cambria Math" w:cs="Times New Roman"/>
                  <w:szCs w:val="21"/>
                </w:rPr>
                <m:t>n∈T</m:t>
              </m:r>
            </m:oMath>
          </w:p>
          <w:p w14:paraId="350B65D7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的出口集合</w:t>
            </w:r>
            <m:oMath>
              <m:r>
                <w:rPr>
                  <w:rFonts w:ascii="Cambria Math" w:hAnsi="Cambria Math" w:cs="Times New Roman"/>
                  <w:szCs w:val="21"/>
                </w:rPr>
                <m:t>t∈E</m:t>
              </m:r>
            </m:oMath>
          </w:p>
        </w:tc>
      </w:tr>
    </w:tbl>
    <w:p w14:paraId="15C1CDC7" w14:textId="77777777" w:rsidR="00371401" w:rsidRDefault="00371401" w:rsidP="00371401">
      <w:pPr>
        <w:spacing w:line="44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模型的决策变量如表</w:t>
      </w:r>
      <w:r>
        <w:rPr>
          <w:rFonts w:ascii="Times New Roman" w:hAnsi="Times New Roman" w:cs="Times New Roman"/>
          <w:szCs w:val="21"/>
        </w:rPr>
        <w:t>24</w:t>
      </w:r>
      <w:r>
        <w:rPr>
          <w:rFonts w:ascii="Times New Roman" w:hAnsi="Times New Roman" w:cs="Times New Roman" w:hint="eastAsia"/>
          <w:szCs w:val="21"/>
        </w:rPr>
        <w:t>所示。</w:t>
      </w:r>
    </w:p>
    <w:p w14:paraId="4700115A" w14:textId="77777777" w:rsidR="00371401" w:rsidRDefault="00371401" w:rsidP="00371401">
      <w:pPr>
        <w:spacing w:line="440" w:lineRule="exact"/>
        <w:ind w:firstLineChars="200" w:firstLine="48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/>
          <w:szCs w:val="21"/>
        </w:rPr>
        <w:t>24.</w:t>
      </w:r>
      <w:r>
        <w:rPr>
          <w:rFonts w:ascii="Times New Roman" w:hAnsi="Times New Roman" w:cs="Times New Roman" w:hint="eastAsia"/>
          <w:szCs w:val="21"/>
        </w:rPr>
        <w:t>决策变量</w:t>
      </w:r>
    </w:p>
    <w:tbl>
      <w:tblPr>
        <w:tblStyle w:val="12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308"/>
      </w:tblGrid>
      <w:tr w:rsidR="00371401" w14:paraId="2283CFBC" w14:textId="77777777" w:rsidTr="00371401"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A67D2A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C9B6F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iCs/>
                <w:szCs w:val="21"/>
              </w:rPr>
            </w:pPr>
            <w:r>
              <w:rPr>
                <w:rFonts w:ascii="Times New Roman" w:hAnsi="Times New Roman" w:cs="Times New Roman" w:hint="eastAsia"/>
                <w:iCs/>
                <w:szCs w:val="21"/>
              </w:rPr>
              <w:t>物流网点备选点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iCs/>
                <w:szCs w:val="21"/>
              </w:rPr>
              <w:t>是否被选择，</w:t>
            </w:r>
            <w:r>
              <w:rPr>
                <w:rFonts w:ascii="Times New Roman" w:hAnsi="Times New Roman" w:cs="Times New Roman"/>
                <w:iCs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iCs/>
                <w:szCs w:val="21"/>
              </w:rPr>
              <w:t>表示不被选择，</w:t>
            </w:r>
            <w:r>
              <w:rPr>
                <w:rFonts w:ascii="Times New Roman" w:hAnsi="Times New Roman" w:cs="Times New Roman"/>
                <w:iCs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iCs/>
                <w:szCs w:val="21"/>
              </w:rPr>
              <w:t>表示被选择</w:t>
            </w:r>
          </w:p>
        </w:tc>
      </w:tr>
      <w:tr w:rsidR="00371401" w14:paraId="2E461FCA" w14:textId="77777777" w:rsidTr="0037140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5340B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ijnk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A4E2E" w14:textId="77777777" w:rsidR="00371401" w:rsidRDefault="00371401">
            <w:pPr>
              <w:spacing w:line="440" w:lineRule="exact"/>
              <w:ind w:leftChars="200" w:left="480"/>
              <w:rPr>
                <w:rFonts w:ascii="Times New Roman" w:hAnsi="Times New Roman" w:cs="Times New Roman"/>
                <w:szCs w:val="21"/>
              </w:rPr>
            </w:pP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类型货物需求点</w:t>
            </w:r>
            <m:oMath>
              <m:r>
                <w:rPr>
                  <w:rFonts w:ascii="Cambria Math" w:hAnsi="Cambria Math" w:cs="Times New Roman"/>
                  <w:szCs w:val="21"/>
                </w:rPr>
                <m:t>j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是否分配给物流网点备选点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表示不被分配，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表示被分配</w:t>
            </w:r>
          </w:p>
        </w:tc>
      </w:tr>
      <w:tr w:rsidR="00371401" w14:paraId="5C15BB94" w14:textId="77777777" w:rsidTr="00371401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3E637F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ik</m:t>
                    </m:r>
                  </m:sub>
                </m:sSub>
              </m:oMath>
            </m:oMathPara>
          </w:p>
          <w:p w14:paraId="1B7BD42F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knt</m:t>
                    </m:r>
                  </m:sub>
                </m:sSub>
              </m:oMath>
            </m:oMathPara>
          </w:p>
        </w:tc>
        <w:tc>
          <w:tcPr>
            <w:tcW w:w="73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87C8C4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物流网点备选点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建设了多少个</w:t>
            </w:r>
            <m:oMath>
              <m:r>
                <w:rPr>
                  <w:rFonts w:ascii="Cambria Math" w:hAnsi="Cambria Math" w:cs="Times New Roman"/>
                  <w:szCs w:val="21"/>
                </w:rPr>
                <m:t>i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类型货物仓库</w:t>
            </w:r>
          </w:p>
          <w:p w14:paraId="0C2E022A" w14:textId="77777777" w:rsidR="00371401" w:rsidRDefault="00371401">
            <w:pPr>
              <w:spacing w:line="440" w:lineRule="exact"/>
              <w:ind w:firstLineChars="200" w:firstLine="480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网点</w:t>
            </w:r>
            <m:oMath>
              <m:r>
                <w:rPr>
                  <w:rFonts w:ascii="Cambria Math" w:hAnsi="Cambria Math" w:cs="Times New Roman"/>
                  <w:szCs w:val="21"/>
                </w:rPr>
                <m:t>k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的运输方式</w:t>
            </w:r>
            <m:oMath>
              <m:r>
                <w:rPr>
                  <w:rFonts w:ascii="Cambria Math" w:hAnsi="Cambria Math" w:cs="Times New Roman"/>
                  <w:szCs w:val="21"/>
                </w:rPr>
                <m:t>n</m:t>
              </m:r>
            </m:oMath>
            <w:r>
              <w:rPr>
                <w:rFonts w:ascii="Times New Roman" w:hAnsi="Times New Roman" w:cs="Times New Roman" w:hint="eastAsia"/>
                <w:szCs w:val="21"/>
              </w:rPr>
              <w:t>的货物是否选择出口</w:t>
            </w:r>
            <m:oMath>
              <m:r>
                <w:rPr>
                  <w:rFonts w:ascii="Cambria Math" w:hAnsi="Cambria Math" w:cs="Times New Roman"/>
                  <w:szCs w:val="21"/>
                </w:rPr>
                <m:t>t</m:t>
              </m:r>
            </m:oMath>
          </w:p>
        </w:tc>
      </w:tr>
    </w:tbl>
    <w:p w14:paraId="48CA110E" w14:textId="77777777" w:rsidR="00371401" w:rsidRDefault="00371401" w:rsidP="00371401">
      <w:pPr>
        <w:pStyle w:val="3"/>
        <w:rPr>
          <w:rFonts w:ascii="Times New Roman" w:hAnsi="Times New Roman" w:cs="Times New Roman"/>
        </w:rPr>
      </w:pPr>
      <w:bookmarkStart w:id="0" w:name="_Toc104211230"/>
      <w:r>
        <w:rPr>
          <w:rFonts w:ascii="Times New Roman" w:hAnsi="Times New Roman" w:cs="Times New Roman"/>
        </w:rPr>
        <w:t xml:space="preserve">4.2.5 </w:t>
      </w:r>
      <w:r>
        <w:rPr>
          <w:rFonts w:ascii="Times New Roman" w:hAnsi="Times New Roman" w:cs="Times New Roman" w:hint="eastAsia"/>
        </w:rPr>
        <w:t>模型建立</w:t>
      </w:r>
      <w:bookmarkEnd w:id="0"/>
    </w:p>
    <w:p w14:paraId="0AFD1C55" w14:textId="77777777" w:rsidR="00371401" w:rsidRDefault="00371401" w:rsidP="00371401">
      <w:pPr>
        <w:spacing w:line="240" w:lineRule="auto"/>
        <w:ind w:firstLineChars="200"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模型如下所示：</w:t>
      </w:r>
    </w:p>
    <w:p w14:paraId="2B349EFB" w14:textId="77777777" w:rsidR="00371401" w:rsidRDefault="00371401" w:rsidP="00371401">
      <w:pPr>
        <w:spacing w:line="240" w:lineRule="auto"/>
        <w:ind w:firstLineChars="200" w:firstLine="480"/>
        <w:rPr>
          <w:rFonts w:ascii="Times New Roman" w:hAnsi="Times New Roman" w:cs="Times New Roman"/>
          <w:szCs w:val="21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976"/>
      </w:tblGrid>
      <w:tr w:rsidR="00371401" w14:paraId="5ECB5879" w14:textId="77777777" w:rsidTr="00371401">
        <w:tc>
          <w:tcPr>
            <w:tcW w:w="7655" w:type="dxa"/>
            <w:hideMark/>
          </w:tcPr>
          <w:bookmarkStart w:id="1" w:name="_Hlk103816479"/>
          <w:p w14:paraId="1CC3BC35" w14:textId="77777777" w:rsidR="00371401" w:rsidRDefault="003714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365</m:t>
                    </m:r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i∈F</m:t>
                        </m:r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j∈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k∈S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n∈T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ijn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ijnk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ijnk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func>
              </m:oMath>
            </m:oMathPara>
          </w:p>
        </w:tc>
        <w:tc>
          <w:tcPr>
            <w:tcW w:w="839" w:type="dxa"/>
            <w:hideMark/>
          </w:tcPr>
          <w:p w14:paraId="1C17F980" w14:textId="77777777" w:rsidR="00371401" w:rsidRDefault="00371401">
            <w:pPr>
              <w:spacing w:line="720" w:lineRule="auto"/>
              <w:ind w:right="4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  <w:tr w:rsidR="00371401" w14:paraId="361D828A" w14:textId="77777777" w:rsidTr="00371401">
        <w:tc>
          <w:tcPr>
            <w:tcW w:w="7655" w:type="dxa"/>
            <w:hideMark/>
          </w:tcPr>
          <w:p w14:paraId="3A0E03E8" w14:textId="77777777" w:rsidR="00371401" w:rsidRDefault="003714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i∈F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k∈S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ik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839" w:type="dxa"/>
            <w:hideMark/>
          </w:tcPr>
          <w:p w14:paraId="46B8AEFA" w14:textId="77777777" w:rsidR="00371401" w:rsidRDefault="00371401">
            <w:pPr>
              <w:spacing w:line="720" w:lineRule="auto"/>
              <w:ind w:right="4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  <w:tr w:rsidR="00371401" w14:paraId="29DAA9C0" w14:textId="77777777" w:rsidTr="00371401">
        <w:tc>
          <w:tcPr>
            <w:tcW w:w="7655" w:type="dxa"/>
            <w:hideMark/>
          </w:tcPr>
          <w:p w14:paraId="2525BA2E" w14:textId="77777777" w:rsidR="00371401" w:rsidRDefault="003714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den>
                </m:f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i∈F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k∈S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ik</m:t>
                            </m:r>
                          </m:sub>
                        </m:sSub>
                      </m:e>
                    </m:nary>
                  </m:e>
                </m:nary>
              </m:oMath>
            </m:oMathPara>
          </w:p>
        </w:tc>
        <w:tc>
          <w:tcPr>
            <w:tcW w:w="839" w:type="dxa"/>
            <w:hideMark/>
          </w:tcPr>
          <w:p w14:paraId="33644C94" w14:textId="77777777" w:rsidR="00371401" w:rsidRDefault="00371401">
            <w:pPr>
              <w:spacing w:line="720" w:lineRule="auto"/>
              <w:ind w:right="4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</w:tr>
      <w:tr w:rsidR="00371401" w14:paraId="22763642" w14:textId="77777777" w:rsidTr="00371401">
        <w:trPr>
          <w:trHeight w:val="51"/>
        </w:trPr>
        <w:tc>
          <w:tcPr>
            <w:tcW w:w="7655" w:type="dxa"/>
            <w:hideMark/>
          </w:tcPr>
          <w:p w14:paraId="44AEF860" w14:textId="77777777" w:rsidR="00371401" w:rsidRDefault="0037140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+365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i∈F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sub>
                      <m:sup/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k∈S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n∈t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t∈E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ijn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knt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ijnk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knt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839" w:type="dxa"/>
            <w:hideMark/>
          </w:tcPr>
          <w:p w14:paraId="077B5B9C" w14:textId="77777777" w:rsidR="00371401" w:rsidRDefault="00371401">
            <w:pPr>
              <w:spacing w:line="720" w:lineRule="auto"/>
              <w:ind w:right="48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</w:tbl>
    <w:p w14:paraId="2C0C3980" w14:textId="77777777" w:rsidR="00371401" w:rsidRDefault="00371401" w:rsidP="00371401">
      <w:pPr>
        <w:spacing w:line="240" w:lineRule="auto"/>
        <w:ind w:firstLineChars="200" w:firstLine="480"/>
        <w:rPr>
          <w:rFonts w:ascii="Times New Roman" w:hAnsi="Times New Roman" w:cs="Times New Roman"/>
          <w:szCs w:val="21"/>
        </w:rPr>
      </w:pPr>
    </w:p>
    <w:p w14:paraId="6C06ADD4" w14:textId="77777777" w:rsidR="00371401" w:rsidRDefault="00371401" w:rsidP="00371401">
      <w:pPr>
        <w:spacing w:line="240" w:lineRule="auto"/>
        <w:ind w:firstLineChars="200" w:firstLine="480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m:t>s.t</m:t>
          </m:r>
        </m:oMath>
      </m:oMathPara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371401" w14:paraId="2E3DEC33" w14:textId="77777777" w:rsidTr="00371401">
        <w:tc>
          <w:tcPr>
            <w:tcW w:w="7650" w:type="dxa"/>
            <w:hideMark/>
          </w:tcPr>
          <w:p w14:paraId="57477F0C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  <w:hideMark/>
          </w:tcPr>
          <w:p w14:paraId="6CE1D1E3" w14:textId="77777777" w:rsidR="00371401" w:rsidRDefault="00371401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</w:tr>
      <w:tr w:rsidR="00371401" w14:paraId="41EB80EB" w14:textId="77777777" w:rsidTr="00371401">
        <w:trPr>
          <w:trHeight w:val="851"/>
        </w:trPr>
        <w:tc>
          <w:tcPr>
            <w:tcW w:w="7650" w:type="dxa"/>
            <w:hideMark/>
          </w:tcPr>
          <w:p w14:paraId="189B2863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k∈S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ijk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646" w:type="dxa"/>
            <w:hideMark/>
          </w:tcPr>
          <w:p w14:paraId="136918DD" w14:textId="77777777" w:rsidR="00371401" w:rsidRDefault="0037140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</w:tr>
      <w:tr w:rsidR="00371401" w14:paraId="4DF34C7C" w14:textId="77777777" w:rsidTr="00371401">
        <w:tc>
          <w:tcPr>
            <w:tcW w:w="7650" w:type="dxa"/>
            <w:hideMark/>
          </w:tcPr>
          <w:p w14:paraId="02BD9EC7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i∈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ik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≤10</m:t>
                </m:r>
              </m:oMath>
            </m:oMathPara>
          </w:p>
        </w:tc>
        <w:tc>
          <w:tcPr>
            <w:tcW w:w="646" w:type="dxa"/>
            <w:hideMark/>
          </w:tcPr>
          <w:p w14:paraId="3F80DEE2" w14:textId="77777777" w:rsidR="00371401" w:rsidRDefault="0037140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(11)</w:t>
            </w:r>
          </w:p>
        </w:tc>
      </w:tr>
      <w:tr w:rsidR="00371401" w14:paraId="699020B9" w14:textId="77777777" w:rsidTr="00371401">
        <w:tc>
          <w:tcPr>
            <w:tcW w:w="7650" w:type="dxa"/>
          </w:tcPr>
          <w:p w14:paraId="09CA0D5D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  <w:p w14:paraId="276F53DF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hideMark/>
          </w:tcPr>
          <w:p w14:paraId="74F1567E" w14:textId="77777777" w:rsidR="00371401" w:rsidRDefault="0037140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(12)</w:t>
            </w:r>
          </w:p>
        </w:tc>
      </w:tr>
      <w:tr w:rsidR="00371401" w14:paraId="7DB0B9B0" w14:textId="77777777" w:rsidTr="00371401">
        <w:tc>
          <w:tcPr>
            <w:tcW w:w="7650" w:type="dxa"/>
            <w:hideMark/>
          </w:tcPr>
          <w:p w14:paraId="59444A46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knt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46" w:type="dxa"/>
          </w:tcPr>
          <w:p w14:paraId="2BE23CF1" w14:textId="77777777" w:rsidR="00371401" w:rsidRDefault="0037140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(13)</w:t>
            </w:r>
          </w:p>
          <w:p w14:paraId="2148B767" w14:textId="77777777" w:rsidR="00371401" w:rsidRDefault="00371401">
            <w:pPr>
              <w:spacing w:line="240" w:lineRule="auto"/>
              <w:ind w:left="14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1401" w14:paraId="6D55543E" w14:textId="77777777" w:rsidTr="00371401">
        <w:tc>
          <w:tcPr>
            <w:tcW w:w="7650" w:type="dxa"/>
            <w:hideMark/>
          </w:tcPr>
          <w:p w14:paraId="7FD09BE1" w14:textId="77777777" w:rsidR="00371401" w:rsidRDefault="00371401">
            <w:pPr>
              <w:spacing w:line="240" w:lineRule="auto"/>
              <w:ind w:firstLineChars="200" w:firstLine="48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45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ijnk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ijn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6" w:type="dxa"/>
            <w:hideMark/>
          </w:tcPr>
          <w:p w14:paraId="00F90C31" w14:textId="77777777" w:rsidR="00371401" w:rsidRDefault="00371401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(14)</w:t>
            </w:r>
          </w:p>
        </w:tc>
        <w:bookmarkEnd w:id="1"/>
      </w:tr>
    </w:tbl>
    <w:p w14:paraId="6C8CCD21" w14:textId="77777777" w:rsidR="00CB36B9" w:rsidRDefault="00CB36B9"/>
    <w:sectPr w:rsidR="00CB3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C013" w14:textId="77777777" w:rsidR="00E37DE3" w:rsidRDefault="00E37DE3" w:rsidP="00371401">
      <w:pPr>
        <w:spacing w:line="240" w:lineRule="auto"/>
      </w:pPr>
      <w:r>
        <w:separator/>
      </w:r>
    </w:p>
  </w:endnote>
  <w:endnote w:type="continuationSeparator" w:id="0">
    <w:p w14:paraId="6383FE74" w14:textId="77777777" w:rsidR="00E37DE3" w:rsidRDefault="00E37DE3" w:rsidP="00371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87ED0" w14:textId="77777777" w:rsidR="00E37DE3" w:rsidRDefault="00E37DE3" w:rsidP="00371401">
      <w:pPr>
        <w:spacing w:line="240" w:lineRule="auto"/>
      </w:pPr>
      <w:r>
        <w:separator/>
      </w:r>
    </w:p>
  </w:footnote>
  <w:footnote w:type="continuationSeparator" w:id="0">
    <w:p w14:paraId="1F7CF3AD" w14:textId="77777777" w:rsidR="00E37DE3" w:rsidRDefault="00E37DE3" w:rsidP="003714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F2"/>
    <w:rsid w:val="00371401"/>
    <w:rsid w:val="004B5280"/>
    <w:rsid w:val="00A537F2"/>
    <w:rsid w:val="00CB36B9"/>
    <w:rsid w:val="00E3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85ED09E-C487-42E1-A7E7-208CB7AA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401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401"/>
    <w:pPr>
      <w:keepNext/>
      <w:keepLines/>
      <w:spacing w:before="480" w:after="360"/>
      <w:outlineLvl w:val="2"/>
    </w:pPr>
    <w:rPr>
      <w:rFonts w:cs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4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40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1401"/>
    <w:rPr>
      <w:rFonts w:eastAsia="宋体" w:cs="宋体"/>
      <w:b/>
      <w:bCs/>
      <w:sz w:val="24"/>
      <w:szCs w:val="32"/>
    </w:rPr>
  </w:style>
  <w:style w:type="table" w:customStyle="1" w:styleId="12">
    <w:name w:val="网格型12"/>
    <w:basedOn w:val="a1"/>
    <w:uiPriority w:val="39"/>
    <w:rsid w:val="0037140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uiPriority w:val="39"/>
    <w:rsid w:val="0037140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禹辰</dc:creator>
  <cp:keywords/>
  <dc:description/>
  <cp:lastModifiedBy>宋 禹辰</cp:lastModifiedBy>
  <cp:revision>2</cp:revision>
  <dcterms:created xsi:type="dcterms:W3CDTF">2022-11-02T07:17:00Z</dcterms:created>
  <dcterms:modified xsi:type="dcterms:W3CDTF">2022-11-02T07:18:00Z</dcterms:modified>
</cp:coreProperties>
</file>