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E30CC">
      <w:pPr>
        <w:pStyle w:val="4"/>
        <w:keepNext w:val="0"/>
        <w:keepLines w:val="0"/>
        <w:widowControl/>
        <w:suppressLineNumbers w:val="0"/>
        <w:spacing w:before="0" w:beforeAutospacing="0" w:line="9" w:lineRule="atLeast"/>
        <w:ind w:lef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C6D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C6D"/>
          <w:spacing w:val="0"/>
        </w:rPr>
        <w:t>字段说明</w:t>
      </w:r>
    </w:p>
    <w:tbl>
      <w:tblPr>
        <w:tblW w:w="7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"/>
        <w:gridCol w:w="2286"/>
        <w:gridCol w:w="5100"/>
      </w:tblGrid>
      <w:tr w14:paraId="4717C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bottom w:val="single" w:color="F1F4F8" w:sz="2" w:space="0"/>
            </w:tcBorders>
            <w:shd w:val="clear"/>
            <w:vAlign w:val="bottom"/>
          </w:tcPr>
          <w:p w14:paraId="61FF74AE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12529"/>
                <w:kern w:val="0"/>
                <w:sz w:val="17"/>
                <w:szCs w:val="17"/>
                <w:lang w:val="en-US" w:eastAsia="zh-CN" w:bidi="ar"/>
              </w:rPr>
              <w:t>#</w:t>
            </w:r>
          </w:p>
        </w:tc>
        <w:tc>
          <w:tcPr>
            <w:tcW w:w="2286" w:type="dxa"/>
            <w:tcBorders>
              <w:top w:val="nil"/>
              <w:bottom w:val="single" w:color="F1F4F8" w:sz="2" w:space="0"/>
            </w:tcBorders>
            <w:shd w:val="clear"/>
            <w:vAlign w:val="bottom"/>
          </w:tcPr>
          <w:p w14:paraId="24AC371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12529"/>
                <w:kern w:val="0"/>
                <w:sz w:val="17"/>
                <w:szCs w:val="17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bottom w:val="single" w:color="F1F4F8" w:sz="2" w:space="0"/>
            </w:tcBorders>
            <w:shd w:val="clear"/>
            <w:vAlign w:val="bottom"/>
          </w:tcPr>
          <w:p w14:paraId="1513F71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bCs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12529"/>
                <w:kern w:val="0"/>
                <w:sz w:val="17"/>
                <w:szCs w:val="17"/>
                <w:lang w:val="en-US" w:eastAsia="zh-CN" w:bidi="ar"/>
              </w:rPr>
              <w:t>字段含义</w:t>
            </w:r>
          </w:p>
        </w:tc>
      </w:tr>
      <w:tr w14:paraId="210E067A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CA33A7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A45EEA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股票代码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CCC194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股票代码</w:t>
            </w:r>
          </w:p>
        </w:tc>
      </w:tr>
      <w:tr w14:paraId="7EC35C87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7B34E2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82FAA7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股票名称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16A28CD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股票名称</w:t>
            </w:r>
          </w:p>
        </w:tc>
      </w:tr>
      <w:tr w14:paraId="10BE1537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AACCC3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AD03DDF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交易日期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51E9857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交易日期</w:t>
            </w:r>
          </w:p>
        </w:tc>
      </w:tr>
      <w:tr w14:paraId="10C1F387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333F67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9892CB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开盘价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F6DEE9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开盘价</w:t>
            </w:r>
          </w:p>
        </w:tc>
      </w:tr>
      <w:tr w14:paraId="73BCE7DA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A9297F7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1555C58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最高价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F7E0E49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最高价</w:t>
            </w:r>
          </w:p>
        </w:tc>
      </w:tr>
      <w:tr w14:paraId="50A25554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66A03A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1228E5F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最低价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9F855E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最低价</w:t>
            </w:r>
          </w:p>
        </w:tc>
      </w:tr>
      <w:tr w14:paraId="05573C60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D6D437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BB994D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收盘价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0B4F7E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收盘价</w:t>
            </w:r>
          </w:p>
        </w:tc>
      </w:tr>
      <w:tr w14:paraId="0D5F422F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675E5D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F14FAE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前收盘价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C6E293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前收盘价</w:t>
            </w:r>
          </w:p>
        </w:tc>
      </w:tr>
      <w:tr w14:paraId="6191EEB8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4C7664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C7F879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成交量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E449D88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成交量(股)</w:t>
            </w:r>
          </w:p>
        </w:tc>
      </w:tr>
      <w:tr w14:paraId="1BB2196F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EF78A2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752898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成交额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41CF30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成交额(元)</w:t>
            </w:r>
          </w:p>
        </w:tc>
      </w:tr>
      <w:tr w14:paraId="3357D4A0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990148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71F27D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流通市值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2E88E2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流通市值</w:t>
            </w:r>
          </w:p>
        </w:tc>
      </w:tr>
      <w:tr w14:paraId="13A95568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669BC3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07CCFEF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总市值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3F747E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总市值</w:t>
            </w:r>
          </w:p>
        </w:tc>
      </w:tr>
      <w:tr w14:paraId="5A7BCE21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DFD9998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181E9F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净利润TTM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DED21B9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该股票最近12个月的净利润</w:t>
            </w:r>
          </w:p>
        </w:tc>
      </w:tr>
      <w:tr w14:paraId="571B1585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ED9592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A7E993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现金流TTM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CF3147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该股票最近12个月的现金流</w:t>
            </w:r>
          </w:p>
        </w:tc>
      </w:tr>
      <w:tr w14:paraId="50902338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7C1D6D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D736BF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净资产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584F72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净资产</w:t>
            </w:r>
          </w:p>
        </w:tc>
      </w:tr>
      <w:tr w14:paraId="0051C1A5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A221B6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709B2B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总资产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EB96D0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总资产</w:t>
            </w:r>
          </w:p>
        </w:tc>
      </w:tr>
      <w:tr w14:paraId="4887A4CC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582F8F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4A18727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总负债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A309E7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总负债</w:t>
            </w:r>
          </w:p>
        </w:tc>
      </w:tr>
      <w:tr w14:paraId="697D220C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C5AA83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672211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净利润(当季)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0FB183F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该股票最近一个季度的净利润（与季度公告发布的累计不同)</w:t>
            </w:r>
          </w:p>
        </w:tc>
      </w:tr>
      <w:tr w14:paraId="68FA6C2B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646EEC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CC77DA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中户资金买入额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9BF63E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单位：万元，分类标准：5万～20万</w:t>
            </w:r>
          </w:p>
        </w:tc>
      </w:tr>
      <w:tr w14:paraId="1AA68CCC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E69CD07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5431DB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中户资金卖出额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9B9969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单位：万元，分类标准：5万～20万</w:t>
            </w:r>
          </w:p>
        </w:tc>
      </w:tr>
      <w:tr w14:paraId="0CDA2B72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709F5E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D00F7D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大户资金买入额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AFD659E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单位：万元，分类标准：20万～100万</w:t>
            </w:r>
          </w:p>
        </w:tc>
      </w:tr>
      <w:tr w14:paraId="07C012CE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BFBD61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0037E8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大户资金卖出额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74EF959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单位：万元，分类标准：20万～100万</w:t>
            </w:r>
          </w:p>
        </w:tc>
      </w:tr>
      <w:tr w14:paraId="74A760B6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ADA17C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5E9C9C3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散户资金买入额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84FBA3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单位：万元，分类标准：5万以下</w:t>
            </w:r>
          </w:p>
        </w:tc>
      </w:tr>
      <w:tr w14:paraId="247C1FE7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AE5DAE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AC8A903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散户资金卖出额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8517A9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单位：万元，分类标准：5万以下</w:t>
            </w:r>
          </w:p>
        </w:tc>
      </w:tr>
      <w:tr w14:paraId="727E67B1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C9189BF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0BA7C5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机构资金买入额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6304FBD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单位：万元，分类标准：成交额&gt;=100万</w:t>
            </w:r>
          </w:p>
        </w:tc>
      </w:tr>
      <w:tr w14:paraId="22EAAC3F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161DB3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BACF687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机构资金卖出额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420323E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单位：万元，分类标准：成交额&gt;=100万</w:t>
            </w:r>
          </w:p>
        </w:tc>
      </w:tr>
      <w:tr w14:paraId="4DC6B687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FF78A93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81D227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沪深300成分股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17A0453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股票当天是否是沪深300成分股，如果是则数值为"Y"，否则为空</w:t>
            </w:r>
          </w:p>
        </w:tc>
      </w:tr>
      <w:tr w14:paraId="0531A993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BCEE6C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9FD50C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上证50成分股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E1CF727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股票当天是否是上证50成分股，如果是则数值为"Y"，否则为空</w:t>
            </w:r>
          </w:p>
        </w:tc>
      </w:tr>
      <w:tr w14:paraId="4E4715C1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5C00B4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58E2A73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中证500成分股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A247CEE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股票当天是否是中证500成分股，如果是则数值为"Y"，否则为空</w:t>
            </w:r>
          </w:p>
        </w:tc>
      </w:tr>
      <w:tr w14:paraId="5D0A0741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368313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08F6F99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中证1000成分股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A8950E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股票当天是否是中证1000成分股，如果是则数值为"Y"，否则为空</w:t>
            </w:r>
          </w:p>
        </w:tc>
      </w:tr>
      <w:tr w14:paraId="5041A84E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34E53AF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6ACFDDD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中证2000成分股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21D3E42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股票当天是否是中证2000成分股，如果是则数值为"Y"，否则为空</w:t>
            </w:r>
          </w:p>
        </w:tc>
      </w:tr>
      <w:tr w14:paraId="2B9ADDD1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477554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59112A9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创业板指成分股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3C6F5CF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股票当天是否是创业板指成分股，如果是则数值为"Y"，否则为空</w:t>
            </w:r>
          </w:p>
        </w:tc>
      </w:tr>
      <w:tr w14:paraId="798D7F78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56EB65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CAB7F8B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新版申万一级行业名称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F3251F8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申万行业分类，包含11年版本14版本新版</w:t>
            </w:r>
          </w:p>
        </w:tc>
      </w:tr>
      <w:tr w14:paraId="3AA353AD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72ECB5C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85CEF80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新版申万二级行业名称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3E1B9295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申万行业分类，包含11年版本14版本新版</w:t>
            </w:r>
          </w:p>
        </w:tc>
      </w:tr>
      <w:tr w14:paraId="24544096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252EE0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1E54AA84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新版申万三级行业名称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7FCDA42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申万行业分类，包含11年版本14版本新版</w:t>
            </w:r>
          </w:p>
        </w:tc>
      </w:tr>
      <w:tr w14:paraId="270E8E64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CF4794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290B7E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09:35收盘价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2793966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当天09:35的价格</w:t>
            </w:r>
          </w:p>
        </w:tc>
      </w:tr>
      <w:tr w14:paraId="1DF297BA">
        <w:tblPrEx>
          <w:tblBorders>
            <w:top w:val="none" w:color="auto" w:sz="0" w:space="0"/>
            <w:left w:val="none" w:color="auto" w:sz="0" w:space="0"/>
            <w:bottom w:val="single" w:color="F1F4F8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1F58C0A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D33BA3E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09:45收盘价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5296DC06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当天09:45的价格</w:t>
            </w:r>
          </w:p>
        </w:tc>
      </w:tr>
      <w:tr w14:paraId="1A18B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6D23EA1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0D9A7DED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09:55收盘价</w:t>
            </w:r>
          </w:p>
        </w:tc>
        <w:tc>
          <w:tcPr>
            <w:tcW w:w="0" w:type="auto"/>
            <w:tcBorders>
              <w:top w:val="nil"/>
            </w:tcBorders>
            <w:shd w:val="clear"/>
            <w:vAlign w:val="center"/>
          </w:tcPr>
          <w:p w14:paraId="40383728">
            <w:pPr>
              <w:keepNext w:val="0"/>
              <w:keepLines w:val="0"/>
              <w:widowControl/>
              <w:suppressLineNumbers w:val="0"/>
              <w:wordWrap w:val="0"/>
              <w:jc w:val="left"/>
              <w:textAlignment w:val="center"/>
              <w:rPr>
                <w:rFonts w:hint="eastAsia" w:ascii="微软雅黑" w:hAnsi="微软雅黑" w:eastAsia="微软雅黑" w:cs="微软雅黑"/>
                <w:color w:val="212529"/>
                <w:sz w:val="17"/>
                <w:szCs w:val="17"/>
              </w:rPr>
            </w:pPr>
            <w:r>
              <w:rPr>
                <w:rFonts w:hint="eastAsia" w:ascii="微软雅黑" w:hAnsi="微软雅黑" w:eastAsia="微软雅黑" w:cs="微软雅黑"/>
                <w:color w:val="212529"/>
                <w:kern w:val="0"/>
                <w:sz w:val="17"/>
                <w:szCs w:val="17"/>
                <w:lang w:val="en-US" w:eastAsia="zh-CN" w:bidi="ar"/>
              </w:rPr>
              <w:t>当天09:55的价格</w:t>
            </w:r>
          </w:p>
        </w:tc>
      </w:tr>
    </w:tbl>
    <w:p w14:paraId="7A6260B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F5280"/>
    <w:rsid w:val="02CF0D82"/>
    <w:rsid w:val="280D35D5"/>
    <w:rsid w:val="2CFA1B0C"/>
    <w:rsid w:val="3EE672A6"/>
    <w:rsid w:val="477B6C50"/>
    <w:rsid w:val="4C303917"/>
    <w:rsid w:val="5E0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方正仿宋_GBK" w:cs="Times New Roman"/>
      <w:kern w:val="2"/>
      <w:sz w:val="32"/>
      <w:szCs w:val="22"/>
      <w:lang w:val="en-US" w:eastAsia="zh-CN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2025-06-25T00:45:00Z</dcterms:created>
  <dc:creator>毛子豪</dc:creator>
  <cp:lastModifiedBy>毛子豪</cp:lastModifiedBy>
  <dcterms:modified xsi:type="dcterms:W3CDTF">2025-06-25T00:45:35Z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AE10BAA7A2FE4E3D81A9AD0E4CC89CBC_11</vt:lpwstr>
  </property>
  <property fmtid="{D5CDD505-2E9C-101B-9397-08002B2CF9AE}" pid="4" name="KSOTemplateDocerSaveRecord">
    <vt:lpwstr>eyJoZGlkIjoiMmI4ZGE0YjM1MTY1ZjY3NjU0OGQ4YTVmZTAyOTQxY2UiLCJ1c2VySWQiOiIzNjc2OTU4NzMifQ==</vt:lpwstr>
  </property>
</Properties>
</file>