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sz w:val="44"/>
          <w:szCs w:val="44"/>
        </w:rPr>
        <w:t xml:space="preserve">Wherehouse 프로젝트</w:t>
      </w:r>
    </w:p>
    <w:p>
      <w:pPr>
        <w:spacing w:after="200"/>
        <w:jc w:val="center"/>
      </w:pPr>
      <w:r>
        <w:rPr>
          <w:rFonts w:ascii="Arial" w:cs="Arial" w:eastAsia="Arial" w:hAnsi="Arial"/>
          <w:b/>
          <w:bCs/>
          <w:sz w:val="36"/>
          <w:szCs w:val="36"/>
        </w:rPr>
        <w:t xml:space="preserve">OOM 병목 측정 2차 테스트 결과 보고서</w:t>
      </w:r>
    </w:p>
    <w:p>
      <w:pPr>
        <w:spacing w:after="200"/>
        <w:jc w:val="center"/>
      </w:pPr>
      <w:r>
        <w:rPr>
          <w:rFonts w:ascii="Arial" w:cs="Arial" w:eastAsia="Arial" w:hAnsi="Arial"/>
          <w:color w:val="2E75B6"/>
          <w:sz w:val="28"/>
          <w:szCs w:val="28"/>
        </w:rPr>
        <w:t xml:space="preserve">Slice 기반 청크 처리 적용</w:t>
      </w:r>
    </w:p>
    <w:p>
      <w:pPr>
        <w:spacing w:after="600"/>
        <w:jc w:val="center"/>
      </w:pPr>
      <w:r>
        <w:rPr>
          <w:rFonts w:ascii="Arial" w:cs="Arial" w:eastAsia="Arial" w:hAnsi="Arial"/>
          <w:color w:val="666666"/>
          <w:sz w:val="24"/>
          <w:szCs w:val="24"/>
        </w:rPr>
        <w:t xml:space="preserve">병목 ID: 2.2.1 Application &amp; Memory</w:t>
      </w:r>
    </w:p>
    <w:p>
      <w:pPr>
        <w:spacing w:after="400"/>
        <w:jc w:val="right"/>
      </w:pPr>
      <w:r>
        <w:rPr>
          <w:rFonts w:ascii="Arial" w:cs="Arial" w:eastAsia="Arial" w:hAnsi="Arial"/>
          <w:sz w:val="22"/>
          <w:szCs w:val="22"/>
        </w:rPr>
        <w:t xml:space="preserve">작성일: 2026년 1월 31일</w:t>
      </w:r>
    </w:p>
    <w:p>
      <w:pPr>
        <w:pStyle w:val="Heading1"/>
      </w:pPr>
      <w:r>
        <w:t xml:space="preserve">1. 문서 개요</w:t>
      </w:r>
    </w:p>
    <w:p>
      <w:pPr>
        <w:spacing w:after="200"/>
      </w:pPr>
      <w:r>
        <w:rPr>
          <w:rFonts w:ascii="Arial" w:cs="Arial" w:eastAsia="Arial" w:hAnsi="Arial"/>
          <w:sz w:val="22"/>
          <w:szCs w:val="22"/>
        </w:rPr>
        <w:t xml:space="preserve">본 문서는 1차 테스트에서 확인된 OOM 병목에 대한 개선안(Slice 기반 청크 처리)을 적용한 2차 테스트 결과를 기록한다. 1차 테스트의 findAll() 방식과 2차 테스트의 Slice 페이징 방식을 동일 환경에서 비교 분석하여 개선 효과를 정량적으로 검증한다.</w:t>
      </w:r>
    </w:p>
    <w:p>
      <w:pPr>
        <w:pStyle w:val="Heading1"/>
      </w:pPr>
      <w:r>
        <w:t xml:space="preserve">2. 테스트 환경</w:t>
      </w:r>
    </w:p>
    <w:p>
      <w:pPr>
        <w:pStyle w:val="Heading2"/>
      </w:pPr>
      <w:r>
        <w:t xml:space="preserve">2.1 JVM 설정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항목</w:t>
            </w:r>
          </w:p>
        </w:tc>
        <w:tc>
          <w:tcPr>
            <w:tcW w:type="dxa" w:w="30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설정값</w:t>
            </w:r>
          </w:p>
        </w:tc>
        <w:tc>
          <w:tcPr>
            <w:tcW w:type="dxa" w:w="336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비고</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Maximum Heap (-Xmx)</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256 MB</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1차 테스트와 동일</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Java Version</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OpenJDK 17.0.11</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w:t>
            </w:r>
          </w:p>
        </w:tc>
      </w:tr>
    </w:tbl>
    <w:p>
      <w:pPr>
        <w:pStyle w:val="Heading2"/>
        <w:spacing w:before="300"/>
      </w:pPr>
      <w:r>
        <w:t xml:space="preserve">2.2 청크 설정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항목</w:t>
            </w:r>
          </w:p>
        </w:tc>
        <w:tc>
          <w:tcPr>
            <w:tcW w:type="dxa" w:w="268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설정값</w:t>
            </w:r>
          </w:p>
        </w:tc>
        <w:tc>
          <w:tcPr>
            <w:tcW w:type="dxa" w:w="268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비고</w:t>
            </w:r>
          </w:p>
        </w:tc>
      </w:tr>
      <w:tr>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청크 크기 (CHUNK_SIZE)</w:t>
            </w:r>
          </w:p>
        </w:tc>
        <w:tc>
          <w:tcPr>
            <w:tcW w:type="dxa" w:w="2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10,000건</w:t>
            </w:r>
          </w:p>
        </w:tc>
        <w:tc>
          <w:tcPr>
            <w:tcW w:type="dxa" w:w="2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Pageable.ofSize()</w:t>
            </w:r>
          </w:p>
        </w:tc>
      </w:tr>
      <w:tr>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전세 청크 수</w:t>
            </w:r>
          </w:p>
        </w:tc>
        <w:tc>
          <w:tcPr>
            <w:tcW w:type="dxa" w:w="2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6개</w:t>
            </w:r>
          </w:p>
        </w:tc>
        <w:tc>
          <w:tcPr>
            <w:tcW w:type="dxa" w:w="2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58,660 / 10,000</w:t>
            </w:r>
          </w:p>
        </w:tc>
      </w:tr>
      <w:tr>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월세 청크 수</w:t>
            </w:r>
          </w:p>
        </w:tc>
        <w:tc>
          <w:tcPr>
            <w:tcW w:type="dxa" w:w="2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6개</w:t>
            </w:r>
          </w:p>
        </w:tc>
        <w:tc>
          <w:tcPr>
            <w:tcW w:type="dxa" w:w="2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56,272 / 10,000</w:t>
            </w:r>
          </w:p>
        </w:tc>
      </w:tr>
    </w:tbl>
    <w:p>
      <w:pPr>
        <w:pStyle w:val="Heading2"/>
        <w:spacing w:before="300"/>
      </w:pPr>
      <w:r>
        <w:t xml:space="preserve">2.3 데이터 규모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데이터셋</w:t>
            </w:r>
          </w:p>
        </w:tc>
        <w:tc>
          <w:tcPr>
            <w:tcW w:type="dxa" w:w="268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건수</w:t>
            </w:r>
          </w:p>
        </w:tc>
        <w:tc>
          <w:tcPr>
            <w:tcW w:type="dxa" w:w="268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비고</w:t>
            </w:r>
          </w:p>
        </w:tc>
      </w:tr>
      <w:tr>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전세 (PROPERTIES_CHARTER)</w:t>
            </w:r>
          </w:p>
        </w:tc>
        <w:tc>
          <w:tcPr>
            <w:tcW w:type="dxa" w:w="2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58,660건</w:t>
            </w:r>
          </w:p>
        </w:tc>
        <w:tc>
          <w:tcPr>
            <w:tcW w:type="dxa" w:w="2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1차와 동일</w:t>
            </w:r>
          </w:p>
        </w:tc>
      </w:tr>
      <w:tr>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월세 (PROPERTIES_MONTHLY)</w:t>
            </w:r>
          </w:p>
        </w:tc>
        <w:tc>
          <w:tcPr>
            <w:tcW w:type="dxa" w:w="2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56,272건</w:t>
            </w:r>
          </w:p>
        </w:tc>
        <w:tc>
          <w:tcPr>
            <w:tcW w:type="dxa" w:w="2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1차와 동일</w:t>
            </w:r>
          </w:p>
        </w:tc>
      </w:tr>
      <w:tr>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총 매물 수</w:t>
            </w:r>
          </w:p>
        </w:tc>
        <w:tc>
          <w:tcPr>
            <w:tcW w:type="dxa" w:w="2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114,932건</w:t>
            </w:r>
          </w:p>
        </w:tc>
        <w:tc>
          <w:tcPr>
            <w:tcW w:type="dxa" w:w="2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w:t>
            </w:r>
          </w:p>
        </w:tc>
      </w:tr>
    </w:tbl>
    <w:p>
      <w:pPr>
        <w:pStyle w:val="Heading1"/>
      </w:pPr>
      <w:r>
        <w:t xml:space="preserve">3. 측정 결과</w:t>
      </w:r>
    </w:p>
    <w:p>
      <w:pPr>
        <w:pStyle w:val="Heading2"/>
      </w:pPr>
      <w:r>
        <w:t xml:space="preserve">3.1 소요시간 분석</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000"/>
        <w:gridCol w:w="1760"/>
      </w:tblGrid>
      <w:tr>
        <w:tc>
          <w:tcPr>
            <w:tcW w:type="dxa" w:w="32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측정 구간</w:t>
            </w:r>
          </w:p>
        </w:tc>
        <w:tc>
          <w:tcPr>
            <w:tcW w:type="dxa" w:w="24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소요시간</w:t>
            </w:r>
          </w:p>
        </w:tc>
        <w:tc>
          <w:tcPr>
            <w:tcW w:type="dxa" w:w="20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건수</w:t>
            </w:r>
          </w:p>
        </w:tc>
        <w:tc>
          <w:tcPr>
            <w:tcW w:type="dxa" w:w="176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청크 수</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전세 데이터 로드</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1,743 ms (1.74초)</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58,660건</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6</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월세 데이터 로드</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1,810 ms (1.81초)</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56,272건</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6</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전세 Entity→DTO 변환</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26 ms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월세 Entity→DTO 변환</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18 ms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배치 전체</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11,853 ms (11.85초)</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w:t>
            </w:r>
          </w:p>
        </w:tc>
      </w:tr>
    </w:tbl>
    <w:p>
      <w:pPr>
        <w:spacing w:before="300" w:after="200"/>
      </w:pPr>
      <w:r>
        <w:rPr>
          <w:rFonts w:ascii="Arial" w:cs="Arial" w:eastAsia="Arial" w:hAnsi="Arial"/>
          <w:b/>
          <w:bCs/>
          <w:sz w:val="22"/>
          <w:szCs w:val="22"/>
        </w:rPr>
        <w:t xml:space="preserve">단계별 집계: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2700"/>
        <w:gridCol w:w="2160"/>
      </w:tblGrid>
      <w:tr>
        <w:tc>
          <w:tcPr>
            <w:tcW w:type="dxa" w:w="45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단계</w:t>
            </w:r>
          </w:p>
        </w:tc>
        <w:tc>
          <w:tcPr>
            <w:tcW w:type="dxa" w:w="27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소요시간</w:t>
            </w:r>
          </w:p>
        </w:tc>
        <w:tc>
          <w:tcPr>
            <w:tcW w:type="dxa" w:w="216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비율</w:t>
            </w:r>
          </w:p>
        </w:tc>
      </w:tr>
      <w:tr>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DB 로드 (전세 + 월세)</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3,553 ms (3.55초)</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29.98%</w:t>
            </w:r>
          </w:p>
        </w:tc>
      </w:tr>
      <w:tr>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Entity→DTO 변환</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44 ms</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0.37%</w:t>
            </w:r>
          </w:p>
        </w:tc>
      </w:tr>
      <w:tr>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기타 처리 (Redis 동기화 등)</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8,256 ms (8.26초)</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69.65%</w:t>
            </w:r>
          </w:p>
        </w:tc>
      </w:tr>
    </w:tbl>
    <w:p>
      <w:pPr>
        <w:pStyle w:val="Heading2"/>
        <w:spacing w:before="400"/>
      </w:pPr>
      <w:r>
        <w:t xml:space="preserve">3.2 청크별 처리 상세</w:t>
      </w:r>
    </w:p>
    <w:p>
      <w:pPr>
        <w:spacing w:after="200"/>
      </w:pPr>
      <w:r>
        <w:rPr>
          <w:rFonts w:ascii="Arial" w:cs="Arial" w:eastAsia="Arial" w:hAnsi="Arial"/>
          <w:b/>
          <w:bCs/>
          <w:sz w:val="22"/>
          <w:szCs w:val="22"/>
        </w:rPr>
        <w:t xml:space="preserve">전세(CHARTER) 청크별 처리:</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1600"/>
        <w:gridCol w:w="1600"/>
        <w:gridCol w:w="1360"/>
      </w:tblGrid>
      <w:tr>
        <w:tc>
          <w:tcPr>
            <w:tcW w:type="dxa" w:w="14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청크</w:t>
            </w:r>
          </w:p>
        </w:tc>
        <w:tc>
          <w:tcPr>
            <w:tcW w:type="dxa" w:w="16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청크 크기</w:t>
            </w:r>
          </w:p>
        </w:tc>
        <w:tc>
          <w:tcPr>
            <w:tcW w:type="dxa" w:w="18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누적 건수</w:t>
            </w:r>
          </w:p>
        </w:tc>
        <w:tc>
          <w:tcPr>
            <w:tcW w:type="dxa" w:w="16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로드(ms)</w:t>
            </w:r>
          </w:p>
        </w:tc>
        <w:tc>
          <w:tcPr>
            <w:tcW w:type="dxa" w:w="16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변환(ms)</w:t>
            </w:r>
          </w:p>
        </w:tc>
        <w:tc>
          <w:tcPr>
            <w:tcW w:type="dxa" w:w="136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총계(ms)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#0</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10,000</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10,000</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254</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5</w:t>
            </w:r>
          </w:p>
        </w:tc>
        <w:tc>
          <w:tcPr>
            <w:tcW w:type="dxa" w:w="1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259</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#1</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10,000</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20,000</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318</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4</w:t>
            </w:r>
          </w:p>
        </w:tc>
        <w:tc>
          <w:tcPr>
            <w:tcW w:type="dxa" w:w="1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322</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#2</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10,000</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30,000</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273</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2</w:t>
            </w:r>
          </w:p>
        </w:tc>
        <w:tc>
          <w:tcPr>
            <w:tcW w:type="dxa" w:w="1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275</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#3</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10,000</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40,000</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287</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3</w:t>
            </w:r>
          </w:p>
        </w:tc>
        <w:tc>
          <w:tcPr>
            <w:tcW w:type="dxa" w:w="1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290</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#4</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10,000</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50,000</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329</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9</w:t>
            </w:r>
          </w:p>
        </w:tc>
        <w:tc>
          <w:tcPr>
            <w:tcW w:type="dxa" w:w="1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338</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#5</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8,660</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58,660</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253</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3</w:t>
            </w:r>
          </w:p>
        </w:tc>
        <w:tc>
          <w:tcPr>
            <w:tcW w:type="dxa" w:w="1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256</w:t>
            </w:r>
          </w:p>
        </w:tc>
      </w:tr>
    </w:tbl>
    <w:p>
      <w:pPr>
        <w:spacing w:before="300" w:after="200"/>
      </w:pPr>
      <w:r>
        <w:rPr>
          <w:rFonts w:ascii="Arial" w:cs="Arial" w:eastAsia="Arial" w:hAnsi="Arial"/>
          <w:b/>
          <w:bCs/>
          <w:sz w:val="22"/>
          <w:szCs w:val="22"/>
        </w:rPr>
        <w:t xml:space="preserve">월세(MONTHLY) 청크별 처리:</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1600"/>
        <w:gridCol w:w="1600"/>
        <w:gridCol w:w="1360"/>
      </w:tblGrid>
      <w:tr>
        <w:tc>
          <w:tcPr>
            <w:tcW w:type="dxa" w:w="14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청크</w:t>
            </w:r>
          </w:p>
        </w:tc>
        <w:tc>
          <w:tcPr>
            <w:tcW w:type="dxa" w:w="16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청크 크기</w:t>
            </w:r>
          </w:p>
        </w:tc>
        <w:tc>
          <w:tcPr>
            <w:tcW w:type="dxa" w:w="18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누적 건수</w:t>
            </w:r>
          </w:p>
        </w:tc>
        <w:tc>
          <w:tcPr>
            <w:tcW w:type="dxa" w:w="16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로드(ms)</w:t>
            </w:r>
          </w:p>
        </w:tc>
        <w:tc>
          <w:tcPr>
            <w:tcW w:type="dxa" w:w="16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변환(ms)</w:t>
            </w:r>
          </w:p>
        </w:tc>
        <w:tc>
          <w:tcPr>
            <w:tcW w:type="dxa" w:w="136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총계(ms)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#0</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10,000</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10,000</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248</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5</w:t>
            </w:r>
          </w:p>
        </w:tc>
        <w:tc>
          <w:tcPr>
            <w:tcW w:type="dxa" w:w="1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253</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#1</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10,000</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20,000</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280</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3</w:t>
            </w:r>
          </w:p>
        </w:tc>
        <w:tc>
          <w:tcPr>
            <w:tcW w:type="dxa" w:w="1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283</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#2</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10,000</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30,000</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282</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2</w:t>
            </w:r>
          </w:p>
        </w:tc>
        <w:tc>
          <w:tcPr>
            <w:tcW w:type="dxa" w:w="1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284</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#3</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10,000</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40,000</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289</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3</w:t>
            </w:r>
          </w:p>
        </w:tc>
        <w:tc>
          <w:tcPr>
            <w:tcW w:type="dxa" w:w="1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292</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#4</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10,000</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50,000</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392</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3</w:t>
            </w:r>
          </w:p>
        </w:tc>
        <w:tc>
          <w:tcPr>
            <w:tcW w:type="dxa" w:w="1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395</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#5</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6,272</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56,272</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298</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2</w:t>
            </w:r>
          </w:p>
        </w:tc>
        <w:tc>
          <w:tcPr>
            <w:tcW w:type="dxa" w:w="1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300</w:t>
            </w:r>
          </w:p>
        </w:tc>
      </w:tr>
    </w:tbl>
    <w:p>
      <w:pPr>
        <w:pStyle w:val="Heading2"/>
        <w:spacing w:before="400"/>
      </w:pPr>
      <w:r>
        <w:t xml:space="preserve">3.3 메모리 분석</w:t>
      </w:r>
    </w:p>
    <w:p>
      <w:pPr>
        <w:spacing w:after="200"/>
      </w:pPr>
      <w:r>
        <w:rPr>
          <w:rFonts w:ascii="Arial" w:cs="Arial" w:eastAsia="Arial" w:hAnsi="Arial"/>
          <w:sz w:val="22"/>
          <w:szCs w:val="22"/>
        </w:rPr>
        <w:t xml:space="preserve">VisualVM 힙 덤프 분석 결과 (청크별 스냅샷):</w:t>
      </w:r>
    </w:p>
    <w:p>
      <w:pPr>
        <w:spacing w:after="200"/>
      </w:pPr>
      <w:r>
        <w:rPr>
          <w:rFonts w:ascii="Arial" w:cs="Arial" w:eastAsia="Arial" w:hAnsi="Arial"/>
          <w:b/>
          <w:bCs/>
          <w:sz w:val="22"/>
          <w:szCs w:val="22"/>
        </w:rPr>
        <w:t xml:space="preserve">PropertyCharter 청크별 메모리:</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2000"/>
        <w:gridCol w:w="1360"/>
      </w:tblGrid>
      <w:tr>
        <w:tc>
          <w:tcPr>
            <w:tcW w:type="dxa" w:w="18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청크</w:t>
            </w:r>
          </w:p>
        </w:tc>
        <w:tc>
          <w:tcPr>
            <w:tcW w:type="dxa" w:w="18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Count</w:t>
            </w:r>
          </w:p>
        </w:tc>
        <w:tc>
          <w:tcPr>
            <w:tcW w:type="dxa" w:w="24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Retained Size</w:t>
            </w:r>
          </w:p>
        </w:tc>
        <w:tc>
          <w:tcPr>
            <w:tcW w:type="dxa" w:w="20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힙 점유율</w:t>
            </w:r>
          </w:p>
        </w:tc>
        <w:tc>
          <w:tcPr>
            <w:tcW w:type="dxa" w:w="136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비고</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#0 (10K)</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10,000</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8,117,352 B (7.7 MB)</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1.3%</w:t>
            </w:r>
          </w:p>
        </w:tc>
        <w:tc>
          <w:tcPr>
            <w:tcW w:type="dxa" w:w="1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#1 (20K)</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20,000</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10,730,800 B (10.2 MB)</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14.8%</w:t>
            </w:r>
          </w:p>
        </w:tc>
        <w:tc>
          <w:tcPr>
            <w:tcW w:type="dxa" w:w="1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#2 (30K)</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30,000</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12,744,000 B (12.2 MB)</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16.8%</w:t>
            </w:r>
          </w:p>
        </w:tc>
        <w:tc>
          <w:tcPr>
            <w:tcW w:type="dxa" w:w="1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#3 (40K)</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40,000</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14,744,000 B (14.1 MB)</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17.2%</w:t>
            </w:r>
          </w:p>
        </w:tc>
        <w:tc>
          <w:tcPr>
            <w:tcW w:type="dxa" w:w="1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#4 (50K)</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50,000</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16,744,000 B (16.0 MB)</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17.6%</w:t>
            </w:r>
          </w:p>
        </w:tc>
        <w:tc>
          <w:tcPr>
            <w:tcW w:type="dxa" w:w="1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피크</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최종</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58,660</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17,219,976 B (16.4 MB)</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16.6%</w:t>
            </w:r>
          </w:p>
        </w:tc>
        <w:tc>
          <w:tcPr>
            <w:tcW w:type="dxa" w:w="1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w:t>
            </w:r>
          </w:p>
        </w:tc>
      </w:tr>
    </w:tbl>
    <w:p>
      <w:pPr>
        <w:spacing w:before="300" w:after="200"/>
      </w:pPr>
      <w:r>
        <w:rPr>
          <w:rFonts w:ascii="Arial" w:cs="Arial" w:eastAsia="Arial" w:hAnsi="Arial"/>
          <w:b/>
          <w:bCs/>
          <w:sz w:val="22"/>
          <w:szCs w:val="22"/>
        </w:rPr>
        <w:t xml:space="preserve">PropertyMonthly 청크별 메모리:</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2000"/>
        <w:gridCol w:w="1360"/>
      </w:tblGrid>
      <w:tr>
        <w:tc>
          <w:tcPr>
            <w:tcW w:type="dxa" w:w="18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청크</w:t>
            </w:r>
          </w:p>
        </w:tc>
        <w:tc>
          <w:tcPr>
            <w:tcW w:type="dxa" w:w="18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Count</w:t>
            </w:r>
          </w:p>
        </w:tc>
        <w:tc>
          <w:tcPr>
            <w:tcW w:type="dxa" w:w="24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Retained Size</w:t>
            </w:r>
          </w:p>
        </w:tc>
        <w:tc>
          <w:tcPr>
            <w:tcW w:type="dxa" w:w="20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힙 점유율</w:t>
            </w:r>
          </w:p>
        </w:tc>
        <w:tc>
          <w:tcPr>
            <w:tcW w:type="dxa" w:w="136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비고</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#0 (10K)</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10,000</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8,356,288 B (8.0 MB)</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7.4%</w:t>
            </w:r>
          </w:p>
        </w:tc>
        <w:tc>
          <w:tcPr>
            <w:tcW w:type="dxa" w:w="1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#2 (30K)</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30,000</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12,811,488 B (12.2 MB)</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9.7%</w:t>
            </w:r>
          </w:p>
        </w:tc>
        <w:tc>
          <w:tcPr>
            <w:tcW w:type="dxa" w:w="1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#3 (40K)</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40,000</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14,810,896 B (14.1 MB)</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10.5%</w:t>
            </w:r>
          </w:p>
        </w:tc>
        <w:tc>
          <w:tcPr>
            <w:tcW w:type="dxa" w:w="1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#4 (50K)</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50,000</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16,812,496 B (16.0 MB)</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11.1%</w:t>
            </w:r>
          </w:p>
        </w:tc>
        <w:tc>
          <w:tcPr>
            <w:tcW w:type="dxa" w:w="1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피크</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최종</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56,272</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15,267,336 B (14.6 MB)</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9.7%</w:t>
            </w:r>
          </w:p>
        </w:tc>
        <w:tc>
          <w:tcPr>
            <w:tcW w:type="dxa" w:w="1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w:t>
            </w:r>
          </w:p>
        </w:tc>
      </w:tr>
    </w:tbl>
    <w:p>
      <w:pPr>
        <w:pStyle w:val="Heading1"/>
      </w:pPr>
      <w:r>
        <w:t xml:space="preserve">4. 1차 대비 비교 분석</w:t>
      </w:r>
    </w:p>
    <w:p>
      <w:pPr>
        <w:pStyle w:val="Heading2"/>
      </w:pPr>
      <w:r>
        <w:t xml:space="preserve">4.1 소요시간 비교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1400"/>
        <w:gridCol w:w="1160"/>
      </w:tblGrid>
      <w:tr>
        <w:tc>
          <w:tcPr>
            <w:tcW w:type="dxa" w:w="28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측정 항목</w:t>
            </w:r>
          </w:p>
        </w:tc>
        <w:tc>
          <w:tcPr>
            <w:tcW w:type="dxa" w:w="20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1차 테스트</w:t>
            </w:r>
          </w:p>
        </w:tc>
        <w:tc>
          <w:tcPr>
            <w:tcW w:type="dxa" w:w="20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2차 테스트</w:t>
            </w:r>
          </w:p>
        </w:tc>
        <w:tc>
          <w:tcPr>
            <w:tcW w:type="dxa" w:w="14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차이</w:t>
            </w:r>
          </w:p>
        </w:tc>
        <w:tc>
          <w:tcPr>
            <w:tcW w:type="dxa" w:w="116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변화율</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전세 DB 로드</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851 ms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1,743 ms</w:t>
            </w:r>
          </w:p>
        </w:tc>
        <w:tc>
          <w:tcPr>
            <w:tcW w:type="dxa" w:w="1400"/>
            <w:tcBorders>
              <w:top w:val="single" w:color="999999" w:sz="1"/>
              <w:left w:val="single" w:color="999999" w:sz="1"/>
              <w:bottom w:val="single" w:color="999999" w:sz="1"/>
              <w:right w:val="single" w:color="999999" w:sz="1"/>
            </w:tcBorders>
            <w:shd w:fill="FCE4D6" w:val="clear"/>
            <w:tcMar>
              <w:top w:type="dxa" w:w="80"/>
              <w:left w:type="dxa" w:w="120"/>
              <w:bottom w:type="dxa" w:w="80"/>
              <w:right w:type="dxa" w:w="120"/>
            </w:tcMar>
          </w:tcPr>
          <w:p>
            <w:pPr>
              <w:jc w:val="right"/>
            </w:pPr>
            <w:r>
              <w:rPr>
                <w:rFonts w:ascii="Arial" w:cs="Arial" w:eastAsia="Arial" w:hAnsi="Arial"/>
                <w:sz w:val="22"/>
                <w:szCs w:val="22"/>
              </w:rPr>
              <w:t xml:space="preserve">+892 ms</w:t>
            </w:r>
          </w:p>
        </w:tc>
        <w:tc>
          <w:tcPr>
            <w:tcW w:type="dxa" w:w="1160"/>
            <w:tcBorders>
              <w:top w:val="single" w:color="999999" w:sz="1"/>
              <w:left w:val="single" w:color="999999" w:sz="1"/>
              <w:bottom w:val="single" w:color="999999" w:sz="1"/>
              <w:right w:val="single" w:color="999999" w:sz="1"/>
            </w:tcBorders>
            <w:shd w:fill="FCE4D6" w:val="clear"/>
            <w:tcMar>
              <w:top w:type="dxa" w:w="80"/>
              <w:left w:type="dxa" w:w="120"/>
              <w:bottom w:type="dxa" w:w="80"/>
              <w:right w:type="dxa" w:w="120"/>
            </w:tcMar>
          </w:tcPr>
          <w:p>
            <w:pPr>
              <w:jc w:val="right"/>
            </w:pPr>
            <w:r>
              <w:rPr>
                <w:rFonts w:ascii="Arial" w:cs="Arial" w:eastAsia="Arial" w:hAnsi="Arial"/>
                <w:sz w:val="22"/>
                <w:szCs w:val="22"/>
              </w:rPr>
              <w:t xml:space="preserve">+104.8%</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월세 DB 로드</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876 ms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1,810 ms</w:t>
            </w:r>
          </w:p>
        </w:tc>
        <w:tc>
          <w:tcPr>
            <w:tcW w:type="dxa" w:w="1400"/>
            <w:tcBorders>
              <w:top w:val="single" w:color="999999" w:sz="1"/>
              <w:left w:val="single" w:color="999999" w:sz="1"/>
              <w:bottom w:val="single" w:color="999999" w:sz="1"/>
              <w:right w:val="single" w:color="999999" w:sz="1"/>
            </w:tcBorders>
            <w:shd w:fill="FCE4D6" w:val="clear"/>
            <w:tcMar>
              <w:top w:type="dxa" w:w="80"/>
              <w:left w:type="dxa" w:w="120"/>
              <w:bottom w:type="dxa" w:w="80"/>
              <w:right w:type="dxa" w:w="120"/>
            </w:tcMar>
          </w:tcPr>
          <w:p>
            <w:pPr>
              <w:jc w:val="right"/>
            </w:pPr>
            <w:r>
              <w:rPr>
                <w:rFonts w:ascii="Arial" w:cs="Arial" w:eastAsia="Arial" w:hAnsi="Arial"/>
                <w:sz w:val="22"/>
                <w:szCs w:val="22"/>
              </w:rPr>
              <w:t xml:space="preserve">+934 ms</w:t>
            </w:r>
          </w:p>
        </w:tc>
        <w:tc>
          <w:tcPr>
            <w:tcW w:type="dxa" w:w="1160"/>
            <w:tcBorders>
              <w:top w:val="single" w:color="999999" w:sz="1"/>
              <w:left w:val="single" w:color="999999" w:sz="1"/>
              <w:bottom w:val="single" w:color="999999" w:sz="1"/>
              <w:right w:val="single" w:color="999999" w:sz="1"/>
            </w:tcBorders>
            <w:shd w:fill="FCE4D6" w:val="clear"/>
            <w:tcMar>
              <w:top w:type="dxa" w:w="80"/>
              <w:left w:type="dxa" w:w="120"/>
              <w:bottom w:type="dxa" w:w="80"/>
              <w:right w:type="dxa" w:w="120"/>
            </w:tcMar>
          </w:tcPr>
          <w:p>
            <w:pPr>
              <w:jc w:val="right"/>
            </w:pPr>
            <w:r>
              <w:rPr>
                <w:rFonts w:ascii="Arial" w:cs="Arial" w:eastAsia="Arial" w:hAnsi="Arial"/>
                <w:sz w:val="22"/>
                <w:szCs w:val="22"/>
              </w:rPr>
              <w:t xml:space="preserve">+106.6%</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전세 변환</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17 ms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26 ms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+9 ms</w:t>
            </w:r>
          </w:p>
        </w:tc>
        <w:tc>
          <w:tcPr>
            <w:tcW w:type="dxa" w:w="11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+52.9%</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월세 변환</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12 ms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18 ms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+6 ms</w:t>
            </w:r>
          </w:p>
        </w:tc>
        <w:tc>
          <w:tcPr>
            <w:tcW w:type="dxa" w:w="11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+50.0%</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배치 전체</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7,248 ms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11,853 ms</w:t>
            </w:r>
          </w:p>
        </w:tc>
        <w:tc>
          <w:tcPr>
            <w:tcW w:type="dxa" w:w="1400"/>
            <w:tcBorders>
              <w:top w:val="single" w:color="999999" w:sz="1"/>
              <w:left w:val="single" w:color="999999" w:sz="1"/>
              <w:bottom w:val="single" w:color="999999" w:sz="1"/>
              <w:right w:val="single" w:color="999999" w:sz="1"/>
            </w:tcBorders>
            <w:shd w:fill="FCE4D6" w:val="clear"/>
            <w:tcMar>
              <w:top w:type="dxa" w:w="80"/>
              <w:left w:type="dxa" w:w="120"/>
              <w:bottom w:type="dxa" w:w="80"/>
              <w:right w:type="dxa" w:w="120"/>
            </w:tcMar>
          </w:tcPr>
          <w:p>
            <w:pPr>
              <w:jc w:val="right"/>
            </w:pPr>
            <w:r>
              <w:rPr>
                <w:rFonts w:ascii="Arial" w:cs="Arial" w:eastAsia="Arial" w:hAnsi="Arial"/>
                <w:sz w:val="22"/>
                <w:szCs w:val="22"/>
              </w:rPr>
              <w:t xml:space="preserve">+4,605 ms</w:t>
            </w:r>
          </w:p>
        </w:tc>
        <w:tc>
          <w:tcPr>
            <w:tcW w:type="dxa" w:w="1160"/>
            <w:tcBorders>
              <w:top w:val="single" w:color="999999" w:sz="1"/>
              <w:left w:val="single" w:color="999999" w:sz="1"/>
              <w:bottom w:val="single" w:color="999999" w:sz="1"/>
              <w:right w:val="single" w:color="999999" w:sz="1"/>
            </w:tcBorders>
            <w:shd w:fill="FCE4D6" w:val="clear"/>
            <w:tcMar>
              <w:top w:type="dxa" w:w="80"/>
              <w:left w:type="dxa" w:w="120"/>
              <w:bottom w:type="dxa" w:w="80"/>
              <w:right w:type="dxa" w:w="120"/>
            </w:tcMar>
          </w:tcPr>
          <w:p>
            <w:pPr>
              <w:jc w:val="right"/>
            </w:pPr>
            <w:r>
              <w:rPr>
                <w:rFonts w:ascii="Arial" w:cs="Arial" w:eastAsia="Arial" w:hAnsi="Arial"/>
                <w:sz w:val="22"/>
                <w:szCs w:val="22"/>
              </w:rPr>
              <w:t xml:space="preserve">+63.5%</w:t>
            </w:r>
          </w:p>
        </w:tc>
      </w:tr>
    </w:tbl>
    <w:p>
      <w:pPr>
        <w:pStyle w:val="Heading2"/>
        <w:spacing w:before="400"/>
      </w:pPr>
      <w:r>
        <w:t xml:space="preserve">4.2 메모리 사용량 비교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1760"/>
      </w:tblGrid>
      <w:tr>
        <w:tc>
          <w:tcPr>
            <w:tcW w:type="dxa" w:w="32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측정 항목</w:t>
            </w:r>
          </w:p>
        </w:tc>
        <w:tc>
          <w:tcPr>
            <w:tcW w:type="dxa" w:w="22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1차 테스트</w:t>
            </w:r>
          </w:p>
        </w:tc>
        <w:tc>
          <w:tcPr>
            <w:tcW w:type="dxa" w:w="22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2차 테스트</w:t>
            </w:r>
          </w:p>
        </w:tc>
        <w:tc>
          <w:tcPr>
            <w:tcW w:type="dxa" w:w="176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변화율</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PropertyCharter Retained</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50.3 MB</w:t>
            </w:r>
          </w:p>
        </w:tc>
        <w:tc>
          <w:tcPr>
            <w:tcW w:type="dxa" w:w="2200"/>
            <w:tcBorders>
              <w:top w:val="single" w:color="999999" w:sz="1"/>
              <w:left w:val="single" w:color="999999" w:sz="1"/>
              <w:bottom w:val="single" w:color="999999" w:sz="1"/>
              <w:right w:val="single" w:color="999999" w:sz="1"/>
            </w:tcBorders>
            <w:shd w:fill="E2EFDA" w:val="clear"/>
            <w:tcMar>
              <w:top w:type="dxa" w:w="80"/>
              <w:left w:type="dxa" w:w="120"/>
              <w:bottom w:type="dxa" w:w="80"/>
              <w:right w:type="dxa" w:w="120"/>
            </w:tcMar>
          </w:tcPr>
          <w:p>
            <w:pPr>
              <w:jc w:val="right"/>
            </w:pPr>
            <w:r>
              <w:rPr>
                <w:rFonts w:ascii="Arial" w:cs="Arial" w:eastAsia="Arial" w:hAnsi="Arial"/>
                <w:sz w:val="22"/>
                <w:szCs w:val="22"/>
              </w:rPr>
              <w:t xml:space="preserve">17.2 MB</w:t>
            </w:r>
          </w:p>
        </w:tc>
        <w:tc>
          <w:tcPr>
            <w:tcW w:type="dxa" w:w="1760"/>
            <w:tcBorders>
              <w:top w:val="single" w:color="999999" w:sz="1"/>
              <w:left w:val="single" w:color="999999" w:sz="1"/>
              <w:bottom w:val="single" w:color="999999" w:sz="1"/>
              <w:right w:val="single" w:color="999999" w:sz="1"/>
            </w:tcBorders>
            <w:shd w:fill="E2EFDA" w:val="clear"/>
            <w:tcMar>
              <w:top w:type="dxa" w:w="80"/>
              <w:left w:type="dxa" w:w="120"/>
              <w:bottom w:type="dxa" w:w="80"/>
              <w:right w:type="dxa" w:w="120"/>
            </w:tcMar>
          </w:tcPr>
          <w:p>
            <w:pPr>
              <w:jc w:val="right"/>
            </w:pPr>
            <w:r>
              <w:rPr>
                <w:rFonts w:ascii="Arial" w:cs="Arial" w:eastAsia="Arial" w:hAnsi="Arial"/>
                <w:sz w:val="22"/>
                <w:szCs w:val="22"/>
              </w:rPr>
              <w:t xml:space="preserve">-65.8%</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PropertyMonthly Retained</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48.9 MB</w:t>
            </w:r>
          </w:p>
        </w:tc>
        <w:tc>
          <w:tcPr>
            <w:tcW w:type="dxa" w:w="2200"/>
            <w:tcBorders>
              <w:top w:val="single" w:color="999999" w:sz="1"/>
              <w:left w:val="single" w:color="999999" w:sz="1"/>
              <w:bottom w:val="single" w:color="999999" w:sz="1"/>
              <w:right w:val="single" w:color="999999" w:sz="1"/>
            </w:tcBorders>
            <w:shd w:fill="E2EFDA" w:val="clear"/>
            <w:tcMar>
              <w:top w:type="dxa" w:w="80"/>
              <w:left w:type="dxa" w:w="120"/>
              <w:bottom w:type="dxa" w:w="80"/>
              <w:right w:type="dxa" w:w="120"/>
            </w:tcMar>
          </w:tcPr>
          <w:p>
            <w:pPr>
              <w:jc w:val="right"/>
            </w:pPr>
            <w:r>
              <w:rPr>
                <w:rFonts w:ascii="Arial" w:cs="Arial" w:eastAsia="Arial" w:hAnsi="Arial"/>
                <w:sz w:val="22"/>
                <w:szCs w:val="22"/>
              </w:rPr>
              <w:t xml:space="preserve">15.3 MB</w:t>
            </w:r>
          </w:p>
        </w:tc>
        <w:tc>
          <w:tcPr>
            <w:tcW w:type="dxa" w:w="1760"/>
            <w:tcBorders>
              <w:top w:val="single" w:color="999999" w:sz="1"/>
              <w:left w:val="single" w:color="999999" w:sz="1"/>
              <w:bottom w:val="single" w:color="999999" w:sz="1"/>
              <w:right w:val="single" w:color="999999" w:sz="1"/>
            </w:tcBorders>
            <w:shd w:fill="E2EFDA" w:val="clear"/>
            <w:tcMar>
              <w:top w:type="dxa" w:w="80"/>
              <w:left w:type="dxa" w:w="120"/>
              <w:bottom w:type="dxa" w:w="80"/>
              <w:right w:type="dxa" w:w="120"/>
            </w:tcMar>
          </w:tcPr>
          <w:p>
            <w:pPr>
              <w:jc w:val="right"/>
            </w:pPr>
            <w:r>
              <w:rPr>
                <w:rFonts w:ascii="Arial" w:cs="Arial" w:eastAsia="Arial" w:hAnsi="Arial"/>
                <w:sz w:val="22"/>
                <w:szCs w:val="22"/>
              </w:rPr>
              <w:t xml:space="preserve">-68.7%</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엔티티 메모리 합계</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99.2 MB</w:t>
            </w:r>
          </w:p>
        </w:tc>
        <w:tc>
          <w:tcPr>
            <w:tcW w:type="dxa" w:w="2200"/>
            <w:tcBorders>
              <w:top w:val="single" w:color="999999" w:sz="1"/>
              <w:left w:val="single" w:color="999999" w:sz="1"/>
              <w:bottom w:val="single" w:color="999999" w:sz="1"/>
              <w:right w:val="single" w:color="999999" w:sz="1"/>
            </w:tcBorders>
            <w:shd w:fill="E2EFDA" w:val="clear"/>
            <w:tcMar>
              <w:top w:type="dxa" w:w="80"/>
              <w:left w:type="dxa" w:w="120"/>
              <w:bottom w:type="dxa" w:w="80"/>
              <w:right w:type="dxa" w:w="120"/>
            </w:tcMar>
          </w:tcPr>
          <w:p>
            <w:pPr>
              <w:jc w:val="right"/>
            </w:pPr>
            <w:r>
              <w:rPr>
                <w:rFonts w:ascii="Arial" w:cs="Arial" w:eastAsia="Arial" w:hAnsi="Arial"/>
                <w:sz w:val="22"/>
                <w:szCs w:val="22"/>
              </w:rPr>
              <w:t xml:space="preserve">32.5 MB</w:t>
            </w:r>
          </w:p>
        </w:tc>
        <w:tc>
          <w:tcPr>
            <w:tcW w:type="dxa" w:w="1760"/>
            <w:tcBorders>
              <w:top w:val="single" w:color="999999" w:sz="1"/>
              <w:left w:val="single" w:color="999999" w:sz="1"/>
              <w:bottom w:val="single" w:color="999999" w:sz="1"/>
              <w:right w:val="single" w:color="999999" w:sz="1"/>
            </w:tcBorders>
            <w:shd w:fill="E2EFDA" w:val="clear"/>
            <w:tcMar>
              <w:top w:type="dxa" w:w="80"/>
              <w:left w:type="dxa" w:w="120"/>
              <w:bottom w:type="dxa" w:w="80"/>
              <w:right w:type="dxa" w:w="120"/>
            </w:tcMar>
          </w:tcPr>
          <w:p>
            <w:pPr>
              <w:jc w:val="right"/>
            </w:pPr>
            <w:r>
              <w:rPr>
                <w:rFonts w:ascii="Arial" w:cs="Arial" w:eastAsia="Arial" w:hAnsi="Arial"/>
                <w:sz w:val="22"/>
                <w:szCs w:val="22"/>
              </w:rPr>
              <w:t xml:space="preserve">-67.2%</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힙 피크 점유율</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Arial" w:cs="Arial" w:eastAsia="Arial" w:hAnsi="Arial"/>
                <w:sz w:val="22"/>
                <w:szCs w:val="22"/>
              </w:rPr>
              <w:t xml:space="preserve">64.4%</w:t>
            </w:r>
          </w:p>
        </w:tc>
        <w:tc>
          <w:tcPr>
            <w:tcW w:type="dxa" w:w="2200"/>
            <w:tcBorders>
              <w:top w:val="single" w:color="999999" w:sz="1"/>
              <w:left w:val="single" w:color="999999" w:sz="1"/>
              <w:bottom w:val="single" w:color="999999" w:sz="1"/>
              <w:right w:val="single" w:color="999999" w:sz="1"/>
            </w:tcBorders>
            <w:shd w:fill="E2EFDA" w:val="clear"/>
            <w:tcMar>
              <w:top w:type="dxa" w:w="80"/>
              <w:left w:type="dxa" w:w="120"/>
              <w:bottom w:type="dxa" w:w="80"/>
              <w:right w:type="dxa" w:w="120"/>
            </w:tcMar>
          </w:tcPr>
          <w:p>
            <w:pPr>
              <w:jc w:val="right"/>
            </w:pPr>
            <w:r>
              <w:rPr>
                <w:rFonts w:ascii="Arial" w:cs="Arial" w:eastAsia="Arial" w:hAnsi="Arial"/>
                <w:sz w:val="22"/>
                <w:szCs w:val="22"/>
              </w:rPr>
              <w:t xml:space="preserve">17.6%</w:t>
            </w:r>
          </w:p>
        </w:tc>
        <w:tc>
          <w:tcPr>
            <w:tcW w:type="dxa" w:w="1760"/>
            <w:tcBorders>
              <w:top w:val="single" w:color="999999" w:sz="1"/>
              <w:left w:val="single" w:color="999999" w:sz="1"/>
              <w:bottom w:val="single" w:color="999999" w:sz="1"/>
              <w:right w:val="single" w:color="999999" w:sz="1"/>
            </w:tcBorders>
            <w:shd w:fill="E2EFDA" w:val="clear"/>
            <w:tcMar>
              <w:top w:type="dxa" w:w="80"/>
              <w:left w:type="dxa" w:w="120"/>
              <w:bottom w:type="dxa" w:w="80"/>
              <w:right w:type="dxa" w:w="120"/>
            </w:tcMar>
          </w:tcPr>
          <w:p>
            <w:pPr>
              <w:jc w:val="right"/>
            </w:pPr>
            <w:r>
              <w:rPr>
                <w:rFonts w:ascii="Arial" w:cs="Arial" w:eastAsia="Arial" w:hAnsi="Arial"/>
                <w:sz w:val="22"/>
                <w:szCs w:val="22"/>
              </w:rPr>
              <w:t xml:space="preserve">-72.7%</w:t>
            </w:r>
          </w:p>
        </w:tc>
      </w:tr>
    </w:tbl>
    <w:p>
      <w:pPr>
        <w:pStyle w:val="Heading2"/>
        <w:spacing w:before="400"/>
      </w:pPr>
      <w:r>
        <w:t xml:space="preserve">4.3 트레이드오프 분석</w:t>
      </w:r>
    </w:p>
    <w:p>
      <w:pPr>
        <w:spacing w:after="120"/>
      </w:pPr>
      <w:r>
        <w:rPr>
          <w:rFonts w:ascii="Arial" w:cs="Arial" w:eastAsia="Arial" w:hAnsi="Arial"/>
          <w:b/>
          <w:bCs/>
          <w:sz w:val="22"/>
          <w:szCs w:val="22"/>
        </w:rPr>
        <w:t xml:space="preserve">DB 로드 시간 증가 원인:</w:t>
      </w:r>
    </w:p>
    <w:p>
      <w:pPr>
        <w:pStyle w:val="ListParagraph"/>
        <w:numPr>
          <w:ilvl w:val="0"/>
          <w:numId w:val="2"/>
        </w:numPr>
      </w:pPr>
      <w:r>
        <w:rPr>
          <w:rFonts w:ascii="Arial" w:cs="Arial" w:eastAsia="Arial" w:hAnsi="Arial"/>
          <w:sz w:val="22"/>
          <w:szCs w:val="22"/>
        </w:rPr>
        <w:t xml:space="preserve">Oracle OFFSET 페이징의 구조적 오버헤드: OFFSET 값 증가에 따른 스캔 범위 증가</w:t>
      </w:r>
    </w:p>
    <w:p>
      <w:pPr>
        <w:pStyle w:val="ListParagraph"/>
        <w:numPr>
          <w:ilvl w:val="0"/>
          <w:numId w:val="2"/>
        </w:numPr>
      </w:pPr>
      <w:r>
        <w:rPr>
          <w:rFonts w:ascii="Arial" w:cs="Arial" w:eastAsia="Arial" w:hAnsi="Arial"/>
          <w:sz w:val="22"/>
          <w:szCs w:val="22"/>
        </w:rPr>
        <w:t xml:space="preserve">청크당 약 290ms 소요 (6회 반복 = 1,740ms vs 1회 851ms)</w:t>
      </w:r>
    </w:p>
    <w:p>
      <w:pPr>
        <w:pStyle w:val="ListParagraph"/>
        <w:numPr>
          <w:ilvl w:val="0"/>
          <w:numId w:val="2"/>
        </w:numPr>
      </w:pPr>
      <w:r>
        <w:rPr>
          <w:rFonts w:ascii="Arial" w:cs="Arial" w:eastAsia="Arial" w:hAnsi="Arial"/>
          <w:sz w:val="22"/>
          <w:szCs w:val="22"/>
        </w:rPr>
        <w:t xml:space="preserve">네트워크 라운드트립 증가 (1회 → 6회)</w:t>
      </w:r>
    </w:p>
    <w:p>
      <w:pPr>
        <w:spacing w:before="200" w:after="120"/>
      </w:pPr>
      <w:r>
        <w:rPr>
          <w:rFonts w:ascii="Arial" w:cs="Arial" w:eastAsia="Arial" w:hAnsi="Arial"/>
          <w:b/>
          <w:bCs/>
          <w:sz w:val="22"/>
          <w:szCs w:val="22"/>
        </w:rPr>
        <w:t xml:space="preserve">메모리 사용량 감소 효과:</w:t>
      </w:r>
    </w:p>
    <w:p>
      <w:pPr>
        <w:pStyle w:val="ListParagraph"/>
        <w:numPr>
          <w:ilvl w:val="0"/>
          <w:numId w:val="2"/>
        </w:numPr>
      </w:pPr>
      <w:r>
        <w:rPr>
          <w:rFonts w:ascii="Arial" w:cs="Arial" w:eastAsia="Arial" w:hAnsi="Arial"/>
          <w:sz w:val="22"/>
          <w:szCs w:val="22"/>
        </w:rPr>
        <w:t xml:space="preserve">힙 피크 점유율 64.4% → 17.6% (약 73% 감소)</w:t>
      </w:r>
    </w:p>
    <w:p>
      <w:pPr>
        <w:pStyle w:val="ListParagraph"/>
        <w:numPr>
          <w:ilvl w:val="0"/>
          <w:numId w:val="2"/>
        </w:numPr>
      </w:pPr>
      <w:r>
        <w:rPr>
          <w:rFonts w:ascii="Arial" w:cs="Arial" w:eastAsia="Arial" w:hAnsi="Arial"/>
          <w:sz w:val="22"/>
          <w:szCs w:val="22"/>
        </w:rPr>
        <w:t xml:space="preserve">동시 적재 Entity 수 제한으로 GC 압박 감소</w:t>
      </w:r>
    </w:p>
    <w:p>
      <w:pPr>
        <w:pStyle w:val="ListParagraph"/>
        <w:numPr>
          <w:ilvl w:val="0"/>
          <w:numId w:val="2"/>
        </w:numPr>
      </w:pPr>
      <w:r>
        <w:rPr>
          <w:rFonts w:ascii="Arial" w:cs="Arial" w:eastAsia="Arial" w:hAnsi="Arial"/>
          <w:sz w:val="22"/>
          <w:szCs w:val="22"/>
        </w:rPr>
        <w:t xml:space="preserve">데이터 증가 시에도 힙 피크 일정 유지 (청크 크기에만 비례)</w:t>
      </w:r>
    </w:p>
    <w:p>
      <w:pPr>
        <w:pStyle w:val="Heading1"/>
      </w:pPr>
      <w:r>
        <w:t xml:space="preserve">5. 결론</w:t>
      </w:r>
    </w:p>
    <w:p>
      <w:pPr>
        <w:pStyle w:val="Heading2"/>
      </w:pPr>
      <w:r>
        <w:t xml:space="preserve">5.1 개선 효과 요약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항목</w:t>
            </w:r>
          </w:p>
        </w:tc>
        <w:tc>
          <w:tcPr>
            <w:tcW w:type="dxa" w:w="30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결과</w:t>
            </w:r>
          </w:p>
        </w:tc>
        <w:tc>
          <w:tcPr>
            <w:tcW w:type="dxa" w:w="286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Arial" w:cs="Arial" w:eastAsia="Arial" w:hAnsi="Arial"/>
                <w:b/>
                <w:bCs/>
                <w:sz w:val="22"/>
                <w:szCs w:val="22"/>
              </w:rPr>
              <w:t xml:space="preserve">평가</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메모리 사용량</w:t>
            </w:r>
          </w:p>
        </w:tc>
        <w:tc>
          <w:tcPr>
            <w:tcW w:type="dxa" w:w="3000"/>
            <w:tcBorders>
              <w:top w:val="single" w:color="999999" w:sz="1"/>
              <w:left w:val="single" w:color="999999" w:sz="1"/>
              <w:bottom w:val="single" w:color="999999" w:sz="1"/>
              <w:right w:val="single" w:color="999999" w:sz="1"/>
            </w:tcBorders>
            <w:shd w:fill="E2EFDA" w:val="clear"/>
            <w:tcMar>
              <w:top w:type="dxa" w:w="80"/>
              <w:left w:type="dxa" w:w="120"/>
              <w:bottom w:type="dxa" w:w="80"/>
              <w:right w:type="dxa" w:w="120"/>
            </w:tcMar>
          </w:tcPr>
          <w:p>
            <w:pPr>
              <w:jc w:val="right"/>
            </w:pPr>
            <w:r>
              <w:rPr>
                <w:rFonts w:ascii="Arial" w:cs="Arial" w:eastAsia="Arial" w:hAnsi="Arial"/>
                <w:sz w:val="22"/>
                <w:szCs w:val="22"/>
              </w:rPr>
              <w:t xml:space="preserve">67.2% 감소</w:t>
            </w:r>
          </w:p>
        </w:tc>
        <w:tc>
          <w:tcPr>
            <w:tcW w:type="dxa" w:w="2860"/>
            <w:tcBorders>
              <w:top w:val="single" w:color="999999" w:sz="1"/>
              <w:left w:val="single" w:color="999999" w:sz="1"/>
              <w:bottom w:val="single" w:color="999999" w:sz="1"/>
              <w:right w:val="single" w:color="999999" w:sz="1"/>
            </w:tcBorders>
            <w:shd w:fill="E2EFDA" w:val="clear"/>
            <w:tcMar>
              <w:top w:type="dxa" w:w="80"/>
              <w:left w:type="dxa" w:w="120"/>
              <w:bottom w:type="dxa" w:w="80"/>
              <w:right w:type="dxa" w:w="120"/>
            </w:tcMar>
          </w:tcPr>
          <w:p>
            <w:pPr>
              <w:jc w:val="center"/>
            </w:pPr>
            <w:r>
              <w:rPr>
                <w:rFonts w:ascii="Arial" w:cs="Arial" w:eastAsia="Arial" w:hAnsi="Arial"/>
                <w:sz w:val="22"/>
                <w:szCs w:val="22"/>
              </w:rPr>
              <w:t xml:space="preserve">목표 달성</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힙 피크 점유율</w:t>
            </w:r>
          </w:p>
        </w:tc>
        <w:tc>
          <w:tcPr>
            <w:tcW w:type="dxa" w:w="3000"/>
            <w:tcBorders>
              <w:top w:val="single" w:color="999999" w:sz="1"/>
              <w:left w:val="single" w:color="999999" w:sz="1"/>
              <w:bottom w:val="single" w:color="999999" w:sz="1"/>
              <w:right w:val="single" w:color="999999" w:sz="1"/>
            </w:tcBorders>
            <w:shd w:fill="E2EFDA" w:val="clear"/>
            <w:tcMar>
              <w:top w:type="dxa" w:w="80"/>
              <w:left w:type="dxa" w:w="120"/>
              <w:bottom w:type="dxa" w:w="80"/>
              <w:right w:type="dxa" w:w="120"/>
            </w:tcMar>
          </w:tcPr>
          <w:p>
            <w:pPr>
              <w:jc w:val="right"/>
            </w:pPr>
            <w:r>
              <w:rPr>
                <w:rFonts w:ascii="Arial" w:cs="Arial" w:eastAsia="Arial" w:hAnsi="Arial"/>
                <w:sz w:val="22"/>
                <w:szCs w:val="22"/>
              </w:rPr>
              <w:t xml:space="preserve">72.7% 감소 (64.4%→17.6%)</w:t>
            </w:r>
          </w:p>
        </w:tc>
        <w:tc>
          <w:tcPr>
            <w:tcW w:type="dxa" w:w="2860"/>
            <w:tcBorders>
              <w:top w:val="single" w:color="999999" w:sz="1"/>
              <w:left w:val="single" w:color="999999" w:sz="1"/>
              <w:bottom w:val="single" w:color="999999" w:sz="1"/>
              <w:right w:val="single" w:color="999999" w:sz="1"/>
            </w:tcBorders>
            <w:shd w:fill="E2EFDA" w:val="clear"/>
            <w:tcMar>
              <w:top w:type="dxa" w:w="80"/>
              <w:left w:type="dxa" w:w="120"/>
              <w:bottom w:type="dxa" w:w="80"/>
              <w:right w:type="dxa" w:w="120"/>
            </w:tcMar>
          </w:tcPr>
          <w:p>
            <w:pPr>
              <w:jc w:val="center"/>
            </w:pPr>
            <w:r>
              <w:rPr>
                <w:rFonts w:ascii="Arial" w:cs="Arial" w:eastAsia="Arial" w:hAnsi="Arial"/>
                <w:sz w:val="22"/>
                <w:szCs w:val="22"/>
              </w:rPr>
              <w:t xml:space="preserve">목표 달성</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OOM 안전성</w:t>
            </w:r>
          </w:p>
        </w:tc>
        <w:tc>
          <w:tcPr>
            <w:tcW w:type="dxa" w:w="3000"/>
            <w:tcBorders>
              <w:top w:val="single" w:color="999999" w:sz="1"/>
              <w:left w:val="single" w:color="999999" w:sz="1"/>
              <w:bottom w:val="single" w:color="999999" w:sz="1"/>
              <w:right w:val="single" w:color="999999" w:sz="1"/>
            </w:tcBorders>
            <w:shd w:fill="E2EFDA" w:val="clear"/>
            <w:tcMar>
              <w:top w:type="dxa" w:w="80"/>
              <w:left w:type="dxa" w:w="120"/>
              <w:bottom w:type="dxa" w:w="80"/>
              <w:right w:type="dxa" w:w="120"/>
            </w:tcMar>
          </w:tcPr>
          <w:p>
            <w:pPr>
              <w:jc w:val="right"/>
            </w:pPr>
            <w:r>
              <w:rPr>
                <w:rFonts w:ascii="Arial" w:cs="Arial" w:eastAsia="Arial" w:hAnsi="Arial"/>
                <w:sz w:val="22"/>
                <w:szCs w:val="22"/>
              </w:rPr>
              <w:t xml:space="preserve">확보 (데이터 증가 대응)</w:t>
            </w:r>
          </w:p>
        </w:tc>
        <w:tc>
          <w:tcPr>
            <w:tcW w:type="dxa" w:w="2860"/>
            <w:tcBorders>
              <w:top w:val="single" w:color="999999" w:sz="1"/>
              <w:left w:val="single" w:color="999999" w:sz="1"/>
              <w:bottom w:val="single" w:color="999999" w:sz="1"/>
              <w:right w:val="single" w:color="999999" w:sz="1"/>
            </w:tcBorders>
            <w:shd w:fill="E2EFDA" w:val="clear"/>
            <w:tcMar>
              <w:top w:type="dxa" w:w="80"/>
              <w:left w:type="dxa" w:w="120"/>
              <w:bottom w:type="dxa" w:w="80"/>
              <w:right w:type="dxa" w:w="120"/>
            </w:tcMar>
          </w:tcPr>
          <w:p>
            <w:pPr>
              <w:jc w:val="center"/>
            </w:pPr>
            <w:r>
              <w:rPr>
                <w:rFonts w:ascii="Arial" w:cs="Arial" w:eastAsia="Arial" w:hAnsi="Arial"/>
                <w:sz w:val="22"/>
                <w:szCs w:val="22"/>
              </w:rPr>
              <w:t xml:space="preserve">목표 달성</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DB 로드 시간</w:t>
            </w:r>
          </w:p>
        </w:tc>
        <w:tc>
          <w:tcPr>
            <w:tcW w:type="dxa" w:w="3000"/>
            <w:tcBorders>
              <w:top w:val="single" w:color="999999" w:sz="1"/>
              <w:left w:val="single" w:color="999999" w:sz="1"/>
              <w:bottom w:val="single" w:color="999999" w:sz="1"/>
              <w:right w:val="single" w:color="999999" w:sz="1"/>
            </w:tcBorders>
            <w:shd w:fill="FCE4D6" w:val="clear"/>
            <w:tcMar>
              <w:top w:type="dxa" w:w="80"/>
              <w:left w:type="dxa" w:w="120"/>
              <w:bottom w:type="dxa" w:w="80"/>
              <w:right w:type="dxa" w:w="120"/>
            </w:tcMar>
          </w:tcPr>
          <w:p>
            <w:pPr>
              <w:jc w:val="right"/>
            </w:pPr>
            <w:r>
              <w:rPr>
                <w:rFonts w:ascii="Arial" w:cs="Arial" w:eastAsia="Arial" w:hAnsi="Arial"/>
                <w:sz w:val="22"/>
                <w:szCs w:val="22"/>
              </w:rPr>
              <w:t xml:space="preserve">105% 증가 (페이징 오버헤드)</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sz w:val="22"/>
                <w:szCs w:val="22"/>
              </w:rPr>
              <w:t xml:space="preserve">예상된 트레이드오프</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Arial" w:cs="Arial" w:eastAsia="Arial" w:hAnsi="Arial"/>
                <w:sz w:val="22"/>
                <w:szCs w:val="22"/>
              </w:rPr>
              <w:t xml:space="preserve">배치 전체 시간</w:t>
            </w:r>
          </w:p>
        </w:tc>
        <w:tc>
          <w:tcPr>
            <w:tcW w:type="dxa" w:w="3000"/>
            <w:tcBorders>
              <w:top w:val="single" w:color="999999" w:sz="1"/>
              <w:left w:val="single" w:color="999999" w:sz="1"/>
              <w:bottom w:val="single" w:color="999999" w:sz="1"/>
              <w:right w:val="single" w:color="999999" w:sz="1"/>
            </w:tcBorders>
            <w:shd w:fill="FCE4D6" w:val="clear"/>
            <w:tcMar>
              <w:top w:type="dxa" w:w="80"/>
              <w:left w:type="dxa" w:w="120"/>
              <w:bottom w:type="dxa" w:w="80"/>
              <w:right w:type="dxa" w:w="120"/>
            </w:tcMar>
          </w:tcPr>
          <w:p>
            <w:pPr>
              <w:jc w:val="right"/>
            </w:pPr>
            <w:r>
              <w:rPr>
                <w:rFonts w:ascii="Arial" w:cs="Arial" w:eastAsia="Arial" w:hAnsi="Arial"/>
                <w:sz w:val="22"/>
                <w:szCs w:val="22"/>
              </w:rPr>
              <w:t xml:space="preserve">63.5% 증가</w:t>
            </w:r>
          </w:p>
        </w:tc>
        <w:tc>
          <w:tcPr>
            <w:tcW w:type="dxa" w:w="2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Arial" w:cs="Arial" w:eastAsia="Arial" w:hAnsi="Arial"/>
                <w:sz w:val="22"/>
                <w:szCs w:val="22"/>
              </w:rPr>
              <w:t xml:space="preserve">허용 범위</w:t>
            </w:r>
          </w:p>
        </w:tc>
      </w:tr>
    </w:tbl>
    <w:p>
      <w:pPr>
        <w:pStyle w:val="Heading2"/>
        <w:spacing w:before="400"/>
      </w:pPr>
      <w:r>
        <w:t xml:space="preserve">5.2 최종 판단</w:t>
      </w:r>
    </w:p>
    <w:p>
      <w:pPr>
        <w:spacing w:after="120"/>
      </w:pPr>
      <w:r>
        <w:rPr>
          <w:rFonts w:ascii="Arial" w:cs="Arial" w:eastAsia="Arial" w:hAnsi="Arial"/>
          <w:sz w:val="22"/>
          <w:szCs w:val="22"/>
        </w:rPr>
        <w:t xml:space="preserve">Slice 기반 청크 처리 적용은 다음과 같은 이유로 유효한 개선안으로 판단된다:</w:t>
      </w:r>
    </w:p>
    <w:p>
      <w:pPr>
        <w:pStyle w:val="ListParagraph"/>
        <w:numPr>
          <w:ilvl w:val="0"/>
          <w:numId w:val="3"/>
        </w:numPr>
      </w:pPr>
      <w:r>
        <w:rPr>
          <w:rFonts w:ascii="Arial" w:cs="Arial" w:eastAsia="Arial" w:hAnsi="Arial"/>
          <w:sz w:val="22"/>
          <w:szCs w:val="22"/>
        </w:rPr>
        <w:t xml:space="preserve">OOM 위험 해소: 힙 피크 점유율이 64.4%에서 17.6%로 감소하여 안전 마진 확보</w:t>
      </w:r>
    </w:p>
    <w:p>
      <w:pPr>
        <w:pStyle w:val="ListParagraph"/>
        <w:numPr>
          <w:ilvl w:val="0"/>
          <w:numId w:val="3"/>
        </w:numPr>
      </w:pPr>
      <w:r>
        <w:rPr>
          <w:rFonts w:ascii="Arial" w:cs="Arial" w:eastAsia="Arial" w:hAnsi="Arial"/>
          <w:sz w:val="22"/>
          <w:szCs w:val="22"/>
        </w:rPr>
        <w:t xml:space="preserve">확장성 확보: 데이터가 증가해도 힙 사용량은 청크 크기에만 비례하여 OOM 발생 방지</w:t>
      </w:r>
    </w:p>
    <w:p>
      <w:pPr>
        <w:pStyle w:val="ListParagraph"/>
        <w:numPr>
          <w:ilvl w:val="0"/>
          <w:numId w:val="3"/>
        </w:numPr>
      </w:pPr>
      <w:r>
        <w:rPr>
          <w:rFonts w:ascii="Arial" w:cs="Arial" w:eastAsia="Arial" w:hAnsi="Arial"/>
          <w:sz w:val="22"/>
          <w:szCs w:val="22"/>
        </w:rPr>
        <w:t xml:space="preserve">처리 시간 증가는 허용 범위: 배치 작업 특성상 7초 → 12초 증가는 운영에 미치는 영향 미미</w:t>
      </w:r>
    </w:p>
    <w:p>
      <w:pPr>
        <w:pStyle w:val="ListParagraph"/>
        <w:numPr>
          <w:ilvl w:val="0"/>
          <w:numId w:val="3"/>
        </w:numPr>
      </w:pPr>
      <w:r>
        <w:rPr>
          <w:rFonts w:ascii="Arial" w:cs="Arial" w:eastAsia="Arial" w:hAnsi="Arial"/>
          <w:sz w:val="22"/>
          <w:szCs w:val="22"/>
        </w:rPr>
        <w:t xml:space="preserve">청크 크기 튜닝 가능: 현재 10,000건 설정은 보수적이며, 환경에 따라 조정 가능</w:t>
      </w:r>
    </w:p>
    <w:p>
      <w:pPr>
        <w:pStyle w:val="Heading2"/>
        <w:spacing w:before="400"/>
      </w:pPr>
      <w:r>
        <w:t xml:space="preserve">5.3 향후 개선 방향</w:t>
      </w:r>
    </w:p>
    <w:p>
      <w:pPr>
        <w:pStyle w:val="ListParagraph"/>
        <w:numPr>
          <w:ilvl w:val="0"/>
          <w:numId w:val="2"/>
        </w:numPr>
      </w:pPr>
      <w:r>
        <w:rPr>
          <w:rFonts w:ascii="Arial" w:cs="Arial" w:eastAsia="Arial" w:hAnsi="Arial"/>
          <w:sz w:val="22"/>
          <w:szCs w:val="22"/>
        </w:rPr>
        <w:t xml:space="preserve">Keyset Pagination 적용 검토: OFFSET 방식 대신 WHERE 조건 기반 페이징으로 DB 오버헤드 감소</w:t>
      </w:r>
    </w:p>
    <w:p>
      <w:pPr>
        <w:pStyle w:val="ListParagraph"/>
        <w:numPr>
          <w:ilvl w:val="0"/>
          <w:numId w:val="2"/>
        </w:numPr>
      </w:pPr>
      <w:r>
        <w:rPr>
          <w:rFonts w:ascii="Arial" w:cs="Arial" w:eastAsia="Arial" w:hAnsi="Arial"/>
          <w:sz w:val="22"/>
          <w:szCs w:val="22"/>
        </w:rPr>
        <w:t xml:space="preserve">청크 크기 최적화: 메모리와 처리 시간의 균형점 탐색 (15,000~20,000건 테스트)</w:t>
      </w:r>
    </w:p>
    <w:p>
      <w:pPr>
        <w:pStyle w:val="ListParagraph"/>
        <w:numPr>
          <w:ilvl w:val="0"/>
          <w:numId w:val="2"/>
        </w:numPr>
      </w:pPr>
      <w:r>
        <w:rPr>
          <w:rFonts w:ascii="Arial" w:cs="Arial" w:eastAsia="Arial" w:hAnsi="Arial"/>
          <w:sz w:val="22"/>
          <w:szCs w:val="22"/>
        </w:rPr>
        <w:t xml:space="preserve">Redis 동기화 병목 분석: 전체 배치 시간의 69.65%를 차지하는 Redis 처리 최적화</w:t>
      </w:r>
    </w:p>
    <w:p>
      <w:pPr>
        <w:spacing w:before="600"/>
        <w:jc w:val="center"/>
      </w:pPr>
      <w:r>
        <w:rPr>
          <w:rFonts w:ascii="Arial" w:cs="Arial" w:eastAsia="Arial" w:hAnsi="Arial"/>
          <w:color w:val="888888"/>
          <w:sz w:val="20"/>
          <w:szCs w:val="20"/>
        </w:rPr>
        <w:t xml:space="preserve">— 문서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6"/>
      <w:szCs w:val="36"/>
    </w:rPr>
  </w:style>
  <w:style w:type="paragraph" w:styleId="Heading2">
    <w:name w:val="Heading 2"/>
    <w:basedOn w:val="Normal"/>
    <w:next w:val="Normal"/>
    <w:qFormat/>
    <w:pPr>
      <w:spacing w:before="280" w:after="16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2026-01-31T03:24:06.367Z</dcterms:created>
  <dcterms:modified xsi:type="dcterms:W3CDTF">2026-01-31T03:24:06.368Z</dcterms:modified>
</cp:coreProperties>
</file>

<file path=docProps/custom.xml><?xml version="1.0" encoding="utf-8"?>
<Properties xmlns="http://schemas.openxmlformats.org/officeDocument/2006/custom-properties" xmlns:vt="http://schemas.openxmlformats.org/officeDocument/2006/docPropsVTypes"/>
</file>