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color w:val="B45309"/>
          <w:sz w:val="20"/>
          <w:szCs w:val="20"/>
        </w:rPr>
        <w:t xml:space="preserve">PROJET — à compléter et valider avant envoi</w:t>
      </w:r>
    </w:p>
    <w:p>
      <w:pPr>
        <w:pStyle w:val="Title"/>
        <w:spacing w:after="200"/>
      </w:pPr>
      <w:r>
        <w:rPr>
          <w:rFonts w:ascii="Calibri" w:cs="Calibri" w:eastAsia="Calibri" w:hAnsi="Calibri"/>
        </w:rPr>
        <w:t xml:space="preserve">Demande de clarification de compétence</w:t>
      </w:r>
    </w:p>
    <w:p>
      <w:pPr>
        <w:spacing w:after="120"/>
      </w:pPr>
      <w:r>
        <w:rPr>
          <w:rFonts w:ascii="Calibri" w:cs="Calibri" w:eastAsia="Calibri" w:hAnsi="Calibri"/>
          <w:b/>
          <w:bCs/>
          <w:sz w:val="24"/>
          <w:szCs w:val="24"/>
        </w:rPr>
        <w:t xml:space="preserve">Observatoire participatif de l’équité des soins CareWatch™ (carewat.ch)</w:t>
      </w:r>
    </w:p>
    <w:p>
      <w:pPr>
        <w:spacing w:after="120"/>
      </w:pPr>
      <w:r>
        <w:rPr>
          <w:rFonts w:ascii="Calibri" w:cs="Calibri" w:eastAsia="Calibri" w:hAnsi="Calibri"/>
          <w:color w:val="555555"/>
          <w:sz w:val="20"/>
          <w:szCs w:val="20"/>
        </w:rPr>
        <w:t xml:space="preserve">Base légale : art. 51 al. 2 de l’ordonnance relative à la recherche sur l’être humain (ORH). Dépôt via la plateforme BASEC, catégorie « Clarification de compétence ».</w:t>
      </w:r>
    </w:p>
    <w:p>
      <w:pPr>
        <w:pStyle w:val="Heading1"/>
        <w:spacing w:after="120" w:before="240"/>
      </w:pPr>
      <w:r>
        <w:rPr>
          <w:rFonts w:ascii="Calibri" w:cs="Calibri" w:eastAsia="Calibri" w:hAnsi="Calibri"/>
        </w:rPr>
        <w:t xml:space="preserve">Destinataire</w:t>
      </w:r>
    </w:p>
    <w:p>
      <w:pPr>
        <w:spacing w:after="120"/>
      </w:pPr>
      <w:r>
        <w:rPr>
          <w:rFonts w:ascii="Calibri" w:cs="Calibri" w:eastAsia="Calibri" w:hAnsi="Calibri"/>
          <w:b/>
          <w:bCs/>
          <w:sz w:val="22"/>
          <w:szCs w:val="22"/>
        </w:rPr>
        <w:t xml:space="preserve">Commission cantonale d’éthique de la recherche sur l’être humain du canton de Vaud (CER-VD)</w:t>
      </w:r>
      <w:r>
        <w:rPr>
          <w:rFonts w:ascii="Calibri" w:cs="Calibri" w:eastAsia="Calibri" w:hAnsi="Calibri"/>
          <w:b w:val="false"/>
          <w:bCs w:val="false"/>
          <w:sz w:val="22"/>
          <w:szCs w:val="22"/>
        </w:rPr>
        <w:t xml:space="preserve">, Av. de Chailly 23, 1012 Lausanne.</w:t>
      </w:r>
    </w:p>
    <w:p>
      <w:pPr>
        <w:pBdr>
          <w:left w:val="single" w:color="D97706" w:sz="12" w:space="8"/>
        </w:pBdr>
        <w:shd w:fill="FFF7E6" w:val="clear"/>
        <w:spacing w:after="120"/>
      </w:pPr>
      <w:r>
        <w:rPr>
          <w:rFonts w:ascii="Calibri" w:cs="Calibri" w:eastAsia="Calibri" w:hAnsi="Calibri"/>
          <w:i/>
          <w:iCs/>
          <w:color w:val="7C2D12"/>
          <w:sz w:val="20"/>
          <w:szCs w:val="20"/>
        </w:rPr>
        <w:t xml:space="preserve">Pourquoi la CER-VD et non la CCER de Genève : la commission compétente est celle du canton de l’institution qui mène la recherche. La plateforme est développée et maintenue par la HEG-Genève, mais l’épidémiologie, l’analyse des données et la recherche sont assurées par Unisanté, à Lausanne. Si un jour une analyse était menée par la HEG-Genève elle-même, la CCER (Rue Adrien-Lachenal 8, 1207 Genève) deviendrait l’interlocutrice pour cette partie.</w:t>
      </w:r>
    </w:p>
    <w:p>
      <w:pPr>
        <w:pStyle w:val="Heading1"/>
        <w:spacing w:after="120" w:before="240"/>
      </w:pPr>
      <w:r>
        <w:rPr>
          <w:rFonts w:ascii="Calibri" w:cs="Calibri" w:eastAsia="Calibri" w:hAnsi="Calibri"/>
        </w:rPr>
        <w:t xml:space="preserve">1. Institutions et personnes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shd w:fill="E6F4F1" w:val="clear"/>
            <w:tcMar>
              <w:top w:type="dxa" w:w="60"/>
              <w:left w:type="dxa" w:w="100"/>
              <w:bottom w:type="dxa" w:w="60"/>
              <w:right w:type="dxa" w:w="100"/>
            </w:tcMar>
          </w:tcPr>
          <w:p>
            <w:r>
              <w:rPr>
                <w:rFonts w:ascii="Calibri" w:cs="Calibri" w:eastAsia="Calibri" w:hAnsi="Calibri"/>
                <w:b/>
                <w:bCs/>
                <w:sz w:val="20"/>
                <w:szCs w:val="20"/>
              </w:rPr>
              <w:t xml:space="preserve">Rôle</w:t>
            </w:r>
          </w:p>
        </w:tc>
        <w:tc>
          <w:tcPr>
            <w:tcW w:type="dxa" w:w="5900"/>
            <w:shd w:fill="E6F4F1" w:val="clear"/>
            <w:tcMar>
              <w:top w:type="dxa" w:w="60"/>
              <w:left w:type="dxa" w:w="100"/>
              <w:bottom w:type="dxa" w:w="60"/>
              <w:right w:type="dxa" w:w="100"/>
            </w:tcMar>
          </w:tcPr>
          <w:p>
            <w:r>
              <w:rPr>
                <w:rFonts w:ascii="Calibri" w:cs="Calibri" w:eastAsia="Calibri" w:hAnsi="Calibri"/>
                <w:b/>
                <w:bCs/>
                <w:sz w:val="20"/>
                <w:szCs w:val="20"/>
              </w:rPr>
              <w:t xml:space="preserve">Institution et personne</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Conception, développement, hébergement et maintenance de la plateforme ; responsable du traitement pour la collecte des témoignages</w:t>
            </w:r>
          </w:p>
        </w:tc>
        <w:tc>
          <w:tcPr>
            <w:tcW w:type="dxa" w:w="5900"/>
            <w:tcMar>
              <w:top w:type="dxa" w:w="60"/>
              <w:left w:type="dxa" w:w="100"/>
              <w:bottom w:type="dxa" w:w="60"/>
              <w:right w:type="dxa" w:w="100"/>
            </w:tcMar>
          </w:tcPr>
          <w:p>
            <w:r>
              <w:rPr>
                <w:rFonts w:ascii="Calibri" w:cs="Calibri" w:eastAsia="Calibri" w:hAnsi="Calibri"/>
                <w:b w:val="false"/>
                <w:bCs w:val="false"/>
                <w:sz w:val="20"/>
                <w:szCs w:val="20"/>
              </w:rPr>
              <w:t xml:space="preserve">Haute école de gestion de Genève (HEG-Genève, HES-SO) — [nom, fonction, e-mail]</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Épidémiologie, analyse des données, recherche et publications scientifiques ; investigateur·rice principal·e au sens de la LRH</w:t>
            </w:r>
          </w:p>
        </w:tc>
        <w:tc>
          <w:tcPr>
            <w:tcW w:type="dxa" w:w="5900"/>
            <w:tcMar>
              <w:top w:type="dxa" w:w="60"/>
              <w:left w:type="dxa" w:w="100"/>
              <w:bottom w:type="dxa" w:w="60"/>
              <w:right w:type="dxa" w:w="100"/>
            </w:tcMar>
          </w:tcPr>
          <w:p>
            <w:r>
              <w:rPr>
                <w:rFonts w:ascii="Calibri" w:cs="Calibri" w:eastAsia="Calibri" w:hAnsi="Calibri"/>
                <w:b w:val="false"/>
                <w:bCs w:val="false"/>
                <w:sz w:val="20"/>
                <w:szCs w:val="20"/>
              </w:rPr>
              <w:t xml:space="preserve">Unisanté, Centre universitaire de médecine générale et santé publique, Lausanne — [nom, fonction, e-mail]</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Personne de contact pour la présente demande</w:t>
            </w:r>
          </w:p>
        </w:tc>
        <w:tc>
          <w:tcPr>
            <w:tcW w:type="dxa" w:w="5900"/>
            <w:tcMar>
              <w:top w:type="dxa" w:w="60"/>
              <w:left w:type="dxa" w:w="100"/>
              <w:bottom w:type="dxa" w:w="60"/>
              <w:right w:type="dxa" w:w="100"/>
            </w:tcMar>
          </w:tcPr>
          <w:p>
            <w:r>
              <w:rPr>
                <w:rFonts w:ascii="Calibri" w:cs="Calibri" w:eastAsia="Calibri" w:hAnsi="Calibri"/>
                <w:b w:val="false"/>
                <w:bCs w:val="false"/>
                <w:sz w:val="20"/>
                <w:szCs w:val="20"/>
              </w:rPr>
              <w:t xml:space="preserve">[Tan Rainer, fonction, institution, e-mail]</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rPr>
        <w:t xml:space="preserve">2. Le projet</w:t>
      </w:r>
    </w:p>
    <w:p>
      <w:pPr>
        <w:spacing w:after="120"/>
      </w:pPr>
      <w:r>
        <w:rPr>
          <w:rFonts w:ascii="Calibri" w:cs="Calibri" w:eastAsia="Calibri" w:hAnsi="Calibri"/>
          <w:sz w:val="22"/>
          <w:szCs w:val="22"/>
        </w:rPr>
        <w:t xml:space="preserve">CareWatch™ est un observatoire participatif, sans but lucratif, de l’équité des soins en Suisse romande. Il permet à des patient·e·s, proches, témoins et professionnel·le·s de santé de décrire, sans compte et sans donnée d’identité, une expérience de discrimination perçue ou une expérience positive dans un établissement de santé. Chaque témoignage est lu par une équipe de modération tenue au secret, puis contribue à des indicateurs agrégés par établissement, service et canton.</w:t>
      </w:r>
    </w:p>
    <w:p>
      <w:pPr>
        <w:spacing w:after="120"/>
      </w:pPr>
      <w:r>
        <w:rPr>
          <w:rFonts w:ascii="Calibri" w:cs="Calibri" w:eastAsia="Calibri" w:hAnsi="Calibri"/>
          <w:sz w:val="22"/>
          <w:szCs w:val="22"/>
        </w:rPr>
        <w:t xml:space="preserve">L’objectif premier est citoyen et d’intérêt public : documenter, rendre visible et améliorer l’équité des soins. Une réutilisation à des fins de recherche, de sensibilisation et de formation n’a lieu que pour les témoignages dont l’auteur·e a coché une case de consentement explicite prévue à cet effet. Le projet est en phase alpha, sur invitation.</w:t>
      </w:r>
    </w:p>
    <w:p>
      <w:pPr>
        <w:pStyle w:val="Heading1"/>
        <w:spacing w:after="120" w:before="240"/>
      </w:pPr>
      <w:r>
        <w:rPr>
          <w:rFonts w:ascii="Calibri" w:cs="Calibri" w:eastAsia="Calibri" w:hAnsi="Calibri"/>
        </w:rPr>
        <w:t xml:space="preserve">3. Données collectées</w:t>
      </w:r>
    </w:p>
    <w:p>
      <w:pPr>
        <w:spacing w:after="120"/>
      </w:pPr>
      <w:r>
        <w:rPr>
          <w:rFonts w:ascii="Calibri" w:cs="Calibri" w:eastAsia="Calibri" w:hAnsi="Calibri"/>
          <w:sz w:val="22"/>
          <w:szCs w:val="22"/>
        </w:rPr>
        <w:t xml:space="preserve">Pour chaque témoignage, la personne renseigne :</w:t>
      </w:r>
    </w:p>
    <w:p>
      <w:pPr>
        <w:pStyle w:val="ListParagraph"/>
        <w:numPr>
          <w:ilvl w:val="0"/>
          <w:numId w:val="2"/>
        </w:numPr>
        <w:spacing w:after="60"/>
      </w:pPr>
      <w:r>
        <w:rPr>
          <w:rFonts w:ascii="Calibri" w:cs="Calibri" w:eastAsia="Calibri" w:hAnsi="Calibri"/>
          <w:sz w:val="22"/>
          <w:szCs w:val="22"/>
        </w:rPr>
        <w:t xml:space="preserve">son rôle (patient·e, proche, témoin, professionnel·le) et, facultativement, sa tranche d’âge ;</w:t>
      </w:r>
    </w:p>
    <w:p>
      <w:pPr>
        <w:pStyle w:val="ListParagraph"/>
        <w:numPr>
          <w:ilvl w:val="0"/>
          <w:numId w:val="2"/>
        </w:numPr>
        <w:spacing w:after="60"/>
      </w:pPr>
      <w:r>
        <w:rPr>
          <w:rFonts w:ascii="Calibri" w:cs="Calibri" w:eastAsia="Calibri" w:hAnsi="Calibri"/>
          <w:sz w:val="22"/>
          <w:szCs w:val="22"/>
        </w:rPr>
        <w:t xml:space="preserve">le canton, l’établissement et le service concernés, la période ou une date approximative ;</w:t>
      </w:r>
    </w:p>
    <w:p>
      <w:pPr>
        <w:pStyle w:val="ListParagraph"/>
        <w:numPr>
          <w:ilvl w:val="0"/>
          <w:numId w:val="2"/>
        </w:numPr>
        <w:spacing w:after="60"/>
      </w:pPr>
      <w:r>
        <w:rPr>
          <w:rFonts w:ascii="Calibri" w:cs="Calibri" w:eastAsia="Calibri" w:hAnsi="Calibri"/>
          <w:sz w:val="22"/>
          <w:szCs w:val="22"/>
        </w:rPr>
        <w:t xml:space="preserve">le type d’incident et les motifs de discrimination perçus (liste à choix), ou les catégories d’une expérience positive ;</w:t>
      </w:r>
    </w:p>
    <w:p>
      <w:pPr>
        <w:pStyle w:val="ListParagraph"/>
        <w:numPr>
          <w:ilvl w:val="0"/>
          <w:numId w:val="2"/>
        </w:numPr>
        <w:spacing w:after="60"/>
      </w:pPr>
      <w:r>
        <w:rPr>
          <w:rFonts w:ascii="Calibri" w:cs="Calibri" w:eastAsia="Calibri" w:hAnsi="Calibri"/>
          <w:sz w:val="22"/>
          <w:szCs w:val="22"/>
        </w:rPr>
        <w:t xml:space="preserve">un récit libre de 20 à 3 000 caractères et, facultativement, l’impact ressenti ;</w:t>
      </w:r>
    </w:p>
    <w:p>
      <w:pPr>
        <w:pStyle w:val="ListParagraph"/>
        <w:numPr>
          <w:ilvl w:val="0"/>
          <w:numId w:val="2"/>
        </w:numPr>
        <w:spacing w:after="60"/>
      </w:pPr>
      <w:r>
        <w:rPr>
          <w:rFonts w:ascii="Calibri" w:cs="Calibri" w:eastAsia="Calibri" w:hAnsi="Calibri"/>
          <w:sz w:val="22"/>
          <w:szCs w:val="22"/>
        </w:rPr>
        <w:t xml:space="preserve">les sept réponses au questionnaire DMS (Discrimination in Medical Settings), de « jamais » à « toujours » ;</w:t>
      </w:r>
    </w:p>
    <w:p>
      <w:pPr>
        <w:pStyle w:val="ListParagraph"/>
        <w:numPr>
          <w:ilvl w:val="0"/>
          <w:numId w:val="2"/>
        </w:numPr>
        <w:spacing w:after="60"/>
      </w:pPr>
      <w:r>
        <w:rPr>
          <w:rFonts w:ascii="Calibri" w:cs="Calibri" w:eastAsia="Calibri" w:hAnsi="Calibri"/>
          <w:sz w:val="22"/>
          <w:szCs w:val="22"/>
        </w:rPr>
        <w:t xml:space="preserve">ses choix de suivi : sept cases indépendantes, toutes décochées par défaut (voir point 5).</w:t>
      </w:r>
    </w:p>
    <w:p>
      <w:pPr>
        <w:spacing w:after="120"/>
      </w:pPr>
      <w:r>
        <w:rPr>
          <w:rFonts w:ascii="Calibri" w:cs="Calibri" w:eastAsia="Calibri" w:hAnsi="Calibri"/>
          <w:b/>
          <w:bCs/>
          <w:sz w:val="22"/>
          <w:szCs w:val="22"/>
        </w:rPr>
        <w:t xml:space="preserve">Ne sont pas collectés : </w:t>
      </w:r>
      <w:r>
        <w:rPr>
          <w:rFonts w:ascii="Calibri" w:cs="Calibri" w:eastAsia="Calibri" w:hAnsi="Calibri"/>
          <w:b w:val="false"/>
          <w:bCs w:val="false"/>
          <w:sz w:val="22"/>
          <w:szCs w:val="22"/>
        </w:rPr>
        <w:t xml:space="preserve">nom, prénom, date de naissance, adresse, téléphone, identifiant de compte, adresse IP conservée avec le témoignage. Le code postal saisi est vérifié dans le navigateur de la personne et jamais transmis ; seul un résultat de cohérence géographique (cohérent / incohérent / non vérifiable) l’est.</w:t>
      </w:r>
    </w:p>
    <w:p>
      <w:pPr>
        <w:pStyle w:val="Heading1"/>
        <w:spacing w:after="120" w:before="240"/>
      </w:pPr>
      <w:r>
        <w:rPr>
          <w:rFonts w:ascii="Calibri" w:cs="Calibri" w:eastAsia="Calibri" w:hAnsi="Calibri"/>
        </w:rPr>
        <w:t xml:space="preserve">4. Qualification des données</w:t>
      </w:r>
    </w:p>
    <w:p>
      <w:pPr>
        <w:spacing w:after="120"/>
      </w:pPr>
      <w:r>
        <w:rPr>
          <w:rFonts w:ascii="Calibri" w:cs="Calibri" w:eastAsia="Calibri" w:hAnsi="Calibri"/>
          <w:sz w:val="22"/>
          <w:szCs w:val="22"/>
        </w:rPr>
        <w:t xml:space="preserve">Le récit libre peut contenir des données sur la santé de la personne ou de tiers (art. 5 let. c LPD). Aucun identifiant direct n’est recueilli. Toutefois, un récit détaillé (date, petit service, situation rare) peut théoriquement permettre une réidentification par une personne disposant d’informations de contexte. Nous considérons donc ces données, au stade de la collecte, comme pseudonymisées ou potentiellement réidentifiables, et non comme anonymes au sens strict.</w:t>
      </w:r>
    </w:p>
    <w:p>
      <w:pPr>
        <w:spacing w:after="120"/>
      </w:pPr>
      <w:r>
        <w:rPr>
          <w:rFonts w:ascii="Calibri" w:cs="Calibri" w:eastAsia="Calibri" w:hAnsi="Calibri"/>
          <w:sz w:val="22"/>
          <w:szCs w:val="22"/>
        </w:rPr>
        <w:t xml:space="preserve">Les données publiées sont, elles, agrégées et anonymes : compteurs par établissement, indice d’équité par établissement calculé uniquement à partir de cinq témoignages vérifiés, répartitions par canton à partir de cinq témoignages, et fiches résumées (sans récit ni date précise) uniquement pour les témoignages dont l’auteur·e a autorisé la publication et que la modération a validés.</w:t>
      </w:r>
    </w:p>
    <w:p>
      <w:pPr>
        <w:pStyle w:val="Heading1"/>
        <w:spacing w:after="120" w:before="240"/>
      </w:pPr>
      <w:r>
        <w:rPr>
          <w:rFonts w:ascii="Calibri" w:cs="Calibri" w:eastAsia="Calibri" w:hAnsi="Calibri"/>
        </w:rPr>
        <w:t xml:space="preserve">5. Consentement et maîtrise par la personne</w:t>
      </w:r>
    </w:p>
    <w:p>
      <w:pPr>
        <w:pStyle w:val="ListParagraph"/>
        <w:numPr>
          <w:ilvl w:val="0"/>
          <w:numId w:val="2"/>
        </w:numPr>
        <w:spacing w:after="60"/>
      </w:pPr>
      <w:r>
        <w:rPr>
          <w:rFonts w:ascii="Calibri" w:cs="Calibri" w:eastAsia="Calibri" w:hAnsi="Calibri"/>
          <w:sz w:val="22"/>
          <w:szCs w:val="22"/>
        </w:rPr>
        <w:t xml:space="preserve">Acceptation d’une charte avant le début du formulaire.</w:t>
      </w:r>
    </w:p>
    <w:p>
      <w:pPr>
        <w:pStyle w:val="ListParagraph"/>
        <w:numPr>
          <w:ilvl w:val="0"/>
          <w:numId w:val="2"/>
        </w:numPr>
        <w:spacing w:after="60"/>
      </w:pPr>
      <w:r>
        <w:rPr>
          <w:rFonts w:ascii="Calibri" w:cs="Calibri" w:eastAsia="Calibri" w:hAnsi="Calibri"/>
          <w:sz w:val="22"/>
          <w:szCs w:val="22"/>
        </w:rPr>
        <w:t xml:space="preserve">Sept cases de suivi, toutes décochées par défaut, dont : « Recherche, sensibilisation et formation : mes données dé-identifiées peuvent y servir » et « Publier la fiche résumée dans les données ouvertes ».</w:t>
      </w:r>
    </w:p>
    <w:p>
      <w:pPr>
        <w:pStyle w:val="ListParagraph"/>
        <w:numPr>
          <w:ilvl w:val="0"/>
          <w:numId w:val="2"/>
        </w:numPr>
        <w:spacing w:after="60"/>
      </w:pPr>
      <w:r>
        <w:rPr>
          <w:rFonts w:ascii="Calibri" w:cs="Calibri" w:eastAsia="Calibri" w:hAnsi="Calibri"/>
          <w:sz w:val="22"/>
          <w:szCs w:val="22"/>
        </w:rPr>
        <w:t xml:space="preserve">À la fin, la personne reçoit un numéro et un code personnel. Sans compte, ils lui permettent à tout moment de consulter l’état du témoignage, de modifier son texte, de modifier chacune de ses autorisations, ou de retirer le témoignage : le récit et les réponses sont alors effacés.</w:t>
      </w:r>
    </w:p>
    <w:p>
      <w:pPr>
        <w:pStyle w:val="ListParagraph"/>
        <w:numPr>
          <w:ilvl w:val="0"/>
          <w:numId w:val="2"/>
        </w:numPr>
        <w:spacing w:after="60"/>
      </w:pPr>
      <w:r>
        <w:rPr>
          <w:rFonts w:ascii="Calibri" w:cs="Calibri" w:eastAsia="Calibri" w:hAnsi="Calibri"/>
          <w:sz w:val="22"/>
          <w:szCs w:val="22"/>
        </w:rPr>
        <w:t xml:space="preserve">Une adresse e-mail n’est demandée que si une case le nécessite ; elle est transmise à l’équipe par courriel et n’est pas stockée dans la base des témoignages.</w:t>
      </w:r>
    </w:p>
    <w:p>
      <w:pPr>
        <w:pStyle w:val="Heading1"/>
        <w:spacing w:after="120" w:before="240"/>
      </w:pPr>
      <w:r>
        <w:rPr>
          <w:rFonts w:ascii="Calibri" w:cs="Calibri" w:eastAsia="Calibri" w:hAnsi="Calibri"/>
        </w:rPr>
        <w:t xml:space="preserve">6. Flux et hébergement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300"/>
      </w:tblGrid>
      <w:tr>
        <w:tc>
          <w:tcPr>
            <w:tcW w:type="dxa" w:w="2000"/>
            <w:shd w:fill="E6F4F1" w:val="clear"/>
            <w:tcMar>
              <w:top w:type="dxa" w:w="60"/>
              <w:left w:type="dxa" w:w="100"/>
              <w:bottom w:type="dxa" w:w="60"/>
              <w:right w:type="dxa" w:w="100"/>
            </w:tcMar>
          </w:tcPr>
          <w:p>
            <w:r>
              <w:rPr>
                <w:rFonts w:ascii="Calibri" w:cs="Calibri" w:eastAsia="Calibri" w:hAnsi="Calibri"/>
                <w:b/>
                <w:bCs/>
                <w:sz w:val="20"/>
                <w:szCs w:val="20"/>
              </w:rPr>
              <w:t xml:space="preserve">Étape</w:t>
            </w:r>
          </w:p>
        </w:tc>
        <w:tc>
          <w:tcPr>
            <w:tcW w:type="dxa" w:w="3800"/>
            <w:shd w:fill="E6F4F1" w:val="clear"/>
            <w:tcMar>
              <w:top w:type="dxa" w:w="60"/>
              <w:left w:type="dxa" w:w="100"/>
              <w:bottom w:type="dxa" w:w="60"/>
              <w:right w:type="dxa" w:w="100"/>
            </w:tcMar>
          </w:tcPr>
          <w:p>
            <w:r>
              <w:rPr>
                <w:rFonts w:ascii="Calibri" w:cs="Calibri" w:eastAsia="Calibri" w:hAnsi="Calibri"/>
                <w:b/>
                <w:bCs/>
                <w:sz w:val="20"/>
                <w:szCs w:val="20"/>
              </w:rPr>
              <w:t xml:space="preserve">Où</w:t>
            </w:r>
          </w:p>
        </w:tc>
        <w:tc>
          <w:tcPr>
            <w:tcW w:type="dxa" w:w="3300"/>
            <w:shd w:fill="E6F4F1" w:val="clear"/>
            <w:tcMar>
              <w:top w:type="dxa" w:w="60"/>
              <w:left w:type="dxa" w:w="100"/>
              <w:bottom w:type="dxa" w:w="60"/>
              <w:right w:type="dxa" w:w="100"/>
            </w:tcMar>
          </w:tcPr>
          <w:p>
            <w:r>
              <w:rPr>
                <w:rFonts w:ascii="Calibri" w:cs="Calibri" w:eastAsia="Calibri" w:hAnsi="Calibri"/>
                <w:b/>
                <w:bCs/>
                <w:sz w:val="20"/>
                <w:szCs w:val="20"/>
              </w:rPr>
              <w:t xml:space="preserve">Qui y accède</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Saisie</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Navigateur de la personne</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La personne</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Enregistrement</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Base de données Supabase, centre de données de Zurich (AWS eu-central-2), chiffrée au repos</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Fonctions contrôlées uniquement ; équipe de modération authentifiée avec second facteur</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Notification</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Courriel émis depuis l’hébergement Infomaniak (Genève) de la HEG-Genève vers la boîte de l’équipe</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Équipe de modération</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Analyse et recherche</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Extraits dé-identifiés transmis à Unisanté, limités aux témoignages ayant coché la case « recherche »</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Équipe de recherche Unisanté</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Publication</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Site carewat.ch et données ouvertes</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Public, données agrégées et fiches résumées consenties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Le code personnel n’est stocké que sous forme de hachage. Chaque opération (envoi, modification, retrait, décision de modération) est journalisée avec le numéro du témoignage, sans information sur la personne. Une protection contre les envois automatisés utilise une empreinte non réversible de l’adresse IP, conservée au plus 24 heures et jamais reliée au témoignage.</w:t>
      </w:r>
    </w:p>
    <w:p>
      <w:pPr>
        <w:pStyle w:val="Heading1"/>
        <w:spacing w:after="120" w:before="240"/>
      </w:pPr>
      <w:r>
        <w:rPr>
          <w:rFonts w:ascii="Calibri" w:cs="Calibri" w:eastAsia="Calibri" w:hAnsi="Calibri"/>
        </w:rPr>
        <w:t xml:space="preserve">7. Usages envisagés</w:t>
      </w:r>
    </w:p>
    <w:p>
      <w:pPr>
        <w:pStyle w:val="ListParagraph"/>
        <w:numPr>
          <w:ilvl w:val="0"/>
          <w:numId w:val="2"/>
        </w:numPr>
        <w:spacing w:after="60"/>
      </w:pPr>
      <w:r>
        <w:rPr>
          <w:rFonts w:ascii="Calibri" w:cs="Calibri" w:eastAsia="Calibri" w:hAnsi="Calibri"/>
          <w:sz w:val="22"/>
          <w:szCs w:val="22"/>
        </w:rPr>
        <w:t xml:space="preserve">Indicateurs publics agrégés (observatoire) — usage principal, données anonymes, sans consentement supplémentaire.</w:t>
      </w:r>
    </w:p>
    <w:p>
      <w:pPr>
        <w:pStyle w:val="ListParagraph"/>
        <w:numPr>
          <w:ilvl w:val="0"/>
          <w:numId w:val="2"/>
        </w:numPr>
        <w:spacing w:after="60"/>
      </w:pPr>
      <w:r>
        <w:rPr>
          <w:rFonts w:ascii="Calibri" w:cs="Calibri" w:eastAsia="Calibri" w:hAnsi="Calibri"/>
          <w:sz w:val="22"/>
          <w:szCs w:val="22"/>
        </w:rPr>
        <w:t xml:space="preserve">Droit de réponse de l’établissement sur des éléments dépersonnalisés.</w:t>
      </w:r>
    </w:p>
    <w:p>
      <w:pPr>
        <w:pStyle w:val="ListParagraph"/>
        <w:numPr>
          <w:ilvl w:val="0"/>
          <w:numId w:val="2"/>
        </w:numPr>
        <w:spacing w:after="60"/>
      </w:pPr>
      <w:r>
        <w:rPr>
          <w:rFonts w:ascii="Calibri" w:cs="Calibri" w:eastAsia="Calibri" w:hAnsi="Calibri"/>
          <w:sz w:val="22"/>
          <w:szCs w:val="22"/>
        </w:rPr>
        <w:t xml:space="preserve">Sous réserve de la case cochée : analyses épidémiologiques et secondaires par Unisanté (par exemple motifs perçus et scores DMS par type d’établissement), matériel de sensibilisation et de formation à partir de récits dé-identifiés et généralisés, publication scientifique de résultats agrégés.</w:t>
      </w:r>
    </w:p>
    <w:p>
      <w:pPr>
        <w:pStyle w:val="Heading1"/>
        <w:spacing w:after="120" w:before="240"/>
      </w:pPr>
      <w:r>
        <w:rPr>
          <w:rFonts w:ascii="Calibri" w:cs="Calibri" w:eastAsia="Calibri" w:hAnsi="Calibri"/>
        </w:rPr>
        <w:t xml:space="preserve">8. Questions posées à la commission</w:t>
      </w:r>
    </w:p>
    <w:p>
      <w:pPr>
        <w:pStyle w:val="ListParagraph"/>
        <w:numPr>
          <w:ilvl w:val="0"/>
          <w:numId w:val="2"/>
        </w:numPr>
        <w:spacing w:after="60"/>
      </w:pPr>
      <w:r>
        <w:rPr>
          <w:rFonts w:ascii="Calibri" w:cs="Calibri" w:eastAsia="Calibri" w:hAnsi="Calibri"/>
          <w:sz w:val="22"/>
          <w:szCs w:val="22"/>
        </w:rPr>
        <w:t xml:space="preserve">L’exploitation des témoignages à des fins de recherche par Unisanté (point 7, troisième usage), sur la base du consentement explicite décrit au point 5, constitue-t-elle un projet de recherche au sens de la LRH soumis à autorisation ?</w:t>
      </w:r>
    </w:p>
    <w:p>
      <w:pPr>
        <w:pStyle w:val="ListParagraph"/>
        <w:numPr>
          <w:ilvl w:val="0"/>
          <w:numId w:val="2"/>
        </w:numPr>
        <w:spacing w:after="60"/>
      </w:pPr>
      <w:r>
        <w:rPr>
          <w:rFonts w:ascii="Calibri" w:cs="Calibri" w:eastAsia="Calibri" w:hAnsi="Calibri"/>
          <w:sz w:val="22"/>
          <w:szCs w:val="22"/>
        </w:rPr>
        <w:t xml:space="preserve">Si oui, la commission considère-t-elle que la réutilisation de données de santé pseudonymisées avec consentement (art. 33 al. 2 LRH) est la qualification adéquate, et quels documents attend-elle ?</w:t>
      </w:r>
    </w:p>
    <w:p>
      <w:pPr>
        <w:pStyle w:val="ListParagraph"/>
        <w:numPr>
          <w:ilvl w:val="0"/>
          <w:numId w:val="2"/>
        </w:numPr>
        <w:spacing w:after="60"/>
      </w:pPr>
      <w:r>
        <w:rPr>
          <w:rFonts w:ascii="Calibri" w:cs="Calibri" w:eastAsia="Calibri" w:hAnsi="Calibri"/>
          <w:sz w:val="22"/>
          <w:szCs w:val="22"/>
        </w:rPr>
        <w:t xml:space="preserve">Si non, la commission confirme-t-elle que l’activité d’observatoire menée par la HEG-Genève (points 7, premier et deuxième usages) est hors du champ de la LRH, les données publiées étant anonymes ?</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Nous vous remercions de l’attention portée à cette demande et restons à disposition pour tout complément.</w:t>
      </w:r>
    </w:p>
    <w:p>
      <w:pPr>
        <w:spacing w:after="120"/>
      </w:pPr>
      <w:r>
        <w:rPr>
          <w:rFonts w:ascii="Calibri" w:cs="Calibri" w:eastAsia="Calibri" w:hAnsi="Calibri"/>
          <w:sz w:val="22"/>
          <w:szCs w:val="22"/>
        </w:rPr>
        <w:t xml:space="preserve">[Lieu, date]</w:t>
      </w:r>
    </w:p>
    <w:p>
      <w:pPr>
        <w:spacing w:after="120"/>
      </w:pPr>
      <w:r>
        <w:rPr>
          <w:rFonts w:ascii="Calibri" w:cs="Calibri" w:eastAsia="Calibri" w:hAnsi="Calibri"/>
          <w:sz w:val="22"/>
          <w:szCs w:val="22"/>
        </w:rPr>
        <w:t xml:space="preserve">[Signature de l’investigateur·rice principal·e, Unisanté]        [Signature du·de la responsable de la plateforme, HEG-Genève]</w:t>
      </w:r>
    </w:p>
    <w:p>
      <w:pPr>
        <w:pStyle w:val="Heading1"/>
        <w:spacing w:after="120" w:before="240"/>
      </w:pPr>
      <w:r>
        <w:rPr>
          <w:rFonts w:ascii="Calibri" w:cs="Calibri" w:eastAsia="Calibri" w:hAnsi="Calibri"/>
        </w:rPr>
        <w:t xml:space="preserve">Annexes disponibles</w:t>
      </w:r>
    </w:p>
    <w:p>
      <w:pPr>
        <w:pStyle w:val="ListParagraph"/>
        <w:numPr>
          <w:ilvl w:val="0"/>
          <w:numId w:val="2"/>
        </w:numPr>
        <w:spacing w:after="60"/>
      </w:pPr>
      <w:r>
        <w:rPr>
          <w:rFonts w:ascii="Calibri" w:cs="Calibri" w:eastAsia="Calibri" w:hAnsi="Calibri"/>
          <w:sz w:val="22"/>
          <w:szCs w:val="22"/>
        </w:rPr>
        <w:t xml:space="preserve">Politique de confidentialité et mentions légales du site (page « Confidentialité et mentions légales », carewat.ch).</w:t>
      </w:r>
    </w:p>
    <w:p>
      <w:pPr>
        <w:pStyle w:val="ListParagraph"/>
        <w:numPr>
          <w:ilvl w:val="0"/>
          <w:numId w:val="2"/>
        </w:numPr>
        <w:spacing w:after="60"/>
      </w:pPr>
      <w:r>
        <w:rPr>
          <w:rFonts w:ascii="Calibri" w:cs="Calibri" w:eastAsia="Calibri" w:hAnsi="Calibri"/>
          <w:sz w:val="22"/>
          <w:szCs w:val="22"/>
        </w:rPr>
        <w:t xml:space="preserve">Page « Méthodologie » : formule de l’indice d’équité et seuils de publication.</w:t>
      </w:r>
    </w:p>
    <w:p>
      <w:pPr>
        <w:pStyle w:val="ListParagraph"/>
        <w:numPr>
          <w:ilvl w:val="0"/>
          <w:numId w:val="2"/>
        </w:numPr>
        <w:spacing w:after="60"/>
      </w:pPr>
      <w:r>
        <w:rPr>
          <w:rFonts w:ascii="Calibri" w:cs="Calibri" w:eastAsia="Calibri" w:hAnsi="Calibri"/>
          <w:sz w:val="22"/>
          <w:szCs w:val="22"/>
        </w:rPr>
        <w:t xml:space="preserve">Formulaire de témoignage : liste des champs et des sept cases de consentement.</w:t>
      </w:r>
    </w:p>
    <w:p>
      <w:pPr>
        <w:pStyle w:val="ListParagraph"/>
        <w:numPr>
          <w:ilvl w:val="0"/>
          <w:numId w:val="2"/>
        </w:numPr>
        <w:spacing w:after="60"/>
      </w:pPr>
      <w:r>
        <w:rPr>
          <w:rFonts w:ascii="Calibri" w:cs="Calibri" w:eastAsia="Calibri" w:hAnsi="Calibri"/>
          <w:sz w:val="22"/>
          <w:szCs w:val="22"/>
        </w:rPr>
        <w:t xml:space="preserve">Schéma des fonctions de base de données : soumission, lecture, modification, retrait, modération, données ouvertes.</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2026-09-03T12:56:15.733Z</dcterms:created>
  <dcterms:modified xsi:type="dcterms:W3CDTF">2026-09-03T12:56:15.735Z</dcterms:modified>
</cp:coreProperties>
</file>

<file path=docProps/custom.xml><?xml version="1.0" encoding="utf-8"?>
<Properties xmlns="http://schemas.openxmlformats.org/officeDocument/2006/custom-properties" xmlns:vt="http://schemas.openxmlformats.org/officeDocument/2006/docPropsVTypes"/>
</file>