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bu tartışmada çoğu kez geleneksel malzemelerin sürdürülebilir birer alternatifi olarak sunulur. Oysa böyle bir kurgu malzeme kararının yapısını değiştirmediği için sınırlı bir dönüşüm üretir. Bu bölüm, iç mimarlıkta biyolojik temelli malzeme seçimini kuramsal bir çerçevede ele alır ve biyotasarımın yalnızca yeni seçenekler sunmadığını savunur. Biyotasarım, malzeme seçiminin ölçütlerini ve tasarımcının kaynakla, üretimle, kullanımla ve atıkla kurduğu ilişkiyi yeniden tanımlar. Çalışma önce biyotasarımı komşu kavramlardan ayırır, ardından biyolojik temelli malzemeleri doğanın tasarım sürecine katılım düzeyine göre sınıflandırır. Biyolojik kökenin tek başına ne sürdürülebilirlik ne döngüsellik güvencesi oluşturduğu gösterilir. Döngüsellik, malzemenin kökeninde değil bileşiminde, birleşiminde ve ömür sonu senaryosunda kararlaşır. Değişkenlik, zamansallık ve bakım gereksinimi dirençlilik kavramı üzerinden değerlendirilir. Son olarak iç mekân ölçeğine özgü altı boyutlu bir değerlendirme çerçevesi önerilir.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olarak adlandırılacak düzeye ulaşmıştır (Heymans ve diğ., 2019). Bu dönüşümün en belirgin taşıyıcılarından biri yapılı çevredir. Edalat (2026), yapı sektörünün tüm endüstriyel sektörler içinde doğal çevre üzerinde en önemli etkiyi yarattığını aktarır. Aktarılan değerlere göre sektör küresel karbondioksit salımının yaklaşık %39’undan sorumludur, ham maddelerin yaklaşık %40’ını tüketir ve katı atığın en az %30’unu üretir. Etkinin kaynağı yalnızca ölçek değil, üretim mantığıdır. Chayaamor-Heil ve diğ. (2024), fosil yakıtların ve ham maddelerin çıkarımına dayanan inşaat sektörünün kirliliğe ve kaynak tükenmesine önemli ölçüde katkıda bulunduğunu saptar. Lee ve diğ. (2022) de fosil temelli ürünlerin doğal kaynak rezervleri açısından ciddi bir tehdit oluşturduğuna dikkat çeker.</w:t>
      </w:r>
    </w:p>
    <w:p>
      <w:pPr>
        <w:spacing w:after="160" w:line="360"/>
        <w:jc w:val="both"/>
      </w:pPr>
      <w:r>
        <w:rPr>
          <w:rFonts w:ascii="Times New Roman" w:cs="Times New Roman" w:eastAsia="Times New Roman" w:hAnsi="Times New Roman"/>
          <w:sz w:val="24"/>
          <w:szCs w:val="24"/>
        </w:rPr>
        <w:t xml:space="preserve">Biyolojik temelli malzemeler bu tabloya verilen yanıtlardan biridir. Bourbia ve diğ. (2023), bu malzemelerin yenilenebilirlik, düşük gömülü enerji ve ısıl düzenleme kapasitesi gibi avantajlar taşıdığını derler. Ancak Andréen ve Goidea (2022) önemli bir uyarıda bulunur. Biyomalzemeler inşaat sektörünün ekolojik etkisini azaltmak için potansiyel bir araçtır, fakat bu potansiyelin en üst düzeye çıkması geleneksel yapı malzemelerinden önemli ölçüde farklı yaklaşımlar gerektirir. Uyarı bölümün çıkış noktasıdır.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bildirir. Birinci düzey kavramsaldır. Kırbaş Akyürek ve diğ. (2020), canlı ve üretilmiş bileşenlerin bir araya gelmesini adlandıran terminolojinin çeşitlilik içinde sıkışıp kaldığını bulgulamıştır. Benzer bir belirsizlik döngüsellik kavramında da görülür. Kirchherr ve diğ. (2017), 114 döngüsel ekonomi tanımını kodladıkları çalışmada kavramın en sık azaltma, yeniden kullanma ve geri dönüştürme etkinliklerinin bileşimi olarak betimlendiğini saptar. Döngüselliğin sistemsel bir değişim gerektirdiği ise çoğu kez vurgulanmaz. İkinci düzey malzemenin kendisine ilişkindir. O’Rourke ve Seepersad (2015), biyolojik organizmaların çevresel avantajlarına ilişkin iddiaların genel olarak doğru olduğunu, fakat her avantaj için önemli istisnalar barındırdığını göstermiştir. Biyolojik köken, kısacası,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vardır. Edalat (2026), ahşap dışı biyolojik temelli yapı malzemelerinin iç ve dış yüzey kaplamaları, ısıl ve akustik yalıtım ile mobilya üretiminde kullanıldığını, buna karşılık sınırlı mekanik dayanımları nedeniyle taşıyıcı elemanlarda nadiren yer aldığını aktarır. Başka bir deyişle bu malzemelerin fiilî uygulama alanı büyük ölçüde iç mekândır. Dahası malzemenin kullanıcıyla temas ettiği, yaşlandığı, onarıldığı ve değiştirildiği ölçek de aynı ölçektir. İç mimarlık bu nedenle söz konusu malzemelerin yapılı çevreye girişinde yalnızca bir uygulama alanı değil, belirleyici bir eşik oluşturur.</w:t>
      </w:r>
    </w:p>
    <w:p>
      <w:pPr>
        <w:spacing w:after="160" w:line="360"/>
        <w:jc w:val="both"/>
      </w:pPr>
      <w:r>
        <w:rPr>
          <w:rFonts w:ascii="Times New Roman" w:cs="Times New Roman" w:eastAsia="Times New Roman" w:hAnsi="Times New Roman"/>
          <w:sz w:val="24"/>
          <w:szCs w:val="24"/>
        </w:rPr>
        <w:t xml:space="preserve">Bölümün araştırma sorusu buradan türetilmiştir. İç mimarlıkta biyolojik temelli malzeme seçimi, sürdürülebilirlikten döngüselliğe ve döngüsellikten dirençliliğe geçişi sağlayan bir tasarım yaklaşımı olarak nasıl kavramsallaştırılabilir? Soruya verilen geçici yanıt, yani bölümün hipotezi şudur. Biyotasarım ve biyolojik temelli malzemeler iç mimarlıkta yalnızca daha sürdürülebilir seçenekler sunmaz. Malzeme seçiminin ölçütlerini ve tasarımcının kaynakla, üretimle, kullanımla ve atıkla kurduğu ilişkiyi yeniden tanımlar. Buna bağlı olarak bir malzemenin döngüselliği ve dirençliliği, biyolojik kökeninde değil tasarım aşamasında verilen bileşim, birleşim ve ömür sonu kararlarında belirlenir.</w:t>
      </w:r>
    </w:p>
    <w:p>
      <w:pPr>
        <w:spacing w:after="160" w:line="360"/>
        <w:jc w:val="both"/>
      </w:pPr>
      <w:r>
        <w:rPr>
          <w:rFonts w:ascii="Times New Roman" w:cs="Times New Roman" w:eastAsia="Times New Roman" w:hAnsi="Times New Roman"/>
          <w:sz w:val="24"/>
          <w:szCs w:val="24"/>
        </w:rPr>
        <w:t xml:space="preserve">Soru yedi adımda ele alınmaktadır. İkinci başlık biyotasarımı komşu kavramlardan ayırır (Tablo 1). Üçüncü başlık biyolojik temelli malzemeleri sınıflandırır (Tablo 2). Dördüncü başlık döngüsel malzeme sistemlerini inceler, beşinci başlık dirençliliği tartışır, altıncı başlık tartışmayı iç mekân ölçeğine taşır. Yedinci başlık bir değerlendirme çerçevesi önerir (Tablo 3 ve Tablo 4), sekizinci başlık bulguları üç düzlemde toparlar (Tablo 5). Bölüm seçilmiş kaynaklara dayanan kuramsal bir derlemedir. Sistematik bir yazın taraması ya da teknik bir performans değerlendirmesi amaçlanmamıştır.</w:t>
      </w:r>
    </w:p>
    <w:p>
      <w:pPr>
        <w:pStyle w:val="Heading1"/>
        <w:spacing w:after="220" w:before="440" w:line="360"/>
      </w:pPr>
      <w:r>
        <w:rPr>
          <w:rFonts w:ascii="Times New Roman" w:cs="Times New Roman" w:eastAsia="Times New Roman" w:hAnsi="Times New Roman"/>
          <w:b/>
          <w:bCs/>
          <w:sz w:val="26"/>
          <w:szCs w:val="26"/>
        </w:rPr>
        <w:t xml:space="preserve">2. BİYOTASARIM KAVRAMI</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çoğaldı. Bu çoğalma ortak bir terminoloji üretmedi. Aşağıda önce belirsizliğin niteliği ortaya konmakta, ardından biyotasarımın komşu kavramlardan hangi noktada ayrıldığı ve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araştırmıştır. Örneklerin adlandırılmasında “biyo” önekiyle üretilmiş terimler, örneğin biyobeton ve biyotuğla, ilk sırada yer alır. Bunları “akıllı”, “canlı” ve “büyüyen” nitelemeleri izler. Temel bulguları şudur: literatürde genel kabul görmüş bir şemsiye terim yoktur. Belirsizliğin kaynağı ikilidir. Bir yanda doğanın ve doğal süreçlerin kapsamlı niteliği, diğer yanda aynı tekniklerin farklı disiplinlerce farklı yorumlanması vardır. Kavramların kaynak dilde dahi yerleşmemiş olması, Türkçeye aktarımdaki karışıklığın yalnızca çeviriden doğmadığını düşündürür.</w:t>
      </w:r>
    </w:p>
    <w:p>
      <w:pPr>
        <w:spacing w:after="160" w:line="360"/>
        <w:jc w:val="both"/>
      </w:pPr>
      <w:r>
        <w:rPr>
          <w:rFonts w:ascii="Times New Roman" w:cs="Times New Roman" w:eastAsia="Times New Roman" w:hAnsi="Times New Roman"/>
          <w:sz w:val="24"/>
          <w:szCs w:val="24"/>
        </w:rPr>
        <w:t xml:space="preserve">Belirsizliğin en yaygın görünümü, biyotasarımın biyomimikriyle aynı tutulmasıdır. Kırbaş Akyürek ve diğ. (2020) bu eşitlemenin neden sürdürülemeyeceğini açık biçimde tartışır. Biyomimikrinin temel amacı biyolojik süreçleri teknolojilere çevirmektir ve terim biyolojik malzeme kullanımına işaret etmez. Yazarlar aynı gerekçeyle biyoesinlenme, biyomerkezcilik, biyofili ve biyomimarlık kavramlarını da birbirinden ayırır. Onlara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1’deki dağılım, kavramların aynı soyutlama düzeyinde bulunmadığını da açığa çıkarır. Biyomimikri ve biyoesinlenme bir aktarım yöntemini, biyomerkezcilik bir etik konumu, biyofili bir deneyim ilişkisini, biyomimarlık ise bir ölçeği adlandırır. Aralarındaki seçim bu nedenle yalnızca terim tercihi değildir. Tartışmanın hangi düzlemde yürütüleceğine ilişkin bir karardır. Bu ayrımlar içinde biyotasarım, yapı tasarımı açısından görece daha uygun bir terim olarak öne çıkar. Myers (2018) de biyoloji ile teknolojinin kaynaşmasını bu terimle açıklar ve bunun biyomimikrinin ötesine geçen yeni bir kavram önerdiğini savunur.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kurar. Yazarlara göre biyotasarım, biyolojik malzemeleri ve yaklaşımları yapılar gibi insan uygulamaları için kullanan tasarımı anlatır. Biyolojik tasarım ise genotipleri fenotiplere bağlayan morfogenetik süreçlere işaret eder. Yani genetik koddaki bilgiyi mekânsal biçim olarak ifade eden süreç ve etmenlere. Ayrım kavramsal olarak belirleyicidir. Biyotasarım tasarımcının pratiğini, biyolojik tasarım doğanın kendi sürecini adlandırır ve ikincisi birincisi için bir model işlevi görür. Yazarlara göre bağ hem doğrudandır, çünkü canlı organizmaların tasarıma katılması onların yaşamını sürdüren süreçlere yapılı çevrede yer açılmasını gerektirir, hem de dolaylıdır, çünkü biyolojik ilkelerle çalışmak tasarımla başarılabileceklerin kapsamını genişletir.</w:t>
      </w:r>
    </w:p>
    <w:p>
      <w:pPr>
        <w:spacing w:after="160" w:line="360"/>
        <w:jc w:val="both"/>
      </w:pPr>
      <w:r>
        <w:rPr>
          <w:rFonts w:ascii="Times New Roman" w:cs="Times New Roman" w:eastAsia="Times New Roman" w:hAnsi="Times New Roman"/>
          <w:sz w:val="24"/>
          <w:szCs w:val="24"/>
        </w:rPr>
        <w:t xml:space="preserve">Andréen ve Goidea (2022) bu modelden dört tasarım ilkesi türetir. Birincisi çeşitlilik, ikincisi biçimin karmaşıklığı ve özgüllüğü, üçüncüsü dirençlilik yoluyla dayanıklılık, dördüncüsü geri besleme ve uyarlanmadır. Yazarlar ilkelerin kendi başlarına yeni olmadığını özellikle hatırlatır. Modern inşaat sanayisinin doğuşundan önce mimarlık uzun süre bu stratejilerle üretilmiştir ve vernaküler mimarlık bunları büyük ölçüde içerir. Üçüncü ilke, beşinci başlıkta ayrıntılandırılacağı üzere, biyomalzemelerle çalışmanın kuramsal gerekçesini oluşturur.</w:t>
      </w:r>
    </w:p>
    <w:p>
      <w:pPr>
        <w:spacing w:after="160" w:line="360"/>
        <w:jc w:val="both"/>
      </w:pPr>
      <w:r>
        <w:rPr>
          <w:rFonts w:ascii="Times New Roman" w:cs="Times New Roman" w:eastAsia="Times New Roman" w:hAnsi="Times New Roman"/>
          <w:sz w:val="24"/>
          <w:szCs w:val="24"/>
        </w:rPr>
        <w:t xml:space="preserve">Dört ilke bir arada okunduğunda biyotasarımı biyomimikriden ayıran nokta da görünür hâle gelir. Kırbaş Akyürek ve diğ.’nin (2020) hatırlattığı gibi biyomimikri biyolojik süreçleri teknolojilere çevirmeyi amaçlar. Orada aktarılan şey doğanın geliştirdiği çözümün kendisidir. Andréen ve Goidea’nın (2022) ilkelerinde ise aktarılan şey çözüm değil, çözümü üreten mantıktır. Doğanın biçimleri kopyalanmaz. Doğanın biçim üretme biçimi incelenerek tasarım süreci yeniden kurgulanır. İlişki bu nedenle bir taklit değil, bir ilke çıkarma ilişkisidir.</w:t>
      </w:r>
    </w:p>
    <w:p>
      <w:pPr>
        <w:pStyle w:val="Heading2"/>
        <w:spacing w:after="170" w:before="320" w:line="360"/>
      </w:pPr>
      <w:r>
        <w:rPr>
          <w:rFonts w:ascii="Times New Roman" w:cs="Times New Roman" w:eastAsia="Times New Roman" w:hAnsi="Times New Roman"/>
          <w:b/>
          <w:bCs/>
          <w:sz w:val="24"/>
          <w:szCs w:val="24"/>
        </w:rPr>
        <w:t xml:space="preserve">2.3. Tasarımcının rolü</w:t>
      </w:r>
    </w:p>
    <w:p>
      <w:pPr>
        <w:spacing w:after="160" w:line="360"/>
        <w:jc w:val="both"/>
      </w:pPr>
      <w:r>
        <w:rPr>
          <w:rFonts w:ascii="Times New Roman" w:cs="Times New Roman" w:eastAsia="Times New Roman" w:hAnsi="Times New Roman"/>
          <w:sz w:val="24"/>
          <w:szCs w:val="24"/>
        </w:rPr>
        <w:t xml:space="preserve">Biyotasarımın tek bir pratik olmadığını da eklemek gerekir. Camere ve Karana (2018), biyoloji ile tasarımı birbiriyle verimlendiren girişimleri dört kategoriye ayırır: artırılmış biyoloji, biyotasarım kurgusu, dijital biyofabrikasyon ve büyüyen tasarım. Sonuncusu iç mimarlık açısından en doğrudan karşılığı olanıdır. Ürün tasarımı için yeni malzemeler geliştirmeye odaklanır ve ayırt edici yanı, malzeme büyüten tasarımcıların değiştirilmemiş organizmalarla çalışmasıdır. Goidea ve diğ. (2022) alanı daha kapsayıcı bir ifadeyle, canlı maddeyle, canlı madde olarak ya da canlı madde için tasarlamak biçiminde tanımlar. Bu tanım dört kategorinin ortak paydasını, yani organizmanın tasarım sürecindeki konumunun değişkenliğini tek cümlede toplar.</w:t>
      </w:r>
    </w:p>
    <w:p>
      <w:pPr>
        <w:spacing w:after="160" w:line="360"/>
        <w:jc w:val="both"/>
      </w:pPr>
      <w:r>
        <w:rPr>
          <w:rFonts w:ascii="Times New Roman" w:cs="Times New Roman" w:eastAsia="Times New Roman" w:hAnsi="Times New Roman"/>
          <w:sz w:val="24"/>
          <w:szCs w:val="24"/>
        </w:rPr>
        <w:t xml:space="preserve">Kavramsal çerçevenin tasarım pratiğindeki karşılığı, tasarımcının konumunun değişmesidir. Camere ve Karana (2018), geleneksel olarak tasarımcıların ürün kavramlarını somutlaştırmak için malzeme seçtiğini hatırlatır. Canlı organizmalarla üretilen malzemeler söz konusu olduğunda ise tasarımcılar giderek malzemenin erken geliştirme aşamalarına katılır. Yazarlar bu geçişi malzeme seçiminden malzeme tasarımına doğru bir kayma olarak adlandırır. Kayma, bölümün hipotezinin kavramsal zeminini oluşturur ve izleyen başlıklarda malzeme, döngüsellik ve mekân ölçeklerinde sınanır.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alındı. Burada ise yaklaşımın ürettiği malzemeler, yani nesne düzlemi inceleniyor. Biyotasarım tasarımcının doğayla kurduğu ilişkiyi tanımlar. Biyomalzemeler bu ilişkinin maddi karşılığıdır.</w:t>
      </w:r>
    </w:p>
    <w:p>
      <w:pPr>
        <w:pStyle w:val="Heading2"/>
        <w:spacing w:after="170" w:before="320" w:line="360"/>
      </w:pPr>
      <w:r>
        <w:rPr>
          <w:rFonts w:ascii="Times New Roman" w:cs="Times New Roman" w:eastAsia="Times New Roman" w:hAnsi="Times New Roman"/>
          <w:b/>
          <w:bCs/>
          <w:sz w:val="24"/>
          <w:szCs w:val="24"/>
        </w:rPr>
        <w:t xml:space="preserve">3.1. Üç yaklaşım</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toplanır ve bu da kavramsal bir belirsizlik üretir. Chayaamor-Heil ve diğ. (2023), mimarlık ve inşaat alanındaki güncel araştırmaları derlediği çalışmada alanı üç ayrı yaklaşıma ayırır: biyomimikri temelli, biyolojik temelli ve canlı malzeme tasarımları. Birinci kategori, ikinci başlıkta ele alınan biyomimikri yaklaşımının malzeme ölçeğindeki karşılığıdır. Ayrımın belirleyici ölçütü doğanın tasarım sürecine dahil olma düzeyidir. Biyomimikri temelli malzemelerde doğa bir ilke ya da strateji kaynağıdır ve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olarak değişir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 (Bourbia ve diğ., 2023)</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 (Karana ve diğ., 2018)</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 (Tyagi ve Jain,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 (Tyagi ve Jain, 2026)</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 (Edalat, 2026)</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 (Chayaamor-Heil ve diğ., 2024)</w:t>
            </w:r>
          </w:p>
        </w:tc>
      </w:tr>
    </w:tbl>
    <w:p>
      <w:pPr>
        <w:spacing w:after="160" w:line="360"/>
        <w:jc w:val="both"/>
      </w:pPr>
      <w:r>
        <w:rPr>
          <w:rFonts w:ascii="Times New Roman" w:cs="Times New Roman" w:eastAsia="Times New Roman" w:hAnsi="Times New Roman"/>
          <w:sz w:val="24"/>
          <w:szCs w:val="24"/>
        </w:rPr>
        <w:t xml:space="preserve">Tablo 2’nin son satırı, ayrımın yalnızca tanımsal olmadığını açığa çıkarır.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gereken koşullar kullanım süresinin kendisini tanımlar. Dördüncü başlıktaki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Vernakülerden biyofabrikasyona</w:t>
      </w:r>
    </w:p>
    <w:p>
      <w:pPr>
        <w:spacing w:after="160" w:line="360"/>
        <w:jc w:val="both"/>
      </w:pPr>
      <w:r>
        <w:rPr>
          <w:rFonts w:ascii="Times New Roman" w:cs="Times New Roman" w:eastAsia="Times New Roman" w:hAnsi="Times New Roman"/>
          <w:sz w:val="24"/>
          <w:szCs w:val="24"/>
        </w:rPr>
        <w:t xml:space="preserve">Bourbia ve diğ. (2023), yapı kabuğunda kullanılan biyolojik temelli malzemeleri derlediği çalışmada kenevir, ahşap, hurma ağacı, mantar meşesi kabuğu, alfa otu ve samanı inceler. Yenilenebilirlik, düşük gömülü enerji ve ısıl düzenleme kapasitesi bu malzemelerin ortak özellikleridir. Liste önemli bir şeyi görünür kılar. Bu malzemelerin büyük bölümü yeni değil, geleneksel yapı kültürüne aittir. Tyagi ve Jain (2026), iç mekân tasarımında biyolojik temelli ve yenileyici malzemeler üzerine 104 yayını incelediği sistematik derlemede benzer bir ikilik bulgular. Bambu, kerpiç, saman ve kenevir gibi vernaküler malzemeler düşük etkili iç mekân uygulamalarında merkezî konumunu korur. Buna karşılık miselyum, bakteriyel selüloz ve alg gibi biyofabrike malzemeler deneysel araştırmalara hâkimdir. Alan böylece bir yanda köklü bir yapı kültürüne, diğer yanda laboratuvar aşamasındaki bir gündeme yaslanır.</w:t>
      </w:r>
    </w:p>
    <w:p>
      <w:pPr>
        <w:spacing w:after="160" w:line="360"/>
        <w:jc w:val="both"/>
      </w:pPr>
      <w:r>
        <w:rPr>
          <w:rFonts w:ascii="Times New Roman" w:cs="Times New Roman" w:eastAsia="Times New Roman" w:hAnsi="Times New Roman"/>
          <w:sz w:val="24"/>
          <w:szCs w:val="24"/>
        </w:rPr>
        <w:t xml:space="preserve">Kategorinin ayırt edici bir başka özelliği, girdi olarak başka bir sürecin çıktısını kullanabilmesidir. Lee ve diğ. (2022), değerlendirilemeyen biyokütlenin alternatif hammaddeye dönüştürülmesine yönelik çabaların fosil kökenli eşdeğerlerin yerini alabilecek ürünlere yöneldiğini derler.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alır. Karana ve diğ. (2018), bakteri, alg veya mantar tarafından üretilen malzemelerin ürün tasarımında giderek daha fazla kullanıldığına dikkat çeker. Attias ve diğ. (2020), miselyum biyokompozitlerini endüstriyel tasarım ve mimarlık bağlamında incelediği çalışmada beş bitkisel atık alt tabaka ile dört mantar türünü karşılaştırmalı olarak değerlendirmiştir. Kurgu, canlı malzemelerde tasarım kararının malzeme bileşimiyle iç içe geçtiğini örnekler. Chayaamor-Heil ve diğ. (2024) ise alg, bakteri ve mantarı mimarlık bağlamında ele aldığı çalışmada bir kısıta dikkat çeker. Canlı organizmalardan yeni malzeme ya da tasarım bileşeni geliştirmek, ölçek, çok katmanlılık ve gereksinimlerden doğan sınırlar nedeniyle mimarlık ve inşaatta, tekstil ve ürün tasarımına kıyasla daha güç gerçekleşir.</w:t>
      </w:r>
    </w:p>
    <w:p>
      <w:pPr>
        <w:pStyle w:val="Heading2"/>
        <w:spacing w:after="170" w:before="320" w:line="360"/>
      </w:pPr>
      <w:r>
        <w:rPr>
          <w:rFonts w:ascii="Times New Roman" w:cs="Times New Roman" w:eastAsia="Times New Roman" w:hAnsi="Times New Roman"/>
          <w:b/>
          <w:bCs/>
          <w:sz w:val="24"/>
          <w:szCs w:val="24"/>
        </w:rPr>
        <w:t xml:space="preserve">3.3. Malzemenin etkinleşmesi</w:t>
      </w:r>
    </w:p>
    <w:p>
      <w:pPr>
        <w:spacing w:after="160" w:line="360"/>
        <w:jc w:val="both"/>
      </w:pPr>
      <w:r>
        <w:rPr>
          <w:rFonts w:ascii="Times New Roman" w:cs="Times New Roman" w:eastAsia="Times New Roman" w:hAnsi="Times New Roman"/>
          <w:sz w:val="24"/>
          <w:szCs w:val="24"/>
        </w:rPr>
        <w:t xml:space="preserve">Yukarıdaki malzemelerin ortak yanı, tasarımcının denetimini sınırlayan davranışlar sergilemeleridir. Bu da tasarım pratiğinde malzemenin konumunu değiştirir. Camere ve Karana (2018), sekiz deneyimli uygulamacıyla yürüttüğü görüşmelere dayanarak canlı organizmalarla malzeme üretmenin tasarımcıların bakışını, zihniyetini ve vizyonunu değiştirdiğini bulgular. Dahası “insan yapımı” ve “doğal” gibi yerleşik anlamları sorgulatır. Malzemenin edilgen bir girdiden etkin bir bileşene dönüşmesi bu nedenle yalnızca teknik bir değişiklik değildir. Tasarımcının malzeme kavrayışını da kapsar.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üretim süreçleriyle deney yapmaya ve yeni malzemeler tasarlamaya alan açtığını savunur. Yazarlar kendin yap malzemeleri şöyle tanımlar: bireysel ya da ortak öz üretim deneyimleriyle, çoğu kez tasarımcının kendi icat ettiği teknik ve süreçlerle, malzemeyle kurcalama sürecinin sonunda yaratılan malzemeler. Rognoli ve Ayala García (2018) aynı dönüşümü malzeme aktivizmi kavramıyla tartışır. Onlara göre malzeme geliştirme büyük ölçüde iki gücün denetimindedir: stratejik sektörlerdeki teknik sorunların çözümü ve ölçeklenebilir ucuz çözüm arayışı. Malzeme aktivizmi, tasarımcıların düşük teknolojili ve deneysel yaklaşımlarla bu sürece yeniden katılmasını önerir.</w:t>
      </w:r>
    </w:p>
    <w:p>
      <w:pPr>
        <w:spacing w:after="160" w:line="360"/>
        <w:jc w:val="both"/>
      </w:pPr>
      <w:r>
        <w:rPr>
          <w:rFonts w:ascii="Times New Roman" w:cs="Times New Roman" w:eastAsia="Times New Roman" w:hAnsi="Times New Roman"/>
          <w:sz w:val="24"/>
          <w:szCs w:val="24"/>
        </w:rPr>
        <w:t xml:space="preserve">Malzemenin etkinleşmesi yalnızca bir olanak değildir, aynı zamanda bir belirsizlik kaynağıdır. Malzemenin zaman içindeki davranışı tasarım kararının parçası hâline geldiğinde, bu davranışın bilinmesi de bir gereklilik olarak doğar.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Üçüncü başlık malzemeleri sınıflandırdı ve malzemenin tasarım sürecindeki konumunu tartıştı. Dördüncü başlık bu malzemelerin döngüsel ekonomi sistemleriyle ilişkisini ele alıyor. Temel soru şudur: biyolojik köken tek başına bir döngüsellik güvencesi midir?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Tartışmanın kavramsal zemini, kavramın kendisindeki belirsizlikle başlar. Kirchherr ve diğ. (2017), döngüsel ekonominin hem akademide hem uygulamada ivme kazanmasına karşın eleştirmenlerin kavramın herkes için farklı bir şey ifade ettiğini öne sürdüğünü aktarır. Yazarların 114 tanımı on yedi boyutta kodladığı çalışma, kavramın en sık azaltma, yeniden kullanma ve geri dönüştürme etkinliklerinin bileşimi olarak betimlendiğini bulgular. Döngüselliğin sistemsel bir değişimi gerektirdiği ise çoğu kez vurgulanmaz. Kavram malzeme ölçeğine indirgendiğinde tam da bu sistemsel boyut gözden kaçar. Yapılı çevre özelinde Pomponi ve Moncaster (2017), yapı araştırmalarında döngüsel ekonomiyi tanımlayan altı temel boyut belirler: çevresel, teknolojik, ekonomik, toplumsal, yönetsel ve davranışsal. Çerçevenin buradaki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uyar. Andréen ve Goidea’nın (2022) savunduğu gibi biyolojik tasarım sistemi doğası gereği döngüseldir ve malzeme kullanımı için ikna edici bir perspektif sunar. Yapısal uygunluk ise fiilî bir eklemlenme anlamına gelmez. Edalat (2026), biyolojik temelli yapı malzemelerinin döngüsel ekonomi sistemlerine eklemlenmesinin kavramsal olarak parçalı ve uygulamada tutarsız kaldığını saptar. Boşluğun nerede doğduğu sorusu bu başlığın tartışmasını kurar.</w:t>
      </w:r>
    </w:p>
    <w:p>
      <w:pPr>
        <w:spacing w:after="160" w:line="360"/>
        <w:jc w:val="both"/>
      </w:pPr>
      <w:r>
        <w:rPr>
          <w:rFonts w:ascii="Times New Roman" w:cs="Times New Roman" w:eastAsia="Times New Roman" w:hAnsi="Times New Roman"/>
          <w:sz w:val="24"/>
          <w:szCs w:val="24"/>
        </w:rPr>
        <w:t xml:space="preserve">İlk kesişme noktası girdi tarafındadır. Ahşap dışı biyolojik temelli yapı malzemeleri çoğunlukla atıktan elde edilir ve tanecikli biçimlerde işlenir. Buna karşılık tarımsal atık dünya genelinde yaygın olmasına rağmen inşaat sektöründeki kullanımı sınırlı kalır, bu atığın büyük bölümü biyoyakıt ve yem hammaddesi üretimine yönlendirilir (Edalat, 2026). Attias ve diğ.’nin (2020) beş bitkisel atık alt tabakayı dört mantar türüyle birlikte değerlendiren çalışması, bu akımların malzemeye dönüştürülmesinde alt tabaka ile organizma bileşiminin belirleyici olduğunu örnekler.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yoğunlaşır, ahşap kaynakları ise Orta Doğu ve Kuzey Afrika gibi bölgelerde belirgin biçimde kıttır (Edalat, 2026). Türkiye bu tablonun tam ortasında yer alır. Toklu (2017), ülkenin toplam biyokütle enerji potansiyelini yaklaşık 33 milyon ton eşdeğer petrol, kullanılabilir potansiyeli ise yaklaşık 17 milyon ton olarak hesaplar. Potansiyel orman, tarım ve hayvancılık artıkları ile organik kentsel atıktan oluşur. Başka bir deyişle Türkiye, ahşap bakımından kısıtlı ama tarımsal artık bakımından zengin bir coğrafyadır. Fındık kabuğu, buğday sapı ve çeltik kavuzu gibi artıkların halen ağırlıklı olarak yakıt değeri üzerinden değerlendirilmesi, iç mimarlık açısından henüz açılmamış bir malzeme kaynağına işaret eder.</w:t>
      </w:r>
    </w:p>
    <w:p>
      <w:pPr>
        <w:pStyle w:val="Heading2"/>
        <w:spacing w:after="170" w:before="320" w:line="360"/>
      </w:pPr>
      <w:r>
        <w:rPr>
          <w:rFonts w:ascii="Times New Roman" w:cs="Times New Roman" w:eastAsia="Times New Roman" w:hAnsi="Times New Roman"/>
          <w:b/>
          <w:bCs/>
          <w:sz w:val="24"/>
          <w:szCs w:val="24"/>
        </w:rPr>
        <w:t xml:space="preserve">4.2. Tasarım aşamasında verilen kararlar</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verildiğiyle ilgilidir. Rios ve diğ. (2015), yıkım yerine sökümü, geri dönüştürülebilirliği ve sökülebilirlik için tasarımı daha iyi inşaat atığı yönetimi yaklaşımları sayar. Aynı çalışma çarpıcı bir boşluğu da ortaya koyar. Sökülebilirlik için tasarımın ilkelerini ele alan kapsamlı kılavuzlar yayımlanmıştır, ancak bu alanda geliştirilmiş yapı sayısı çok azdır. Boşluğun kaynağı tasarım aşamasıdır. Edalat (2026), malzeme tedariki, sökülebilirlik için tasarım ve bağlayıcı türünün geri dönüştürülebilirlik üzerinde belirleyici etkisi olduğunu, buna karşılık bu etkenlerin tasarımda ve araştırmada nadiren göz önünde bulundurulduğunu saptar. Sınırlılıklar esas olarak tasarım aşamasında döngüsel düşüncenin bulunmamasından doğar.</w:t>
      </w:r>
    </w:p>
    <w:p>
      <w:pPr>
        <w:spacing w:after="160" w:line="360"/>
        <w:jc w:val="both"/>
      </w:pPr>
      <w:r>
        <w:rPr>
          <w:rFonts w:ascii="Times New Roman" w:cs="Times New Roman" w:eastAsia="Times New Roman" w:hAnsi="Times New Roman"/>
          <w:sz w:val="24"/>
          <w:szCs w:val="24"/>
        </w:rPr>
        <w:t xml:space="preserve">Bu saptama bölümün hipotezinin ilk yarısını kaynaklı biçimde kurar.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Aynı atık sentetik bir reçineyle bağlandığında ise döngüsellik iddiası ortadan kalkar.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da belirginleşir. Çevresel avantaj iddialarının her biri için önemli istisnalar vardır (O’Rourke ve Seepersad, 2015). Biyokompozitlerin uzun süreli dayanıklılığına ilişkin bilgi ise sınırlıdır (Chang ve diğ., 2020). Ömür sonu davranışı bilinmeyen bir malzeme için döngüsellik iddiası temelsiz kalır. Kaynak çeşitliliği de bu eleştirel çerçevenin parçasıdır. Ahşaba aşırı bağımlılık ormansızlaşma ve biyoçeşitlilik kaybı riski taşır, yalnızca ahşap dışı malzemelere dayanmak ise ölçeklenebilirlikten yoksundur (Edalat, 2026).</w:t>
      </w:r>
    </w:p>
    <w:p>
      <w:pPr>
        <w:pStyle w:val="Heading1"/>
        <w:spacing w:after="220" w:before="440" w:line="360"/>
      </w:pPr>
      <w:r>
        <w:rPr>
          <w:rFonts w:ascii="Times New Roman" w:cs="Times New Roman" w:eastAsia="Times New Roman" w:hAnsi="Times New Roman"/>
          <w:b/>
          <w:bCs/>
          <w:sz w:val="26"/>
          <w:szCs w:val="26"/>
        </w:rPr>
        <w:t xml:space="preserve">5. DİRENÇLİLİK</w:t>
      </w:r>
    </w:p>
    <w:p>
      <w:pPr>
        <w:spacing w:after="160" w:line="360"/>
        <w:jc w:val="both"/>
      </w:pPr>
      <w:r>
        <w:rPr>
          <w:rFonts w:ascii="Times New Roman" w:cs="Times New Roman" w:eastAsia="Times New Roman" w:hAnsi="Times New Roman"/>
          <w:sz w:val="24"/>
          <w:szCs w:val="24"/>
        </w:rPr>
        <w:t xml:space="preserve">Dördüncü başlık döngüselliğin biyolojik kökenle güvence altına alınamayacağını gösterdi. Beşinci başlıkta dirençlilik, biyolojik temelli malzemelerin tasarım sürecine girmesiyle ortaya çıkan dönüşümleri anlamaya yarayan bir kavram olarak ele alınıyor.</w:t>
      </w:r>
    </w:p>
    <w:p>
      <w:pPr>
        <w:pStyle w:val="Heading2"/>
        <w:spacing w:after="170" w:before="320" w:line="360"/>
      </w:pPr>
      <w:r>
        <w:rPr>
          <w:rFonts w:ascii="Times New Roman" w:cs="Times New Roman" w:eastAsia="Times New Roman" w:hAnsi="Times New Roman"/>
          <w:b/>
          <w:bCs/>
          <w:sz w:val="24"/>
          <w:szCs w:val="24"/>
        </w:rPr>
        <w:t xml:space="preserve">5.1. Dirençlilik kavramı</w:t>
      </w:r>
    </w:p>
    <w:p>
      <w:pPr>
        <w:spacing w:after="160" w:line="360"/>
        <w:jc w:val="both"/>
      </w:pPr>
      <w:r>
        <w:rPr>
          <w:rFonts w:ascii="Times New Roman" w:cs="Times New Roman" w:eastAsia="Times New Roman" w:hAnsi="Times New Roman"/>
          <w:sz w:val="24"/>
          <w:szCs w:val="24"/>
        </w:rPr>
        <w:t xml:space="preserve">Dirençlilik yapılı çevre literatüründe birbirinden önemli ölçüde farklı iki anlamda kullanılır. Heymans ve diğ. (2019), ekolojik kentsel planlama ve tasarım literatürünü sistematik olarak incelediği çalışmada bu iki tanımı ayırt eder. Eski tanım, bir sistemin bozulmanın ardından dengeye dönme yeteneğine işaret eder. Yazarlara göre bu tanım, verimliliğe ve öngörülebilirliğe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tanımlar.</w:t>
      </w:r>
    </w:p>
    <w:p>
      <w:pPr>
        <w:spacing w:after="160" w:line="360"/>
        <w:jc w:val="both"/>
      </w:pPr>
      <w:r>
        <w:rPr>
          <w:rFonts w:ascii="Times New Roman" w:cs="Times New Roman" w:eastAsia="Times New Roman" w:hAnsi="Times New Roman"/>
          <w:sz w:val="24"/>
          <w:szCs w:val="24"/>
        </w:rPr>
        <w:t xml:space="preserve">Heymans ve diğ.’nin (2019) savunduğu gibi, sistemler öngörülemez olduğunda sistemin sürdürülebilirliği dirençlilik kapasitesine bağlı hâle gelir. Yazarlara göre bu, planlamacı ve tasarımcılar için bir odak değişimi anlamına gelir. İdealleştirilmiş bir sürdürülebilir mekânsal biçim geliştirmek yerine, sistemin uyarlanma kapasitesinden doğan dirençliliğini kurmak üzere nasıl örgütlenebileceğini düşünmek gerekir. Sürdürülebilirlik böylece bir biçim hedefi olmaktan çıkar ve bir örgütlenme sorusuna dönüşür.</w:t>
      </w:r>
    </w:p>
    <w:p>
      <w:pPr>
        <w:pStyle w:val="Heading2"/>
        <w:spacing w:after="170" w:before="320" w:line="360"/>
      </w:pPr>
      <w:r>
        <w:rPr>
          <w:rFonts w:ascii="Times New Roman" w:cs="Times New Roman" w:eastAsia="Times New Roman" w:hAnsi="Times New Roman"/>
          <w:b/>
          <w:bCs/>
          <w:sz w:val="24"/>
          <w:szCs w:val="24"/>
        </w:rPr>
        <w:t xml:space="preserve">5.2. Dirençli tasarım</w:t>
      </w:r>
    </w:p>
    <w:p>
      <w:pPr>
        <w:spacing w:after="160" w:line="360"/>
        <w:jc w:val="both"/>
      </w:pPr>
      <w:r>
        <w:rPr>
          <w:rFonts w:ascii="Times New Roman" w:cs="Times New Roman" w:eastAsia="Times New Roman" w:hAnsi="Times New Roman"/>
          <w:sz w:val="24"/>
          <w:szCs w:val="24"/>
        </w:rPr>
        <w:t xml:space="preserve">Biyolojik temelli malzemelerin tasarım sürecine girmesi yalnızca malzemenin niteliğini değiştirmez, tasarımcının konumunu da dönüştürür. Geleneksel yaklaşımda malzeme, verilmiş kararlar doğrultusunda seçilen ve biçimlendirilen bir unsurdur. Biyolojik temelli malzemeler ise değişkenlikleri, zamansallıkları ve üretim belirsizlikleriyle kararların yeniden değerlendirilmesini zorunlu kılar. Barati ve Karana (2019), tasarımcı ile malzeme bilimcisi arasındaki erken aşama ortak projelerini incelediği çalışmada yaratıcılığın tasarımcının zihnine ait bir yeti olmadığını, tasarımcı ile maddi dünya arasında dağılmış bir süreç olduğunu savunur. Geliştirdikleri malzeme potansiyeli olarak olanaklar kavramı, odağı tasarımcının yapma ve üretme edimlerine kaydırır. Tasarımcının işi böylece listeden seçim yapmak olmaktan çıkar ve malzemenin neye olanak tanıdığını üretim yoluyla keşfetmeye dönüşür. Keşfedilen şey ise çoğu zaman değişkenliktir. Goidea ve diğ. (2022), miselyum biyokompozitlerde tür seçiminin hem üretim sürecini hem nesnenin performansını değiştirdiğini örnekler. Değişkenlik bu çerçevede bir kusur değil, tasarımcının üzerinde çalıştığı parametre kümesidir.</w:t>
      </w:r>
    </w:p>
    <w:p>
      <w:pPr>
        <w:spacing w:after="160" w:line="360"/>
        <w:jc w:val="both"/>
      </w:pPr>
      <w:r>
        <w:rPr>
          <w:rFonts w:ascii="Times New Roman" w:cs="Times New Roman" w:eastAsia="Times New Roman" w:hAnsi="Times New Roman"/>
          <w:sz w:val="24"/>
          <w:szCs w:val="24"/>
        </w:rPr>
        <w:t xml:space="preserve">Değişkenliğin ikiz kavramı zamandır. Karana ve diğ. (2018), miselyum esaslı bir malzemeyle yürütülen tasarım sürecinde tasarımcının üç belirsizlik kaynağıyla baş etmek zorunda kaldığını bulgular: mikroorganizmanın failliği, malzemenin kendine özgü zamansallığı ve malzemenin toplum tarafından kabulü. İkincisi, büyüme, kuruma ve yaşlanma sürelerinin tasarım kararının içinde olduğu anlamına gelir. Ne var ki bu zamanın nasıl işlediğine ilişkin bilgi hâlâ sınırlıdır (Chang ve diğ., 2020). Zamanın tasarıma girmesinin doğrudan sonucu, bakımın bir tasarım kararına dönüşmesidir. Graham ve Thrift (2007), yerleşik kültürel kurguların onarım ve bakım etkinliklerini dikkat alanının dışına ittiğini ileri sürer. Biyolojik temelli malzemelerde bu dışarıda bırakma sürdürülemez, çünkü bakım kullanımın kesintiye uğraması değil koşuludur. Dirençli tasarım böylece bir kavram kümesi üretir: keşfedilecek bir malzeme potansiyeli, parametreye dönüşen bir değişkenlik, hesaba katılması gereken bir malzeme zamanı ve baştan kurgulanan bir bakım ilişkisi.</w:t>
      </w:r>
    </w:p>
    <w:p>
      <w:pPr>
        <w:pStyle w:val="Heading2"/>
        <w:spacing w:after="170" w:before="320" w:line="360"/>
      </w:pPr>
      <w:r>
        <w:rPr>
          <w:rFonts w:ascii="Times New Roman" w:cs="Times New Roman" w:eastAsia="Times New Roman" w:hAnsi="Times New Roman"/>
          <w:b/>
          <w:bCs/>
          <w:sz w:val="24"/>
          <w:szCs w:val="24"/>
        </w:rPr>
        <w:t xml:space="preserve">5.3. Dirençlilik öznitelikleri</w:t>
      </w:r>
    </w:p>
    <w:p>
      <w:pPr>
        <w:spacing w:after="160" w:line="360"/>
        <w:jc w:val="both"/>
      </w:pPr>
      <w:r>
        <w:rPr>
          <w:rFonts w:ascii="Times New Roman" w:cs="Times New Roman" w:eastAsia="Times New Roman" w:hAnsi="Times New Roman"/>
          <w:sz w:val="24"/>
          <w:szCs w:val="24"/>
        </w:rPr>
        <w:t xml:space="preserve">Kavram kümesinin tasarım özelliklerine çevrilebilmesi için ekolojik dirençlilik araştırmaları bir dayanak sunar. Biggs ve diğ. (2012), ekosistem hizmetlerinin dirençliliğini güçlendirmeye yönelik yedi genel ilke tanımlar. İlk üçü şunlardır: çeşitlilik ile yedekliliğin korunması, bağlantısallığın yönetilmesi, yavaş değişkenler ile geri besleme ilişkilerinin yönetilmesi. Yazarlara göre ilkeler pratikte çoğu kez birlikte görülür ve birbirine yüksek düzeyde bağımlıdır. Söz konusu ilkeler Walker ve diğ.’nin (2004) dirençlilik, uyarlanabilirlik ve dönüşebilirlik ayrımıyla birlikte okunduğunda, biyolojik temelli malzemelerle kurulan tasarım sistemleri için dört öznitelik üretir.</w:t>
      </w:r>
    </w:p>
    <w:p>
      <w:pPr>
        <w:spacing w:after="160" w:line="360"/>
        <w:jc w:val="both"/>
      </w:pPr>
      <w:r>
        <w:rPr>
          <w:rFonts w:ascii="Times New Roman" w:cs="Times New Roman" w:eastAsia="Times New Roman" w:hAnsi="Times New Roman"/>
          <w:sz w:val="24"/>
          <w:szCs w:val="24"/>
        </w:rPr>
        <w:t xml:space="preserve">Birincisi çeşitlilik ve yedekliliktir. Tek bir malzemeye ve tek bir birleşim türüne dayanan bir kurguda yerel bir bozulma bütüne yayılır. Birden çok malzemenin ve birbirinin işlevini üstlenebilecek bileşenlerin bulunduğu bir kurguda ise bozulma yerel kalır. Yedeklilik burada fazlalık değildir, bozulmanın yayılmasını engelleyen bir örgütlenme biçimidir. İkincisi bağlantısallıktır. Biggs ve diğ.’nin (2012) formülasyonu bağlantısallığın artırılmasını değil yönetilmesini önerir. Tasarımdaki karşılığı, bileşenlerin birbirine nasıl bağlandığı sorusudur. Tersinir birleşimler bir bileşenin ötekini bozmadan değiştirilmesine izin verir, kalıcı birleşimler ise bütün kurguyu tek bir karara bağlar.</w:t>
      </w:r>
    </w:p>
    <w:p>
      <w:pPr>
        <w:spacing w:after="160" w:line="360"/>
        <w:jc w:val="both"/>
      </w:pPr>
      <w:r>
        <w:rPr>
          <w:rFonts w:ascii="Times New Roman" w:cs="Times New Roman" w:eastAsia="Times New Roman" w:hAnsi="Times New Roman"/>
          <w:sz w:val="24"/>
          <w:szCs w:val="24"/>
        </w:rPr>
        <w:t xml:space="preserve">Üçüncüsü bakım ve onarılabilirliktir. Önceki alt başlıkta kurulan bakım ilişkisi burada bir özniteliğe dönüşür. Bileşen onarılabiliyor mu, onarım izleri kabul ediliyor mu, bakımı kim yapabilir? Dördüncüsü uyarlanabilirlik ve dönüşebilirliktir. Walker ve diğ. (2004), uyarlanabilirliği sistemdeki insan aktörlerin dirençliliği yönetme konusundaki ortak kapasitesi olarak tanımlar. Dönüşebilirlik ise koşullar mevcut sistemi sürdürülemez kıldığında temelden yeni bir sistem yaratma kapasitesidir. Kavramın yapı araştırmalarındaki karşılığının yerleşmediğini de eklemek gerekir. Askar ve diğ. (2021), uyarlanabilirlik kavramına ilişkin yorumların ve bunlara bağlı paradigmaların zaman içinde değiştiğini, uygulama ve stratejilerin de bu değişimle birlikte geliştiğini derler.</w:t>
      </w:r>
    </w:p>
    <w:p>
      <w:pPr>
        <w:spacing w:after="160" w:line="360"/>
        <w:jc w:val="both"/>
      </w:pPr>
      <w:r>
        <w:rPr>
          <w:rFonts w:ascii="Times New Roman" w:cs="Times New Roman" w:eastAsia="Times New Roman" w:hAnsi="Times New Roman"/>
          <w:sz w:val="24"/>
          <w:szCs w:val="24"/>
        </w:rPr>
        <w:t xml:space="preserve">Dört öznitelik ancak ölçekler arası okunduğunda anlam kazanır. Goidea ve diğ. (2022), değişken ölçekler, sistemler ve malzemeler arasındaki karşılıklı bağımlılığın doğrusal olmayan etkileşimler ve hızla artan karmaşıklık ürettiğine dikkat çeker. Bir bileşenin dirençliliği, bağlı olduğu sistemin dirençliliğinden ayrı değerlendirilemez. Buradan iki sonuç doğar. Birincisi, döngüsellik ile dirençlilik eş anlamlı değildir. Ancak çeşitlilik, tersinir bağlantı, onarılabilirlik ve uyarlanabilirlik gibi ortak özellikler üzerinden birbirini destekleyen iki yaklaşım oluştururlar. İkincisi, dört öznitelik de ancak kullanıldıkları, bakıldıkları ve değiştirildikleri ölçekte sınanabilir. İzleyen başlıkta gösterileceği gibi bu ölçek büyük ölçüde iç mekândır.</w:t>
      </w:r>
    </w:p>
    <w:p>
      <w:pPr>
        <w:pStyle w:val="Heading1"/>
        <w:spacing w:after="220" w:before="440" w:line="360"/>
      </w:pPr>
      <w:r>
        <w:rPr>
          <w:rFonts w:ascii="Times New Roman" w:cs="Times New Roman" w:eastAsia="Times New Roman" w:hAnsi="Times New Roman"/>
          <w:b/>
          <w:bCs/>
          <w:sz w:val="26"/>
          <w:szCs w:val="26"/>
        </w:rPr>
        <w:t xml:space="preserve">6. İÇ MEKÂN ÖLÇEĞİ</w:t>
      </w:r>
    </w:p>
    <w:p>
      <w:pPr>
        <w:spacing w:after="160" w:line="360"/>
        <w:jc w:val="both"/>
      </w:pPr>
      <w:r>
        <w:rPr>
          <w:rFonts w:ascii="Times New Roman" w:cs="Times New Roman" w:eastAsia="Times New Roman" w:hAnsi="Times New Roman"/>
          <w:sz w:val="24"/>
          <w:szCs w:val="24"/>
        </w:rPr>
        <w:t xml:space="preserve">Buraya kadar malzemelerin sınıflandırması, döngüsellikle ilişkisi ve dirençlilik öznitelikleri malzeme ve sistem ölçeğinde ele alındı. Altıncı başlık tartışmayı mekân ölçeğine taşıyor. Bu malzemeler iç mimarlık pratiğinde hangi konumu alır ve bu konum tasarım kararlarını nasıl değiştirir?</w:t>
      </w:r>
    </w:p>
    <w:p>
      <w:pPr>
        <w:pStyle w:val="Heading2"/>
        <w:spacing w:after="170" w:before="320" w:line="360"/>
      </w:pPr>
      <w:r>
        <w:rPr>
          <w:rFonts w:ascii="Times New Roman" w:cs="Times New Roman" w:eastAsia="Times New Roman" w:hAnsi="Times New Roman"/>
          <w:b/>
          <w:bCs/>
          <w:sz w:val="24"/>
          <w:szCs w:val="24"/>
        </w:rPr>
        <w:t xml:space="preserve">6.1. İç mekânın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belirgin biçimde tanımlanmıştır. Edalat (2026), inşaat sektöründe ahşap dışı biyolojik temelli yapı malzemelerinin iç ve dış yüzey kaplamaları, ısıl ve akustik yalıtım ile mobilya üretiminde kullanıldığını aktarır. Ahşap esaslı malzemeler ise ağırlıklı olarak yapısal bileşenlerde yer alır ve ahşap dışı malzemeler sınırlı mekanik dayanımları nedeniyle taşıyıcı elemanlarda nadiren kullanılır. İki saptama bir arada okunduğunda ortaya şu çıkar: ahşap dışı biyolojik temelli malzemelerin uygulama alanı zaten büyük ölçüde iç mekândır. Durumu bir sınırlılık olarak değil, bir konumlanma olarak okumak daha verimlidir. Taşıyıcı olmayan bileşenler, bu malzemelerin yapısal risk eşiğinin görece düşük olduğu, dolayısıyla denenebilir oldukları alanı oluşturur.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destekler. Chayaamor-Heil ve diğ.’nin (2024) canlı organizmalarla malzeme geliştirmenin mimarlıkta ürün ve tekstil tasarımına kıyasla daha güç gerçekleştiğine ilişkin saptaması, iç mekân bileşenlerinin konumunu da belirler. Ölçek ve katmanlılık bakımından mimari bütünle ürün ölçeği arasında yer aldıkları için iç mekân bileşenleri aradaki eşiği oluşturur. İç mimarlığın ayrıcalıklı konumu yalnızca ölçekten kaynaklanmaz. Malzemenin kullanıcıyla temas ettiği, yaşlandığı, bakıldığı ve değiştirildiği ölçek de aynıdır. Biyolojik temelli malzemelerin gerçekten sınandığı yer bu nedenle laboratuvar değil iç mekândır.</w:t>
      </w:r>
    </w:p>
    <w:p>
      <w:pPr>
        <w:pStyle w:val="Heading2"/>
        <w:spacing w:after="170" w:before="320" w:line="360"/>
      </w:pPr>
      <w:r>
        <w:rPr>
          <w:rFonts w:ascii="Times New Roman" w:cs="Times New Roman" w:eastAsia="Times New Roman" w:hAnsi="Times New Roman"/>
          <w:b/>
          <w:bCs/>
          <w:sz w:val="24"/>
          <w:szCs w:val="24"/>
        </w:rPr>
        <w:t xml:space="preserve">6.2. İkame, bağlayıcı ve iç hava</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eğilimi doğrudan saptar. Geliştirilmiş malzemeler bugüne kadar çoğunlukla geleneksel malzemelerin yerine geçen uygulamalarda kullanılmıştır. Yazarlara göre bu, malzemenin kendi niteliklerinin değerlendirilmeden kalması demektir. Malzeme Odaklı Tasarım yöntemi tam da bu nedenle önerilir. Yöntem, geliştirilmekte olan bir malzeme için özgün uygulama fikirleri bulmak üzere malzemenin kendine özgü teknik ve deneyimsel niteliklerini öne çıkarır (Karana ve diğ., 2015). Camere ve Karana’nın (2018) malzeme seçiminden malzeme tasarımına doğru bir kayma olarak adlandırdığı dönüşüm, iç mimarlık ölçeğinde somut bir ölçüt üretir.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gözlenir. Edalat (2026), yirmi çalışmayı döngüsellik ölçütleri üzerinden değerlendirdiği incelemesinde kahve atığı ile üre-formaldehit reçinesi kullanılarak üretilen bir iç mekân duvar panelini ele alır. Panelin ısıl ve akustik performansı sınanmıştır. Değerlendirmede atık kökenli tedarik bakımından çalışma tam puan alır. Buna karşılık geri dönüştürülebilirlik, biyobozunurluk ve ömür sonu ölçütü hiç dikkate alınmamış olarak puanlanır. Örnek bölümün savını iç mimarlığın kendi nesnesi üzerinden gösterir. Bir duvar paneli atıktan üretilmiş olabilir. Sentetik bir reçineyle bağlandığında ve ömür sonu senaryosu kurgulanmadığında yine de döngüsel bir bileşen hâline gelmez.</w:t>
      </w:r>
    </w:p>
    <w:p>
      <w:pPr>
        <w:spacing w:after="160" w:line="360"/>
        <w:jc w:val="both"/>
      </w:pPr>
      <w:r>
        <w:rPr>
          <w:rFonts w:ascii="Times New Roman" w:cs="Times New Roman" w:eastAsia="Times New Roman" w:hAnsi="Times New Roman"/>
          <w:sz w:val="24"/>
          <w:szCs w:val="24"/>
        </w:rPr>
        <w:t xml:space="preserve">Aynı örnek, iç mimarlığın tartışmaya eklediği ikinci bir ölçütü de görünür kılar. Bağlayıcı seçimi yalnızca ömür sonunu değil, kullanım süresi boyunca iç hava kalitesini de belirler. Salthammer ve diğ. (2010), formaldehit esaslı reçinelerin yonga levha, kontrplak ve yalıtım köpüğü üretiminde yaygın kullanıldığını ve bu ürünlerin iç ortamdaki başlıca formaldehit kaynakları arasında yer aldığını derler. Kahve atıklı panelde üre-formaldehit reçinesinin seçilmiş olması bu nedenle çifte bir sorundur. Bileşeni ömür sonunda geri kazanılamaz kılar ve kullanıcının soluduğu havaya bir salım kaynağı ekler. Burada bölümün savunduğu konum şudur: iç mimarlıkta bağlayıcı kararı bir detay tercihi değil, hem döngüsellik hem sağlık boyutunu aynı anda belirleyen kurucu bir karardır. Miselyum gibi kendi kendine bağlanan malzemelerin ilgi görmesinin nedeni de kısmen budur (Attias ve diğ., 2020).</w:t>
      </w:r>
    </w:p>
    <w:p>
      <w:pPr>
        <w:spacing w:after="160" w:line="360"/>
        <w:jc w:val="both"/>
      </w:pPr>
      <w:r>
        <w:rPr>
          <w:rFonts w:ascii="Times New Roman" w:cs="Times New Roman" w:eastAsia="Times New Roman" w:hAnsi="Times New Roman"/>
          <w:sz w:val="24"/>
          <w:szCs w:val="24"/>
        </w:rPr>
        <w:t xml:space="preserve">Beşinci başlıkta tanımlanan tersinir bağlantı özniteliğinin iç mekândaki karşılığı da buradadır. Bileşen bağımsız bir nesne olarak değil, sökülüp yeniden kurulabilen bir sistemin parçası olarak tasarlandığında ömür sonu senaryosu bir varsayım olmaktan çıkar. Andréen ve Goidea’nın (2022) hatırlattığı gibi malzemeler kimyasal olarak ya da ısıyla işlenmemiş olduğunda yapılı çevre tümüyle tersinir hâle gelir ve ekleme ile değişiklikler az çabayla yapılabilir.</w:t>
      </w:r>
    </w:p>
    <w:p>
      <w:pPr>
        <w:pStyle w:val="Heading2"/>
        <w:spacing w:after="170" w:before="320" w:line="360"/>
      </w:pPr>
      <w:r>
        <w:rPr>
          <w:rFonts w:ascii="Times New Roman" w:cs="Times New Roman" w:eastAsia="Times New Roman" w:hAnsi="Times New Roman"/>
          <w:b/>
          <w:bCs/>
          <w:sz w:val="24"/>
          <w:szCs w:val="24"/>
        </w:rPr>
        <w:t xml:space="preserve">6.3. Deneyim ve bir uygulama örneği</w:t>
      </w:r>
    </w:p>
    <w:p>
      <w:pPr>
        <w:spacing w:after="160" w:line="360"/>
        <w:jc w:val="both"/>
      </w:pPr>
      <w:r>
        <w:rPr>
          <w:rFonts w:ascii="Times New Roman" w:cs="Times New Roman" w:eastAsia="Times New Roman" w:hAnsi="Times New Roman"/>
          <w:sz w:val="24"/>
          <w:szCs w:val="24"/>
        </w:rPr>
        <w:t xml:space="preserve">Kullanıcı ile malzeme arasındaki temas yalnızca teknik bir mesele değildir. Beşinci başlıkta anılan üç belirsizlik kaynağından üçüncüsü, yani malzemenin toplum tarafından kabulü (Karana ve diğ., 2018), iç mimarlık açısından özellikle belirleyicidir. Rognoli ve Ayala García’nın (2018) hatırlattığı gibi malzeme deneyimimiz koşullanmış bir deneyimdir. Çevremizi saran nesnelerin neredeyse tamamı endüstriyel seri üretimden gelir. Bu koşullanma tekdüzeliği kalite ile, değişkenliği kusur ile özdeşleştiren bir beklenti üretir. Oysa biyolojik temelli malzemelerde değişkenlik malzemenin kimliğinin parçasıdır. İç mekân, kullanıcının malzemeye dokunduğu ve yaşlanmasını izlediği ölçek olduğundan,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Başlıkta tartışılan üç ilişki, yani ikame yerine malzemenin kendi niteliklerinden yola çıkılması, ömür sonu ve iç hava kaygısının bağlayıcı kararına yansıtılması ve bileşenin yeniden kurgulanabilir bir sistemin parçası olarak ele alınması, atık yumurta kabuğu ile doğal polimer esaslı bir bağlayıcı sistemden geliştirilen bir biyokompozit üzerinden tek bir örnekte birleşmiştir (Ünal, 2025). Söz konusu çalışmada malzeme bir ürün önerisi olarak değil tasarım aracı olarak ele alınmıştır. Teknik ve deneyimsel nitelikleri Malzeme Odaklı Tasarım yöntemiyle birlikte değerlendirilmiş, malzeme değişkenliği ise sökülüp yeniden kurulabilir modüler bir iç mekân sistemine aktarılmıştır.</w:t>
      </w:r>
    </w:p>
    <w:p>
      <w:pPr>
        <w:pStyle w:val="Heading1"/>
        <w:spacing w:after="220" w:before="440" w:line="360"/>
      </w:pPr>
      <w:r>
        <w:rPr>
          <w:rFonts w:ascii="Times New Roman" w:cs="Times New Roman" w:eastAsia="Times New Roman" w:hAnsi="Times New Roman"/>
          <w:b/>
          <w:bCs/>
          <w:sz w:val="26"/>
          <w:szCs w:val="26"/>
        </w:rPr>
        <w:t xml:space="preserve">7. DEĞERLENDİRME ÇERÇEVESİ</w:t>
      </w:r>
    </w:p>
    <w:p>
      <w:pPr>
        <w:spacing w:after="160" w:line="360"/>
        <w:jc w:val="both"/>
      </w:pPr>
      <w:r>
        <w:rPr>
          <w:rFonts w:ascii="Times New Roman" w:cs="Times New Roman" w:eastAsia="Times New Roman" w:hAnsi="Times New Roman"/>
          <w:sz w:val="24"/>
          <w:szCs w:val="24"/>
        </w:rPr>
        <w:t xml:space="preserve">Önceki başlıklar kavramsal çerçeveyi, dirençlilik özniteliklerini ve iç mekândaki konumu ortaya koydu. Yedinci başlık tartışmayı değerlendirme düzlemine taşıyor. Bu malzemeler iç mimarlıkta hangi ölçütlerle değerlendirilebilir?</w:t>
      </w:r>
    </w:p>
    <w:p>
      <w:pPr>
        <w:pStyle w:val="Heading2"/>
        <w:spacing w:after="170" w:before="320" w:line="360"/>
      </w:pPr>
      <w:r>
        <w:rPr>
          <w:rFonts w:ascii="Times New Roman" w:cs="Times New Roman" w:eastAsia="Times New Roman" w:hAnsi="Times New Roman"/>
          <w:b/>
          <w:bCs/>
          <w:sz w:val="24"/>
          <w:szCs w:val="24"/>
        </w:rPr>
        <w:t xml:space="preserve">7.1. Potansiyeller ve gerilimler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kalıcı sınırlılıklar bildirir. İki tarafı ayrı ayrı sıralamak yanıltıcıdır, çünkü çoğu durumda potansiyel ile sınırlılık aynı özelliğin iki yüzüdür. Tablo 3 bu karşıtlıkları sekiz boyutta gösterir.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888"/>
        <w:gridCol w:w="3888"/>
      </w:tblGrid>
      <w:tr>
        <w:trPr>
          <w:tblHeader/>
        </w:trPr>
        <w:tc>
          <w:tcPr>
            <w:tcW w:type="dxa" w:w="12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88"/>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 (Lee ve diğ., 2022). Atık alt tabaka ile organizma bileşiminin tasarlanabilmesi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 ve mineral yalıtkanlarla karşılaştırılabilir ısıl performans (Bourbia ve diğ., 2023)</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 (Edalat, 2026). Uzun süreli dayanıklılık bilgisinin sınırlılığı (Chang ve diğ., 2020)</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ve ISO 19624 (Edalat, 2026)</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 (Edalat, 2026). Yönetsel boyutun araştırmada zayıf kalması (Pomponi ve Moncaster, 2017)</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 (Rios ve diğ., 2015). Ömür sonu planlaması ve toplama altyapısındaki boşluklar (Edalat, 2026)</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 (Andréen ve Goidea, 2022)</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 (Kirchherr ve diğ., 2017)</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hava</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Sentetik bağlayıcı kullanılmayan bileşimlerde salım kaynağının ortadan kalkması (Attias ve diğ., 2020)</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Formaldehit esaslı reçinelerin yonga levha, kontrplak ve yalıtım köpüğü üretiminde yaygın kullanımı (Salthammer ve diğ., 2010)</w:t>
            </w:r>
          </w:p>
        </w:tc>
      </w:tr>
      <w:tr>
        <w:tc>
          <w:tcPr>
            <w:tcW w:type="dxa" w:w="12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 (Karana ve diğ., 2015). Öz üretimin tasarımcıya açtığı deney alanı (Rognoli ve diğ., 2015)</w:t>
            </w:r>
          </w:p>
        </w:tc>
        <w:tc>
          <w:tcPr>
            <w:tcW w:type="dxa" w:w="3888"/>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 (Karana ve diğ., 2018). Endüstriyel üretimle koşullanmış tekdüzelik beklentisi (Rognoli ve Ayala García, 2018)</w:t>
            </w:r>
          </w:p>
        </w:tc>
      </w:tr>
    </w:tbl>
    <w:p>
      <w:pPr>
        <w:spacing w:after="160" w:line="360"/>
        <w:jc w:val="both"/>
      </w:pPr>
      <w:r>
        <w:rPr>
          <w:rFonts w:ascii="Times New Roman" w:cs="Times New Roman" w:eastAsia="Times New Roman" w:hAnsi="Times New Roman"/>
          <w:sz w:val="24"/>
          <w:szCs w:val="24"/>
        </w:rPr>
        <w:t xml:space="preserve">Tablodaki karşıtlıklar üç gerilimde toplanabilir. Birincisi değişkenlik ile standartlaşma arasındadır. Malzemenin tasarım açısından en değerli niteliği, kurumsal kabul açısından en büyük engelidir. Ahşap dışı malzemelerin çoğu standartlaşmış kodlardan ve uzmanlaşmış yüklenici ağından yoksundur. Tek belirgin istisna, yapısal standartların getirilmesiyle uluslararası tanınırlık kazanan bambudur (Edalat, 2026). Pomponi ve Moncaster’ın (2017) çerçevesi durumu açıklar. Döngüsellik yönetsel ve davranışsal boyutları da kapsadığından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 gerilim yerellik ile ölçeklenebilirlik arasındadır. Yerel kaynaklara dayanabilmek önemli bir avantajdır. Aynı özellik merkezsiz ve parçalı tedarik zincirleri biçiminde pazar ölçeğinde bir dezavantaja dönüşür. Buna karşılık Rognoli ve diğ. (2015), kişisel üretim teknolojilerinin dağıtık üretim süreçleriyle deney yapmayı olanaklı kıldığını savunur. İki saptama birlikte okunduğunda merkezsizliğin sanayi ölçeğinde bir engel, tasarım pratiği ölçeğinde ise bir olanak olduğu görülür. İç mimarlık, görece küçük üretim adetleriyle çalıştığı için ikinci tarafa daha yakın durur.</w:t>
      </w:r>
    </w:p>
    <w:p>
      <w:pPr>
        <w:spacing w:after="160" w:line="360"/>
        <w:jc w:val="both"/>
      </w:pPr>
      <w:r>
        <w:rPr>
          <w:rFonts w:ascii="Times New Roman" w:cs="Times New Roman" w:eastAsia="Times New Roman" w:hAnsi="Times New Roman"/>
          <w:sz w:val="24"/>
          <w:szCs w:val="24"/>
        </w:rPr>
        <w:t xml:space="preserve">Üçüncü gerilim biyolojik dönüşebilirlik ile dayanıklılık arasındadır ve bölümün hipotezini en açık biçimde sınar. Edalat (2026), koyun ve kenevir yünü gibi ham biyolojik yalıtkanların geri dönüştürülebilirlikleri nedeniyle ilgi gördüğünü, ancak zayıf yangın dayanımı ve yüksek maliyetle karşılaştığını aktarır. Mineral yünler ise tümüyle ve sınırsız biçimde yeni ürünlere geri dönüştürülebilir. Bu özgül karşılaştırmada biyolojik kökenli olmayan bir malzeme, biyolojik kökenli alternatifinden daha döngüsel davranır. Samanın tümüyle biyobozunur olması da kademeli bozunmaya açıklık demektir ve geri kazanımını güçleştirir. Biyobozunurluk kendi başına döngüsellik üretmez. Üç gerilimin hiçbiri kolay çözülür türden değildir ve bölüm bunları çözmeyi değil, karar sürecinde görünür kılmayı amaçlar.</w:t>
      </w:r>
    </w:p>
    <w:p>
      <w:pPr>
        <w:pStyle w:val="Heading2"/>
        <w:spacing w:after="170" w:before="320" w:line="360"/>
      </w:pPr>
      <w:r>
        <w:rPr>
          <w:rFonts w:ascii="Times New Roman" w:cs="Times New Roman" w:eastAsia="Times New Roman" w:hAnsi="Times New Roman"/>
          <w:b/>
          <w:bCs/>
          <w:sz w:val="24"/>
          <w:szCs w:val="24"/>
        </w:rPr>
        <w:t xml:space="preserve">7.2. Altı boyutlu çerçeve</w:t>
      </w:r>
    </w:p>
    <w:p>
      <w:pPr>
        <w:spacing w:after="160" w:line="360"/>
        <w:jc w:val="both"/>
      </w:pPr>
      <w:r>
        <w:rPr>
          <w:rFonts w:ascii="Times New Roman" w:cs="Times New Roman" w:eastAsia="Times New Roman" w:hAnsi="Times New Roman"/>
          <w:sz w:val="24"/>
          <w:szCs w:val="24"/>
        </w:rPr>
        <w:t xml:space="preserve">Üç gerilim, bir malzemenin tek bir ölçüt kümesiyle değerlendirilemeyeceğini gösterir. Kirchherr ve diğ. (2017) döngüsellik tanımlarının çoğunun sistemsel değişimi vurgulamadığını saptar. Pomponi ve Moncaster (2017) yapılı çevrede döngüselliğin altı boyutta kurulduğunu ortaya koyar. Edalat (2026) ise yaşam döngüsü değerlendirmesine ve sera gazı azaltımına orantısız odaklanmanın tedarik zinciri dirençliliğini ve malzeme döngüselliğini ihmal ettiğine dikkat çeker. Üç saptama aynı yere varır. Eksik olan, daha iyi bir malzeme listesi değildir.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çerçeve önerir. Çerçevenin kaynağı tek bir çalışma değildir, her boyut bölüm boyunca tartışılan farklı kaynak kümelerine dayanır.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300"/>
        <w:gridCol w:w="32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2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 Toklu (2017)</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Kullanım ve iç hava</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kullanım süresi boyunca iç ortama salım yapıyor mu? Nem ve biyolojik bozunmaya karşı davranışı biliniyor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Salthammer ve diğ. (2010); Chang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ve kurumsal çerçeve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Kurgu çeşitlilik ve yedeklilik taşıyor mu? Bileşen onarılabiliyor mu? Malzemeyi destekleyen standart ve uzman ağı var mı?</w:t>
            </w:r>
          </w:p>
        </w:tc>
        <w:tc>
          <w:tcPr>
            <w:tcW w:type="dxa" w:w="32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Walker ve diğ. (2004); Biggs ve diğ. (2012); Graham ve Thrift (2007); Pomponi ve Moncaster (2017)</w:t>
            </w:r>
          </w:p>
        </w:tc>
      </w:tr>
    </w:tbl>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Kahve atıklı duvar paneli örneği bunu açıkça gösterir. Bileşen atık kökenli tedarik boyutunu tümüyle karşılar, ömür sonu ve iç hava boyutlarını ise hiç karşılamaz. Aynı mantık son boyutlar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kavramsallaştırılabileceğini tartıştı. Yürütülen inceleme, bu üç kavramın birbirinin yerine geçen eşanlamlılar olmadığını gösterdi. Birbirini kapsayan ve birbirine ölçüt ekleyen üç ayrı düzlem oluştururlar. Birinci düzlemde sürdürülebilirlik malzemenin çevresel etkisini azaltmayı hedefler. İkinci düzlemde döngüsellik malzemenin yaşam döngüsünü ve ömür sonu senaryosunu karar sürecine katar.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2200"/>
        <w:gridCol w:w="2500"/>
        <w:gridCol w:w="2876"/>
      </w:tblGrid>
      <w:tr>
        <w:trPr>
          <w:tblHeader/>
        </w:trPr>
        <w:tc>
          <w:tcPr>
            <w:tcW w:type="dxa" w:w="14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2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8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 (O’Rourke ve Seepersad, 2015)</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(Kirchherr ve diğ., 2017). Sökülebilirlik ilkeleri uygulamaya çok az geçmiştir (Rios ve diğ., 2015)</w:t>
            </w:r>
          </w:p>
        </w:tc>
      </w:tr>
      <w:tr>
        <w:tc>
          <w:tcPr>
            <w:tcW w:type="dxa" w:w="14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2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Çeşitlilik ve yedeklilik, tersinir bağlantı, onarılabilirlik, uyarlanabilirlik</w:t>
            </w:r>
          </w:p>
        </w:tc>
        <w:tc>
          <w:tcPr>
            <w:tcW w:type="dxa" w:w="28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 (Chang ve diğ., 2020)</w:t>
            </w:r>
          </w:p>
        </w:tc>
      </w:tr>
    </w:tbl>
    <w:p>
      <w:pPr>
        <w:spacing w:after="160" w:line="360"/>
        <w:jc w:val="both"/>
      </w:pPr>
      <w:r>
        <w:rPr>
          <w:rFonts w:ascii="Times New Roman" w:cs="Times New Roman" w:eastAsia="Times New Roman" w:hAnsi="Times New Roman"/>
          <w:sz w:val="24"/>
          <w:szCs w:val="24"/>
        </w:rPr>
        <w:t xml:space="preserve">Tablo 5’in son kolonu bölümün yöntemsel tutumunu özetler. Her düzlem bir sonrakini gerektirir, hiçbiri tek başına yeterli değildir. Üç düzlemin iç mimarlıkta kesiştiği nokta ise bölümün ikinci saptamasını oluşturur. Ahşap dışı biyolojik temelli malzemelerin fiilî uygulama alanı büyük ölçüde iç mekândır (Edalat, 2026). Kullanım, bakım, onarım ve değiştirme de aynı ölçekte gerçekleşir. İç mimarlık bu nedenle söz konusu malzemelerin yapılı çevreye girişinde belirleyici eşiktir.</w:t>
      </w:r>
    </w:p>
    <w:p>
      <w:pPr>
        <w:spacing w:after="160" w:line="360"/>
        <w:jc w:val="both"/>
      </w:pPr>
      <w:r>
        <w:rPr>
          <w:rFonts w:ascii="Times New Roman" w:cs="Times New Roman" w:eastAsia="Times New Roman" w:hAnsi="Times New Roman"/>
          <w:sz w:val="24"/>
          <w:szCs w:val="24"/>
        </w:rPr>
        <w:t xml:space="preserve">Önerilen altı boyutlu çerçeve bu zemine dayanır (Tablo 4). Sınırlılıklarını açıkça belirtmek gerekir. Öneri kuramsal düzeyde kalmakta ve tasarım pratiğinde sınanmamıştır. Deneyimsel performans ile dirençlilik boyutları için yerleşik bir ölçüm yaklaşımı yoktur. Daha önemlisi, bölümün iç mimarlığa ilişkin savı büyük ölçüde çıkarımsaldır. İç mekân ölçeğine özgü doğrudan ampirik literatür sınırlıdır ve buradaki sav, yapı ölçeği ile ürün tasarımı literatüründen türetilmiştir. Savın sınanması iç mekân bileşenleri üzerinde alan çalışmaları gerektirir.</w:t>
      </w:r>
    </w:p>
    <w:p>
      <w:pPr>
        <w:spacing w:after="160" w:line="360"/>
        <w:jc w:val="both"/>
      </w:pPr>
      <w:r>
        <w:rPr>
          <w:rFonts w:ascii="Times New Roman" w:cs="Times New Roman" w:eastAsia="Times New Roman" w:hAnsi="Times New Roman"/>
          <w:sz w:val="24"/>
          <w:szCs w:val="24"/>
        </w:rPr>
        <w:t xml:space="preserve">Buradan bir araştırma gündemi doğar. Deneyimsel performans ve dirençlilik boyutları için ölçülebilir yaklaşımlar geliştirilmelidir. İç mekân bileşenlerinde tersinir birleşim detayları araştırılmalıdır, çünkü Rios ve diğ. (2015) sökülebilirlik için tasarımda kuram ile uygulama arasındaki boşluğu ortaya koyar. Biyolojik temelli bileşenlerin uzun süreli davranışı izlenmelidir (Chang ve diğ., 2020). Türkiye özelinde ise tarımsal artıkların iç mekân bileşenine dönüştürülmesi öncelikli bir araştırma alanıdır (Toklu, 2017).</w:t>
      </w:r>
    </w:p>
    <w:p>
      <w:pPr>
        <w:spacing w:after="160" w:line="360"/>
        <w:jc w:val="both"/>
      </w:pPr>
      <w:r>
        <w:rPr>
          <w:rFonts w:ascii="Times New Roman" w:cs="Times New Roman" w:eastAsia="Times New Roman" w:hAnsi="Times New Roman"/>
          <w:sz w:val="24"/>
          <w:szCs w:val="24"/>
        </w:rPr>
        <w:t xml:space="preserve">Son olarak, bu yaklaşımın ima ettiği değişim malzeme listelerinin yenilenmesinden daha kapsamlıdır. Camere ve Karana’nın (2018) saptadığı malzeme seçiminden malzeme tasarımına kayma, tasarımcının malzemeyle kurduğu ilişkinin yeniden tanımlanması demektir. Heymans ve diğ. (2019) dönüşümün yönünü de gösterir. Sistemin sürdürülebilirliği dirençlilik kapasitesine bağlıdır ve bu kapasite kentlerin insan ve insan-dışı tüm sakinlerini kapsamak durumundadır. İç mekân bu ilişkinin gündelik ölçekte kurulduğu yerdir. Dönüşümün hem sınanacağı hem görünür olacağı alan da burasıdır.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Askar, R., Bragança, L. ve Gervásio, H. (2021). Adaptability of buildings: A critical review on the concept evolution. </w:t>
      </w:r>
      <w:r>
        <w:rPr>
          <w:rFonts w:ascii="Times New Roman" w:cs="Times New Roman" w:eastAsia="Times New Roman" w:hAnsi="Times New Roman"/>
          <w:i/>
          <w:iCs/>
          <w:sz w:val="24"/>
          <w:szCs w:val="24"/>
        </w:rPr>
        <w:t xml:space="preserve">Applied Sciences, 11</w:t>
      </w:r>
      <w:r>
        <w:rPr>
          <w:rFonts w:ascii="Times New Roman" w:cs="Times New Roman" w:eastAsia="Times New Roman" w:hAnsi="Times New Roman"/>
          <w:i w:val="false"/>
          <w:iCs w:val="false"/>
          <w:sz w:val="24"/>
          <w:szCs w:val="24"/>
        </w:rPr>
        <w:t xml:space="preserve">(10), 4483. https://doi.org/10.3390/app11104483</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Barati, B. ve Karana, E. (2019). Affordances as materials potential: What design can do for materials development. </w:t>
      </w:r>
      <w:r>
        <w:rPr>
          <w:rFonts w:ascii="Times New Roman" w:cs="Times New Roman" w:eastAsia="Times New Roman" w:hAnsi="Times New Roman"/>
          <w:i/>
          <w:iCs/>
          <w:sz w:val="24"/>
          <w:szCs w:val="24"/>
        </w:rPr>
        <w:t xml:space="preserve">International Journal of Design, 13</w:t>
      </w:r>
      <w:r>
        <w:rPr>
          <w:rFonts w:ascii="Times New Roman" w:cs="Times New Roman" w:eastAsia="Times New Roman" w:hAnsi="Times New Roman"/>
          <w:i w:val="false"/>
          <w:iCs w:val="false"/>
          <w:sz w:val="24"/>
          <w:szCs w:val="24"/>
        </w:rPr>
        <w:t xml:space="preserve">(3), 105–123.</w:t>
      </w:r>
    </w:p>
    <w:p>
      <w:pPr>
        <w:spacing w:after="140" w:line="360"/>
        <w:ind w:left="567" w:hanging="567"/>
        <w:jc w:val="left"/>
      </w:pPr>
      <w:r>
        <w:rPr>
          <w:rFonts w:ascii="Times New Roman" w:cs="Times New Roman" w:eastAsia="Times New Roman" w:hAnsi="Times New Roman"/>
          <w:i w:val="false"/>
          <w:iCs w:val="false"/>
          <w:sz w:val="24"/>
          <w:szCs w:val="24"/>
        </w:rPr>
        <w:t xml:space="preserve">Biggs, R., Schlüter, M., Biggs, D., Bohensky, E. L., BurnSilver, S., Cundill, G., Dakos, V., Daw, T. M., Evans, L. S., Kotschy, K., Leitch, A. M., Meek, C., Quinlan, A., Raudsepp-Hearne, C., Robards, M. D., Schoon, M. L., Schultz, L. ve West, P. C. (2012). Toward principles for enhancing the resilience of ecosystem services. </w:t>
      </w:r>
      <w:r>
        <w:rPr>
          <w:rFonts w:ascii="Times New Roman" w:cs="Times New Roman" w:eastAsia="Times New Roman" w:hAnsi="Times New Roman"/>
          <w:i/>
          <w:iCs/>
          <w:sz w:val="24"/>
          <w:szCs w:val="24"/>
        </w:rPr>
        <w:t xml:space="preserve">Annual Review of Environment and Resources, 37</w:t>
      </w:r>
      <w:r>
        <w:rPr>
          <w:rFonts w:ascii="Times New Roman" w:cs="Times New Roman" w:eastAsia="Times New Roman" w:hAnsi="Times New Roman"/>
          <w:i w:val="false"/>
          <w:iCs w:val="false"/>
          <w:sz w:val="24"/>
          <w:szCs w:val="24"/>
        </w:rPr>
        <w:t xml:space="preserve">, 421–448. https://doi.org/10.1146/annurev-environ-051211-123836</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Graham, S. ve Thrift, N. (2007). Out of order: Understanding repair and maintenance. </w:t>
      </w:r>
      <w:r>
        <w:rPr>
          <w:rFonts w:ascii="Times New Roman" w:cs="Times New Roman" w:eastAsia="Times New Roman" w:hAnsi="Times New Roman"/>
          <w:i/>
          <w:iCs/>
          <w:sz w:val="24"/>
          <w:szCs w:val="24"/>
        </w:rPr>
        <w:t xml:space="preserve">Theory, Culture &amp; Society, 24</w:t>
      </w:r>
      <w:r>
        <w:rPr>
          <w:rFonts w:ascii="Times New Roman" w:cs="Times New Roman" w:eastAsia="Times New Roman" w:hAnsi="Times New Roman"/>
          <w:i w:val="false"/>
          <w:iCs w:val="false"/>
          <w:sz w:val="24"/>
          <w:szCs w:val="24"/>
        </w:rPr>
        <w:t xml:space="preserve">(3), 1–25. https://doi.org/10.1177/0263276407075954</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Salthammer, T., Mentese, S. ve Marutzky, R. (2010). Formaldehyde in the indoor environment. </w:t>
      </w:r>
      <w:r>
        <w:rPr>
          <w:rFonts w:ascii="Times New Roman" w:cs="Times New Roman" w:eastAsia="Times New Roman" w:hAnsi="Times New Roman"/>
          <w:i/>
          <w:iCs/>
          <w:sz w:val="24"/>
          <w:szCs w:val="24"/>
        </w:rPr>
        <w:t xml:space="preserve">Chemical Reviews, 110</w:t>
      </w:r>
      <w:r>
        <w:rPr>
          <w:rFonts w:ascii="Times New Roman" w:cs="Times New Roman" w:eastAsia="Times New Roman" w:hAnsi="Times New Roman"/>
          <w:i w:val="false"/>
          <w:iCs w:val="false"/>
          <w:sz w:val="24"/>
          <w:szCs w:val="24"/>
        </w:rPr>
        <w:t xml:space="preserve">(4), 2536–2572. https://doi.org/10.1021/cr800399g</w:t>
      </w:r>
    </w:p>
    <w:p>
      <w:pPr>
        <w:spacing w:after="140" w:line="360"/>
        <w:ind w:left="567" w:hanging="567"/>
        <w:jc w:val="left"/>
      </w:pPr>
      <w:r>
        <w:rPr>
          <w:rFonts w:ascii="Times New Roman" w:cs="Times New Roman" w:eastAsia="Times New Roman" w:hAnsi="Times New Roman"/>
          <w:i w:val="false"/>
          <w:iCs w:val="false"/>
          <w:sz w:val="24"/>
          <w:szCs w:val="24"/>
        </w:rPr>
        <w:t xml:space="preserve">Toklu, E. (2017). Biomass energy potential and utilization in Turkey. </w:t>
      </w:r>
      <w:r>
        <w:rPr>
          <w:rFonts w:ascii="Times New Roman" w:cs="Times New Roman" w:eastAsia="Times New Roman" w:hAnsi="Times New Roman"/>
          <w:i/>
          <w:iCs/>
          <w:sz w:val="24"/>
          <w:szCs w:val="24"/>
        </w:rPr>
        <w:t xml:space="preserve">Renewable Energy, 107</w:t>
      </w:r>
      <w:r>
        <w:rPr>
          <w:rFonts w:ascii="Times New Roman" w:cs="Times New Roman" w:eastAsia="Times New Roman" w:hAnsi="Times New Roman"/>
          <w:i w:val="false"/>
          <w:iCs w:val="false"/>
          <w:sz w:val="24"/>
          <w:szCs w:val="24"/>
        </w:rPr>
        <w:t xml:space="preserve">, 235–244. https://doi.org/10.1016/j.renene.2017.01.044</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p>
      <w:pPr>
        <w:spacing w:after="140" w:line="360"/>
        <w:ind w:left="567" w:hanging="567"/>
        <w:jc w:val="left"/>
      </w:pPr>
      <w:r>
        <w:rPr>
          <w:rFonts w:ascii="Times New Roman" w:cs="Times New Roman" w:eastAsia="Times New Roman" w:hAnsi="Times New Roman"/>
          <w:i w:val="false"/>
          <w:iCs w:val="false"/>
          <w:sz w:val="24"/>
          <w:szCs w:val="24"/>
        </w:rPr>
        <w:t xml:space="preserve">Walker, B., Holling, C. S., Carpenter, S. R. ve Kinzig, A. (2004). Resilience, adaptability and transformability in social–ecological systems. </w:t>
      </w:r>
      <w:r>
        <w:rPr>
          <w:rFonts w:ascii="Times New Roman" w:cs="Times New Roman" w:eastAsia="Times New Roman" w:hAnsi="Times New Roman"/>
          <w:i/>
          <w:iCs/>
          <w:sz w:val="24"/>
          <w:szCs w:val="24"/>
        </w:rPr>
        <w:t xml:space="preserve">Ecology and Society, 9</w:t>
      </w:r>
      <w:r>
        <w:rPr>
          <w:rFonts w:ascii="Times New Roman" w:cs="Times New Roman" w:eastAsia="Times New Roman" w:hAnsi="Times New Roman"/>
          <w:i w:val="false"/>
          <w:iCs w:val="false"/>
          <w:sz w:val="24"/>
          <w:szCs w:val="24"/>
        </w:rPr>
        <w:t xml:space="preserve">(2), 5.</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2026-10-04T06:38:27.086Z</dcterms:created>
  <dcterms:modified xsi:type="dcterms:W3CDTF">2026-10-04T06:38:27.087Z</dcterms:modified>
</cp:coreProperties>
</file>

<file path=docProps/custom.xml><?xml version="1.0" encoding="utf-8"?>
<Properties xmlns="http://schemas.openxmlformats.org/officeDocument/2006/custom-properties" xmlns:vt="http://schemas.openxmlformats.org/officeDocument/2006/docPropsVTypes"/>
</file>