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color w:val="000000"/>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bu tartışmada çoğu kez geleneksel malzemelerin sürdürülebilir birer alternatifi olarak sunulur. Oysa böyle bir kurgu malzeme kararının yapısını değiştirmediği için sınırlı bir dönüşüm üretir. Bu bölüm, iç mimarlıkta biyolojik temelli malzeme seçimini kuramsal bir çerçevede ele alır. Temel savı, biyotasarımın yalnızca yeni seçenekler sunmadığı, malzeme seçiminin ölçütlerini ve tasarımcının kaynakla, üretimle, kullanımla ve atıkla kurduğu ilişkiyi yeniden tanımladığıdır. Çalışma önce biyotasarımı komşu kavramlardan ayırır, ardından biyolojik temelli malzemeleri doğanın tasarım sürecine katılım düzeyine göre sınıflandırır. Biyolojik kökenin tek başına ne sürdürülebilirlik ne döngüsellik güvencesi oluşturduğu gösterilir. Döngüsellik, malzemenin kökeninden çok tasarım aşamasında alınan bileşim, birleşim ve ömür sonu kararlarıyla şekillenir. Son olarak sürdürülebilirlik, döngüsellik ve dirençlilik ölçütlerini birlikte okuyan, iç mekân ölçeğine özgü altı boyutlu bir değerlendirme çerçevesi önerilir.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color w:val="000000"/>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olarak adlandırılacak düzeye ulaşmıştır (Heymans ve diğ., 2019). Bu dönüşümün en belirgin taşıyıcılarından biri yapılı çevredir. Edalat (2026), yapı sektörünün tüm endüstriyel sektörler içinde doğal çevre üzerinde en önemli etkiyi yarattığını aktarır. Aktarılan değerlere göre sektör küresel karbondioksit salımının yaklaşık %39’undan sorumludur, ham maddelerin yaklaşık %40’ını tüketir ve katı atığın en az %30’unu üretir. Etkinin kaynağı yalnızca ölçek değil, üretim mantığıdır. Chayaamor-Heil ve diğ. (2024), fosil yakıtların ve ham maddelerin çıkarımına dayanan inşaat sektörünün kirliliğe ve kaynak tükenmesine önemli ölçüde katkıda bulunduğunu saptar.</w:t>
      </w:r>
    </w:p>
    <w:p>
      <w:pPr>
        <w:spacing w:after="160" w:line="360"/>
        <w:jc w:val="both"/>
      </w:pPr>
      <w:r>
        <w:rPr>
          <w:rFonts w:ascii="Times New Roman" w:cs="Times New Roman" w:eastAsia="Times New Roman" w:hAnsi="Times New Roman"/>
          <w:sz w:val="24"/>
          <w:szCs w:val="24"/>
        </w:rPr>
        <w:t xml:space="preserve">Biyolojik temelli malzemeler bu tabloya verilen yanıtlardan biridir. Bourbia ve diğ. (2023), bu malzemelerin yenilenebilirlik, düşük gömülü enerji ve ısıl düzenleme kapasitesi gibi avantajlar taşıdığını derler. Andréen ve Goidea (2022) ise önemli bir uyarıda bulunur. Biyomalzemeler inşaat sektörünün ekolojik etkisini azaltmak için potansiyel bir araçtır, fakat bu potansiyelin en üst düzeye çıkması geleneksel yapı malzemelerinden önemli ölçüde farklı yaklaşımlar gerektirir. Bu uyarı bölümün çıkış noktasını oluşturur, çünkü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Literatürün bildirdiği sınırlılık iki düzeyde işler. Kavramsal düzeyde Kırbaş Akyürek ve diğ. (2020), canlı ve üretilmiş bileşenlerin bir araya gelmesini adlandıran terminolojinin çeşitlilik içinde sıkışıp kaldığını bulgulamıştır. Benzer bir belirsizlik döngüsellik kavramında da görülür. Kirchherr ve diğ. (2017), 114 döngüsel ekonomi tanımını kodladıkları çalışmada kavramın en sık azaltma, yeniden kullanma ve geri dönüştürme etkinliklerinin bileşimi olarak betimlendiğini saptar. Döngüselliğin sistemsel bir değişim gerektirdiği ise çoğu kez vurgulanmaz. Malzeme düzeyinde ise O’Rourke ve Seepersad (2015), biyolojik organizmaların çevresel avantajlarına ilişkin iddiaların genel olarak doğru olmakla birlikte her avantaj için önemli istisnalar barındırdığını göstermiştir. Biyolojik köken, kısacası,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vardır. Ahşap dışı biyolojik temelli malzemeler sınırlı mekanik dayanımları nedeniyle taşıyıcı elemanlarda nadiren yer alır ve ağırlıklı olarak yüzey kaplaması, yalıtım ve mobilya gibi uygulamalarda kullanılır (Edalat, 2026). Mevcut uygulamalarında iç mekân bileşenleri bu nedenle önemli bir yer tutar. Malzemenin kullanıcıyla temas ettiği, yaşlandığı, onarıldığı ve değiştirildiği ölçek de aynı ölçektir. İç mimarlık bu nedenle söz konusu malzemeler için önemli bir uygulama ölçeği oluşturur.</w:t>
      </w:r>
    </w:p>
    <w:p>
      <w:pPr>
        <w:spacing w:after="160" w:line="360"/>
        <w:jc w:val="both"/>
      </w:pPr>
      <w:r>
        <w:rPr>
          <w:rFonts w:ascii="Times New Roman" w:cs="Times New Roman" w:eastAsia="Times New Roman" w:hAnsi="Times New Roman"/>
          <w:sz w:val="24"/>
          <w:szCs w:val="24"/>
        </w:rPr>
        <w:t xml:space="preserve">Bölümün araştırma sorusu bu zeminden doğmuştur ve iç mimarlıkta biyolojik temelli malzeme seçiminin, sürdürülebilirlik, döngüsellik ve dirençlilik ölçütlerini birlikte gözeten bir tasarım yaklaşımı olarak nasıl kavramsallaştırılabileceği biçiminde belirlenmiştir. Bölümün temel savı ise şöyle özetlenebilir. Biyotasarım ve biyolojik temelli malzemeler iç mimarlıkta yalnızca daha sürdürülebilir seçenekler sunmakla kalmaz, malzeme seçiminin ölçütlerini ve tasarımcının kaynakla, üretimle, kullanımla ve atıkla kurduğu ilişkiyi yeniden tanımlar. Buradan türeyen ikinci bir önerme, bir malzemenin döngüselliğinin ve dirençliliğinin biyolojik kökeninden çok tasarım aşamasında alınan bileşim, birleşim ve ömür sonu kararlarıyla şekillendiğidir. Söz konusu kararların tek belirleyici olmadığını, tedarik altyapısının, pazar koşullarının, mevzuatın ve kullanıcı davranışının da sonucu etkilediğini eklemek gerekir. Bu etkenler yedinci başlıktaki çerçevede ayrı bir boyut olarak ele alınmaktadır.</w:t>
      </w:r>
    </w:p>
    <w:p>
      <w:pPr>
        <w:spacing w:after="160" w:line="360"/>
        <w:jc w:val="both"/>
      </w:pPr>
      <w:r>
        <w:rPr>
          <w:rFonts w:ascii="Times New Roman" w:cs="Times New Roman" w:eastAsia="Times New Roman" w:hAnsi="Times New Roman"/>
          <w:sz w:val="24"/>
          <w:szCs w:val="24"/>
        </w:rPr>
        <w:t xml:space="preserve">Tartışma, kavramsal ayrımlardan başlayıp malzeme, döngüsellik ve dirençlilik tartışmalarından geçerek iç mekân ölçeğine ve oradan da bir değerlendirme önerisine doğru ilerlemektedir. Yol boyunca dört tablo ile bir şekil kullanılmış, kavramlar arasındaki ayrımlar (Tablo 1), malzeme yaklaşımlarının karşılaştırması (Tablo 2), potansiyel ile sınırlılıkların dökümü (Tablo 3) ve önerilen çerçeve (Tablo 4, Şekil 1) bu görsellerde toplanmıştır. Çalışma seçilmiş kaynaklara dayanan kuramsal bir derleme niteliğindedir ve sistematik bir yazın taraması amaçlamamaktadır.</w:t>
      </w:r>
    </w:p>
    <w:p>
      <w:pPr>
        <w:pStyle w:val="Heading1"/>
        <w:spacing w:after="220" w:before="440" w:line="360"/>
      </w:pPr>
      <w:r>
        <w:rPr>
          <w:rFonts w:ascii="Times New Roman" w:cs="Times New Roman" w:eastAsia="Times New Roman" w:hAnsi="Times New Roman"/>
          <w:b/>
          <w:bCs/>
          <w:color w:val="000000"/>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adlandıran kavramlar son yirmi yılda hızla çoğalmış, ancak bu çoğalma ortak bir terminoloji üretmemiştir. Kavramların birbirinin yerine kullanılması yalnızca bir adlandırma sorunu değildir, çünkü hangi terimin seçildiği tartışmanın hangi düzlemde yürütüleceğini de belirler. Biyotasarımın ne olduğu, nereden ayrıldığı ve tasarımcıyı nereye yerleştirdiği bu nedenle işin başında netleştirilmelidir.</w:t>
      </w:r>
    </w:p>
    <w:p>
      <w:pPr>
        <w:pStyle w:val="Heading2"/>
        <w:spacing w:after="170" w:before="320" w:line="360"/>
      </w:pPr>
      <w:r>
        <w:rPr>
          <w:rFonts w:ascii="Times New Roman" w:cs="Times New Roman" w:eastAsia="Times New Roman" w:hAnsi="Times New Roman"/>
          <w:b/>
          <w:bCs/>
          <w:color w:val="000000"/>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araştırmıştır. Temel bulgularına göre literatürde genel kabul görmüş bir şemsiye terim yoktur. Belirsizlik iki kaynaktan beslenir ve bir yanda doğanın ve doğal süreçlerin kapsamlı niteliği, diğer yanda aynı tekniklerin farklı disiplinlerce farklı yorumlanması durur. Kavramların kaynak dilde dahi yerleşmemiş olması, Türkçeye aktarımdaki karışıklığın yalnızca çeviriden doğmadığını düşündürür.</w:t>
      </w:r>
    </w:p>
    <w:p>
      <w:pPr>
        <w:spacing w:after="160" w:line="360"/>
        <w:jc w:val="both"/>
      </w:pPr>
      <w:r>
        <w:rPr>
          <w:rFonts w:ascii="Times New Roman" w:cs="Times New Roman" w:eastAsia="Times New Roman" w:hAnsi="Times New Roman"/>
          <w:sz w:val="24"/>
          <w:szCs w:val="24"/>
        </w:rPr>
        <w:t xml:space="preserve">Belirsizliğin en yaygın görünümü, biyotasarımın biyomimikriyle aynı tutulmasıdır. Kırbaş Akyürek ve diğ. (2020) bu eşitlemenin neden sürdürülemeyeceğini açık biçimde tartışır. Biyomimikrinin temel amacı biyolojik süreçleri teknolojilere çevirmektir ve terim biyolojik malzeme kullanımına işaret etmez. Yazarlar aynı gerekçeyle biyoesinlenme, biyomerkezcilik, biyofili ve biyomimarlık kavramlarını da birbirinden ayırır. Onlara göre bu kavramların kapsamı, canlı ve üretilmiş bileşenler arasındaki güncel bağları belirlemek için fazla geniştir (Tablo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cantSplit/>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rPr>
          <w:cantSplit/>
        </w:trP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00" w:before="140" w:line="240"/>
        <w:jc w:val="center"/>
      </w:pPr>
      <w:r>
        <w:rPr>
          <w:rFonts w:ascii="Times New Roman" w:cs="Times New Roman" w:eastAsia="Times New Roman" w:hAnsi="Times New Roman"/>
          <w:sz w:val="22"/>
          <w:szCs w:val="22"/>
        </w:rPr>
        <w:t xml:space="preserve">Tablo 1. Doğa ile tasarım arasındaki ilişkiyi tanımlayan kavramlar</w:t>
      </w:r>
    </w:p>
    <w:p>
      <w:pPr>
        <w:spacing w:after="340" w:before="0" w:line="240"/>
        <w:jc w:val="center"/>
      </w:pPr>
      <w:r>
        <w:rPr>
          <w:rFonts w:ascii="Times New Roman" w:cs="Times New Roman" w:eastAsia="Times New Roman" w:hAnsi="Times New Roman"/>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1’deki dağılım, kavramların aynı soyutlama düzeyinde bulunmadığını da açığa çıkarır. Biyomimikri ve biyoesinlenme bir aktarım yöntemini, biyomerkezcilik bir etik konumu, biyofili bir deneyim ilişkisini, biyomimarlık ise bir ölçeği adlandırır. İç mimarlık açısından ayrım özellikle biyofili ile biyotasarım arasında önem kazanır. Biyofili doğayla kurulan duyusal ilişkiyi, biyotasarım ise bileşenin maddi kuruluşunu konu alır ve bu bölüm ikincisiyle ilgilenir. Myers (2018) de biyoloji ile teknolojinin kaynaşmasını bu terimle açıklar.</w:t>
      </w:r>
    </w:p>
    <w:p>
      <w:pPr>
        <w:pStyle w:val="Heading2"/>
        <w:spacing w:after="170" w:before="320" w:line="360"/>
      </w:pPr>
      <w:r>
        <w:rPr>
          <w:rFonts w:ascii="Times New Roman" w:cs="Times New Roman" w:eastAsia="Times New Roman" w:hAnsi="Times New Roman"/>
          <w:b/>
          <w:bCs/>
          <w:color w:val="000000"/>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kurar. Yazarlara göre biyotasarım, biyolojik malzemeleri ve yaklaşımları yapılar gibi insan uygulamaları için kullanan tasarımı anlatır. Biyolojik tasarım ise genotipleri fenotiplere bağlayan morfogenetik süreçlere işaret eder. Ayrımın kavramsal ağırlığı şuradan gelir. Biyotasarım tasarımcının pratiğini, biyolojik tasarım ise doğanın kendi sürecini adlandırır ve ikincisi birincisi için bir model işlevi görür. Yazarlara göre bağ hem doğrudandır hem dolaylıdır. Canlı organizmaların tasarıma katılması, onların yaşamını sürdüren süreçlere yapılı çevrede yer açılmasını gerektirir. Biyolojik ilkelerle çalışmak ise tasarımla başarılabileceklerin kapsamını genişletir.</w:t>
      </w:r>
    </w:p>
    <w:p>
      <w:pPr>
        <w:spacing w:after="160" w:line="360"/>
        <w:jc w:val="both"/>
      </w:pPr>
      <w:r>
        <w:rPr>
          <w:rFonts w:ascii="Times New Roman" w:cs="Times New Roman" w:eastAsia="Times New Roman" w:hAnsi="Times New Roman"/>
          <w:sz w:val="24"/>
          <w:szCs w:val="24"/>
        </w:rPr>
        <w:t xml:space="preserve">Collet (2021) aynı alanı tasarımcının doğayla kurduğu ilişki üzerinden üç kademede haritalar. Doğa bir model sayıldığında tasarımcı biyomimikri ilkeleriyle bir davranışı, işlevi ya da örüntüyü taklit eder. Doğa birlikte çalışılan bir ortak sayıldığında tasarımcı yetiştiriciye dönüşür ve bakteri, mantar ya da alglerle işbirliği yaparak malzemenin biçimlenmesini yönlendirir. Doğa kurcalanabilir bir sistem sayıldığında ise organizma sentetik biyoloji yoluyla yeniden programlanır. Yazara göre üç konum farklı değerler taşır. Birlikte çalışmak işbirliği ve ortaklık anlayışına, kurcalamak ise denetim ve egemenlik anlayışına yaslanır. Bu bölümün ilgilendiği alan ağırlıklı olarak ikinci kademedir.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türetir: çeşitlilik, biçimin karmaşıklığı ve özgüllüğü, dirençlilik yoluyla dayanıklılık, geri besleme ve uyarlanma. Yazarlar ilkelerin kendi başlarına yeni olmadığını özellikle hatırlatır. Modern inşaat sanayisinin doğuşundan önce mimarlık uzun süre bu stratejilerle üretilmiştir ve vernaküler mimarlık bunları büyük ölçüde içerir. Üçüncü ilke, beşinci başlıkta ayrıntılandırılacağı üzere, biyomalzemelerle çalışmanın kuramsal gerekçesini oluşturur.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görünür hâle gelir. Biyomimikride aktarılan şey doğanın geliştirdiği çözümün kendisidir. Andréen ve Goidea’nın (2022) ilkelerinde ise aktarılan şey çözüm değil, çözümü üreten mantıktır. Doğanın biçimleri kopyalanmaz, biçim üretme biçimi incelenerek tasarım süreci yeniden kurgulanır. İlişki bu nedenle bir taklit değil, bir ilke çıkarma ilişkisidir.</w:t>
      </w:r>
    </w:p>
    <w:p>
      <w:pPr>
        <w:spacing w:after="160" w:line="360"/>
        <w:jc w:val="both"/>
      </w:pPr>
      <w:r>
        <w:rPr>
          <w:rFonts w:ascii="Times New Roman" w:cs="Times New Roman" w:eastAsia="Times New Roman" w:hAnsi="Times New Roman"/>
          <w:sz w:val="24"/>
          <w:szCs w:val="24"/>
        </w:rPr>
        <w:t xml:space="preserve">Ayrımın neden önemli olduğunu biyomimikri literatürünün kendi içinden gelen bir eleştiri gösterir. Pedersen Zari ve Storey (2007), taklidin organizma, davranış ve ekosistem olmak üzere üç düzeyde gerçekleşebileceğini belirtir. Yazarlara göre yalnızca organizma düzeyinde taklit eden ürün ve malzemeler, yaşam döngüsü açısından bakıldığında kendiliğinden daha sürdürülebilir değildir. Verdikleri örnek olan cırt bant, bitki tohumlarının hayvan tüyüne tutunma biçimini taklit etmesine karşın petrokimyasal kökenlidir ve genellikle geri dönüştürülmez. Biçimi ya da işlevi ödünç almak ekolojik bir kazanç güvencesi oluşturmaz. Ayrımın iç mimarlıktaki pratik karşılığı da bu noktadadır. Doğal görünümlü bir yüzey üretmek ile bileşeni doğanın örgütlenme mantığına göre kurgulamak aynı şey değildir.</w:t>
      </w:r>
    </w:p>
    <w:p>
      <w:pPr>
        <w:pStyle w:val="Heading2"/>
        <w:spacing w:after="170" w:before="320" w:line="360"/>
      </w:pPr>
      <w:r>
        <w:rPr>
          <w:rFonts w:ascii="Times New Roman" w:cs="Times New Roman" w:eastAsia="Times New Roman" w:hAnsi="Times New Roman"/>
          <w:b/>
          <w:bCs/>
          <w:color w:val="000000"/>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olmadığını da eklemek gerekir. Camere ve Karana (2018), biyoloji ile tasarımı birbiriyle verimlendiren girişimleri dört kategoriye ayırır. Bunlardan büyüyen tasarım iç mimarlık açısından en doğrudan karşılığı olanıdır. Ürün tasarımı için yeni malzemeler geliştirmeye odaklanır ve ayırt edici yanı, malzeme büyüten tasarımcıların değiştirilmemiş organizmalarla çalışmasıdır.</w:t>
      </w:r>
    </w:p>
    <w:p>
      <w:pPr>
        <w:spacing w:after="160" w:line="360"/>
        <w:jc w:val="both"/>
      </w:pPr>
      <w:r>
        <w:rPr>
          <w:rFonts w:ascii="Times New Roman" w:cs="Times New Roman" w:eastAsia="Times New Roman" w:hAnsi="Times New Roman"/>
          <w:sz w:val="24"/>
          <w:szCs w:val="24"/>
        </w:rPr>
        <w:t xml:space="preserve">Kavramsal çerçevenin tasarım pratiğindeki karşılığı, tasarımcının konumunun değişmesidir. Camere ve Karana (2018), geleneksel olarak tasarımcıların ürün kavramlarını somutlaştırmak için malzeme seçtiğini hatırlatır. Canlı organizmalarla üretilen malzemeler söz konusu olduğunda ise tasarımcılar giderek malzemenin erken geliştirme aşamalarına katılır. Yazarlar bu geçişi malzeme seçiminden malzeme tasarımına doğru bir kayma olarak adlandırır. İç mimarlıkta kaymanın karşılığı, malzeme kataloğundan seçim yapan tasarımcı ile bileşenin bileşimini ve birleşimini belirleyen tasarımcı arasındaki farktır. Kayma, bölümün temel savının kavramsal zeminini oluşturur ve izleyen başlıklarda malzeme, döngüsellik ve mekân ölçeklerinde sınanır.</w:t>
      </w:r>
    </w:p>
    <w:p>
      <w:pPr>
        <w:pStyle w:val="Heading1"/>
        <w:spacing w:after="220" w:before="440" w:line="360"/>
      </w:pPr>
      <w:r>
        <w:rPr>
          <w:rFonts w:ascii="Times New Roman" w:cs="Times New Roman" w:eastAsia="Times New Roman" w:hAnsi="Times New Roman"/>
          <w:b/>
          <w:bCs/>
          <w:color w:val="000000"/>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Doğadan türeyen malzemeler literatürde çoğu kez tek bir torbada toplanır, oysa aralarındaki fark yalnızca hammaddede değil, doğanın üretim sürecine hangi düzeyde katıldığındadır. Bu ayrımın yapılması, malzemelerin ömür sonu davranışına ve tasarımcıdan beklenen işe dair birbirinden hayli farklı sonuçlar doğurur.</w:t>
      </w:r>
    </w:p>
    <w:p>
      <w:pPr>
        <w:pStyle w:val="Heading2"/>
        <w:spacing w:after="170" w:before="320" w:line="360"/>
      </w:pPr>
      <w:r>
        <w:rPr>
          <w:rFonts w:ascii="Times New Roman" w:cs="Times New Roman" w:eastAsia="Times New Roman" w:hAnsi="Times New Roman"/>
          <w:b/>
          <w:bCs/>
          <w:color w:val="000000"/>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toplanır ve bu da kavramsal bir belirsizlik üretir. Chayaamor-Heil ve diğ. (2023), mimarlık ve inşaat alanındaki güncel araştırmaları derlediği çalışmada alanı üç ayrı yaklaşıma ayırır: biyomimikri temelli, biyolojik temelli ve canlı malzeme tasarımları.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w:t>
      </w:r>
    </w:p>
    <w:p>
      <w:pPr>
        <w:spacing w:after="160" w:line="360"/>
        <w:jc w:val="both"/>
      </w:pPr>
      <w:r>
        <w:rPr>
          <w:rFonts w:ascii="Times New Roman" w:cs="Times New Roman" w:eastAsia="Times New Roman" w:hAnsi="Times New Roman"/>
          <w:sz w:val="24"/>
          <w:szCs w:val="24"/>
        </w:rPr>
        <w:t xml:space="preserve">Üçüncü kategori dikkatli bir okuma gerektirir. Kaynak bu grubu canlı malzeme tasarımları olarak adlandırsa da, üretimde canlı organizma bulunması ile malzemenin kullanım anında canlı olması aynı şey değildir. Miselyum biyokompozitlerde organizma büyüme aşamasında etkindir, nihai bileşen ise çoğu uygulamada kurutularak etkisizleştirilir. Bu nedenle üçüncü kategori burada canlı organizmayla üretilen malzemeler olarak anılmakta, organizmanın kullanım süresince de etkin kaldığı durumlar yaşayan malzeme sistemleri biçiminde ayrı tutulmaktadır (Tablo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cantSplit/>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 organizmayla üretilen</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kullanım anında etkin ya da etkisizleştirilmiş</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Büyüme koşullarını ve bileşimi kurgulamak</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biyokompozit, bakteriyel selüloz, alg (Karana ve diğ., 2018; Attias ve diğ., 2020)</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rPr>
          <w:cantSplit/>
        </w:trP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300" w:before="140" w:line="240"/>
        <w:jc w:val="center"/>
      </w:pPr>
      <w:r>
        <w:rPr>
          <w:rFonts w:ascii="Times New Roman" w:cs="Times New Roman" w:eastAsia="Times New Roman" w:hAnsi="Times New Roman"/>
          <w:sz w:val="22"/>
          <w:szCs w:val="22"/>
        </w:rPr>
        <w:t xml:space="preserve">Tablo 2. Doğa temelli malzeme yaklaşımlarının karşılaştırması</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açığa çıkarır. Üç yaklaşım ömür sonu senaryosu bakımından farklı koşullar üretir. Biyomimikri temelli bir çözümde soru malzemeye değil geometriye yöneliktir, biyolojik temelli bir malzemede bağlayıcı sisteminde düğümlenir, canlı organizmayla üretilen bir malzemede ise üretim koşulları ve bileşim sorunun parçası hâline gelir.</w:t>
      </w:r>
    </w:p>
    <w:p>
      <w:pPr>
        <w:pStyle w:val="Heading2"/>
        <w:spacing w:after="170" w:before="320" w:line="360"/>
      </w:pPr>
      <w:r>
        <w:rPr>
          <w:rFonts w:ascii="Times New Roman" w:cs="Times New Roman" w:eastAsia="Times New Roman" w:hAnsi="Times New Roman"/>
          <w:b/>
          <w:bCs/>
          <w:color w:val="000000"/>
          <w:sz w:val="24"/>
          <w:szCs w:val="24"/>
        </w:rPr>
        <w:t xml:space="preserve">3.2. Malzeme kaynakları ve üretim biçimleri</w:t>
      </w:r>
    </w:p>
    <w:p>
      <w:pPr>
        <w:spacing w:after="160" w:line="360"/>
        <w:jc w:val="both"/>
      </w:pPr>
      <w:r>
        <w:rPr>
          <w:rFonts w:ascii="Times New Roman" w:cs="Times New Roman" w:eastAsia="Times New Roman" w:hAnsi="Times New Roman"/>
          <w:sz w:val="24"/>
          <w:szCs w:val="24"/>
        </w:rPr>
        <w:t xml:space="preserve">Bourbia ve diğ. (2023), yapı kabuğunda kullanılan biyolojik temelli malzemeleri derlediği çalışmada kenevir, ahşap, hurma ağacı, mantar meşesi kabuğu, alfa otu ve samanı inceler. Yenilenebilirlik, düşük gömülü enerji ve ısıl düzenleme kapasitesi bu malzemelerin ortak özellikleridir. Listenin görünür kıldığı şey, bu malzemelerin büyük bölümünün yeni olmayıp geleneksel yapı kültürüne ait olmasıdır. Tyagi ve Jain (2026), iç mekân tasarımında biyolojik temelli ve yenileyici malzemeler üzerine 104 yayını incelediği sistematik derlemede benzer bir ikilik bulgular. Bambu, kerpiç, saman ve kenevir gibi vernaküler malzemeler düşük etkili uygulamalarda merkezî konumunu korurken miselyum, bakteriyel selüloz ve alg gibi biyofabrike malzemeler deneysel araştırmalara hâkimdir. Alan bir yanda köklü bir yapı kültürüne, diğer yanda laboratuvar aşamasındaki bir gündeme yaslanır.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hammaddeye dönüştürülmesine yönelik çabaların fosil kökenli eşdeğerlerin yerini alabilecek ürünlere yöneldiğini derler.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organizmayla üretilen malzemeler yer alır. Karana ve diğ. (2018), bakteri, alg veya mantar tarafından üretilen malzemelerin ürün tasarımında giderek daha fazla kullanıldığına dikkat çeker. Chayaamor-Heil ve diğ. (2024) ise alg, bakteri ve mantarı mimarlık bağlamında ele aldığı çalışmada önemli bir kısıta işaret eder. Canlı organizmalardan yeni malzeme ya da tasarım bileşeni geliştirmek, ölçek, çok katmanlılık ve gereksinimlerden doğan sınırlar nedeniyle mimarlık ve inşaatta, tekstil ve ürün tasarımına kıyasla daha güç gerçekleşir. Kısıt, bu malzemelerin önce küçük ölçekli ve taşıyıcı olmayan bileşenlerde denenmesini akla getirir.</w:t>
      </w:r>
    </w:p>
    <w:p>
      <w:pPr>
        <w:pStyle w:val="Heading2"/>
        <w:spacing w:after="170" w:before="320" w:line="360"/>
      </w:pPr>
      <w:r>
        <w:rPr>
          <w:rFonts w:ascii="Times New Roman" w:cs="Times New Roman" w:eastAsia="Times New Roman" w:hAnsi="Times New Roman"/>
          <w:b/>
          <w:bCs/>
          <w:color w:val="000000"/>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Yukarıdaki malzemelerin ortak yanı, tasarımcının denetimini sınırlayan davranışlar sergilemeleridir. Camere ve Karana (2018), sekiz deneyimli uygulamacıyla yürüttüğü görüşmelere dayanarak canlı organizmalarla malzeme üretmenin tasarımcıların bakışını, zihniyetini ve vizyonunu değiştirdiğini bulgular. Dahası “insan yapımı” ve “doğal” gibi yerleşik anlamları sorgulatır. Malzemenin edilgen bir girdiden etkin bir bileşene dönüşmesi, bu nedenle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dağıtık üretim süreçleriyle deney yapmaya alan açtığını savunur ve kendin yap malzemeleri, çoğu kez tasarımcının kendi icat ettiği teknik ve süreçlerle yaratılan malzemeler olarak tanımlar. Rognoli ve Ayala García (2018) aynı dönüşümü malzeme aktivizmi kavramıyla tartışır ve tasarımcıların düşük teknolojili, deneysel yaklaşımlarla malzeme geliştirme sürecine yeniden katılmasını önerir. İç mimarlık, görece küçük üretim adetleriyle ve atölye ölçeğinde çalışabildiği için bu kanala ürün ve yapı ölçeğinden daha açıktır.</w:t>
      </w:r>
    </w:p>
    <w:p>
      <w:pPr>
        <w:spacing w:after="160" w:line="360"/>
        <w:jc w:val="both"/>
      </w:pPr>
      <w:r>
        <w:rPr>
          <w:rFonts w:ascii="Times New Roman" w:cs="Times New Roman" w:eastAsia="Times New Roman" w:hAnsi="Times New Roman"/>
          <w:sz w:val="24"/>
          <w:szCs w:val="24"/>
        </w:rPr>
        <w:t xml:space="preserve">Malzemenin etkinleşmesi bir olanak olduğu kadar bir belirsizlik kaynağıdır. Davranışı tasarım kararının parçası hâline geldiğinde, bu davranışın bilinmesi de bir gereklilik olarak doğar.</w:t>
      </w:r>
    </w:p>
    <w:p>
      <w:pPr>
        <w:pStyle w:val="Heading1"/>
        <w:spacing w:after="220" w:before="440" w:line="360"/>
      </w:pPr>
      <w:r>
        <w:rPr>
          <w:rFonts w:ascii="Times New Roman" w:cs="Times New Roman" w:eastAsia="Times New Roman" w:hAnsi="Times New Roman"/>
          <w:b/>
          <w:bCs/>
          <w:color w:val="000000"/>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Biyolojik kökenli bir malzemenin döngüsel sayılıp sayılamayacağı, ilk bakışta malzemenin kendisine ilişkin bir soru gibi görünür. Aşağıdaki tartışma, yanıtın büyük ölçüde başka bir yerde, kavramın tanımında ve tasarım aşamasında alınan kararlarda aranması gerektiğini göstermektedir.</w:t>
      </w:r>
    </w:p>
    <w:p>
      <w:pPr>
        <w:spacing w:after="160" w:line="360"/>
        <w:jc w:val="both"/>
      </w:pPr>
      <w:r>
        <w:rPr>
          <w:rFonts w:ascii="Times New Roman" w:cs="Times New Roman" w:eastAsia="Times New Roman" w:hAnsi="Times New Roman"/>
          <w:sz w:val="24"/>
          <w:szCs w:val="24"/>
        </w:rPr>
        <w:t xml:space="preserve">Tartışmanın kavramsal zemini, kavramın kendisindeki belirsizlikle başlar. Kirchherr ve diğ. (2017), döngüsel ekonominin hem akademide hem uygulamada ivme kazanmasına karşın eleştirmenlerin kavramın herkes için farklı bir şey ifade ettiğini öne sürdüğünü aktarır. Yazarların 114 tanımı kodladığı çalışma, kavramın en sık azaltma, yeniden kullanma ve geri dönüştürme etkinliklerinin bileşimi olarak betimlendiğini bulgular. Döngüselliğin sistemsel bir değişim gerektirdiği ise çoğu kez vurgulanmaz. Kavram malzeme ölçeğine indirgendiğinde tam da bu sistemsel boyut gözden kaçar. Yapılı çevre özelinde Pomponi ve Moncaster (2017), döngüsel ekonomiyi tanımlayan altı temel boyut belirler: çevresel, teknolojik, ekonomik, toplumsal, yönetsel ve davranışsal. Çerçevenin buradaki önemi, döngüselliğin yalnızca malzemenin teknik niteliğiyle açıklanamayacağını göstermesidir.</w:t>
      </w:r>
    </w:p>
    <w:p>
      <w:pPr>
        <w:spacing w:after="160" w:line="360"/>
        <w:jc w:val="both"/>
      </w:pPr>
      <w:r>
        <w:rPr>
          <w:rFonts w:ascii="Times New Roman" w:cs="Times New Roman" w:eastAsia="Times New Roman" w:hAnsi="Times New Roman"/>
          <w:sz w:val="24"/>
          <w:szCs w:val="24"/>
        </w:rPr>
        <w:t xml:space="preserve">Biyolojik üretim mantığı bu zemine yapısal olarak uyar. Andréen ve Goidea’nın (2022) savunduğu gibi biyolojik tasarım sistemi doğası gereği döngüseldir. Yapısal uygunluk ise fiilî bir eklemlenme anlamına gelmez. Edalat (2026), biyolojik temelli yapı malzemelerinin döngüsel ekonomi sistemlerine eklemlenmesinin kavramsal olarak parçalı ve uygulamada tutarsız kaldığını saptar. Boşluğun nerede doğduğu sorusu bu başlığın tartışmasını kurar.</w:t>
      </w:r>
    </w:p>
    <w:p>
      <w:pPr>
        <w:spacing w:after="160" w:line="360"/>
        <w:jc w:val="both"/>
      </w:pPr>
      <w:r>
        <w:rPr>
          <w:rFonts w:ascii="Times New Roman" w:cs="Times New Roman" w:eastAsia="Times New Roman" w:hAnsi="Times New Roman"/>
          <w:sz w:val="24"/>
          <w:szCs w:val="24"/>
        </w:rPr>
        <w:t xml:space="preserve">Kavram ile malzeme arasındaki ilk kesişme girdi tarafındadır. Ahşap dışı biyolojik temelli yapı malzemeleri çoğunlukla atıktan elde edilmesine karşın tarımsal atığın inşaat sektöründeki kullanımı sınırlı kalır (Edalat, 2026). Kaynakların coğrafi dağılımı da sonucu belirler, çünkü orman örtüsünün neredeyse yarısı dört ülkede yoğunlaşırken ahşap, Orta Doğu ve Kuzey Afrika gibi bölgelerde kıttır. Türkiye tam da bu tablonun ortasında yer alır ve Toklu (2017), ülkenin kullanılabilir biyokütle potansiyelini yaklaşık 17 milyon ton eşdeğer petrol olarak hesaplar ve bunun orman, tarım ve hayvancılık artıkları ile organik kentsel atıktan oluştuğunu belirtir. Fındık kabuğu, buğday sapı ve çeltik kavuzu gibi artıkların halen ağırlıklı olarak yakıt değeri üzerinden değerlendirilmesi, iç mekân bileşeni açısından henüz açılmamış bir malzeme kaynağına işaret eder.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verildiğiyle ilgilidir. Rios ve diğ. (2015), yıkım yerine sökümü, geri dönüştürülebilirliği ve sökülebilirlik için tasarımı daha iyi inşaat atığı yönetimi yaklaşımları sayar. Aynı çalışma çarpıcı bir boşluğu da ortaya koyar. Sökülebilirlik için tasarımın ilkelerini ele alan kapsamlı kılavuzlar yayımlanmıştır, ancak bu alanda geliştirilmiş yapı sayısı çok azdır. Edalat (2026) da malzeme tedariki, sökülebilirlik için tasarım ve bağlayıcı türünün geri dönüştürülebilirlik üzerinde belirleyici etkisi olduğunu, buna karşılık bu etkenlerin tasarımda ve araştırmada nadiren göz önünde bulundurulduğunu saptar.</w:t>
      </w:r>
    </w:p>
    <w:p>
      <w:pPr>
        <w:spacing w:after="160" w:line="360"/>
        <w:jc w:val="both"/>
      </w:pPr>
      <w:r>
        <w:rPr>
          <w:rFonts w:ascii="Times New Roman" w:cs="Times New Roman" w:eastAsia="Times New Roman" w:hAnsi="Times New Roman"/>
          <w:sz w:val="24"/>
          <w:szCs w:val="24"/>
        </w:rPr>
        <w:t xml:space="preserve">Bu saptamalar bölümün temel savının ilk yarısını kaynaklı biçimde kurar. Bir malzemenin döngüselliği biyolojik kökeninden çok bileşimi ve birleşimiyle şekillenir. Miselyum bu bakımdan öğretici bir örnektir, çünkü biyobozunurluğu, kendi kendine bağlanma özelliği ve tarımsal atıkla uyumluluğu sayesinde kapalı döngü potansiyeli taşır ve bağlayıcı sorununu dışarıdan bir madde eklemeden çözer (Attias ve diğ., 2020). Aynı atık sentetik bir reçineyle bağlandığında ise döngüsellik iddiası büyük ölçüde geçersizleşir.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da belirginleşir. Çevresel avantaj iddialarının her biri için önemli istisnalar vardır (O’Rourke ve Seepersad, 2015). Biyokompozitlerin uzun süreli dayanıklılığına ilişkin bilgi ise sınırlıdır (Chang ve diğ., 2020). Ömür sonu davranışı bilinmeyen bir malzeme için döngüsellik iddiası temelsiz kalır. İç mimarlık açısından sonuç doğrudandır, çünkü bir bileşenin döngüsel sayılıp sayılamayacağı malzeme listesinde değil detay çiziminde belli olur.</w:t>
      </w:r>
    </w:p>
    <w:p>
      <w:pPr>
        <w:pStyle w:val="Heading1"/>
        <w:spacing w:after="220" w:before="440" w:line="360"/>
      </w:pPr>
      <w:r>
        <w:rPr>
          <w:rFonts w:ascii="Times New Roman" w:cs="Times New Roman" w:eastAsia="Times New Roman" w:hAnsi="Times New Roman"/>
          <w:b/>
          <w:bCs/>
          <w:color w:val="000000"/>
          <w:sz w:val="26"/>
          <w:szCs w:val="26"/>
        </w:rPr>
        <w:t xml:space="preserve">5. DİRENÇLİLİK</w:t>
      </w:r>
    </w:p>
    <w:p>
      <w:pPr>
        <w:spacing w:after="160" w:line="360"/>
        <w:jc w:val="both"/>
      </w:pPr>
      <w:r>
        <w:rPr>
          <w:rFonts w:ascii="Times New Roman" w:cs="Times New Roman" w:eastAsia="Times New Roman" w:hAnsi="Times New Roman"/>
          <w:sz w:val="24"/>
          <w:szCs w:val="24"/>
        </w:rPr>
        <w:t xml:space="preserve">Dirençlilik, yapılı çevre literatürüne ekolojiden geçmiş ve geçerken anlamını da değiştirmiş kavramlardan biridir. Biyolojik temelli malzemelerle çalışmak söz konusu olduğunda kavram ayrı bir ağırlık kazanır, çünkü bu malzemelerin değişkenliği ve zamansallığı tasarımcıyı baştan kurgulanmış bir sonuç yerine zaman içinde davranan bir sistemle uğraşmaya zorlar.</w:t>
      </w:r>
    </w:p>
    <w:p>
      <w:pPr>
        <w:pStyle w:val="Heading2"/>
        <w:spacing w:after="170" w:before="320" w:line="360"/>
      </w:pPr>
      <w:r>
        <w:rPr>
          <w:rFonts w:ascii="Times New Roman" w:cs="Times New Roman" w:eastAsia="Times New Roman" w:hAnsi="Times New Roman"/>
          <w:b/>
          <w:bCs/>
          <w:color w:val="000000"/>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yapılı çevre literatüründe birbirinden önemli ölçüde farklı iki anlamda kullanılır. Heymans ve diğ. (2019), ekolojik kentsel planlama ve tasarım literatürünü sistematik olarak incelediği çalışmada bu iki tanımı ayırt eder. Eski tanım, bir sistemin bozulmanın ardından dengeye dönme yeteneğine işaret eder ve verimliliğe odaklanması bakımından modernist paradigmayla tutarlıdır. Daha yeni tanım ise denge dışı karmaşık uyarlanabilir sistemlerle ilişkilidir.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tanımlar.</w:t>
      </w:r>
    </w:p>
    <w:p>
      <w:pPr>
        <w:spacing w:after="160" w:line="360"/>
        <w:jc w:val="both"/>
      </w:pPr>
      <w:r>
        <w:rPr>
          <w:rFonts w:ascii="Times New Roman" w:cs="Times New Roman" w:eastAsia="Times New Roman" w:hAnsi="Times New Roman"/>
          <w:sz w:val="24"/>
          <w:szCs w:val="24"/>
        </w:rPr>
        <w:t xml:space="preserve">Heymans ve diğ.’nin (2019) savunduğu gibi, sistemler öngörülemez olduğunda sürdürülebilirlik dirençlilik kapasitesine bağlı hâle gelir. Yazarlara göre bu, tasarımcılar için bir odak değişimi anlamına gelir. İdealleştirilmiş bir mekânsal biçim geliştirmek yerine, sistemin uyarlanma kapasitesinden doğan dirençliliğini kurmak üzere nasıl örgütlenebileceğini düşünmek gerekir. Sürdürülebilirlik böylece bir biçim hedefi olmaktan çıkar ve bir örgütlenme sorusuna dönüşür. İç mekân, kullanım senaryolarının en hızlı değiştiği ölçek olduğu için bu soruyu en sık soran alandır.</w:t>
      </w:r>
    </w:p>
    <w:p>
      <w:pPr>
        <w:pStyle w:val="Heading2"/>
        <w:spacing w:after="170" w:before="320" w:line="360"/>
      </w:pPr>
      <w:r>
        <w:rPr>
          <w:rFonts w:ascii="Times New Roman" w:cs="Times New Roman" w:eastAsia="Times New Roman" w:hAnsi="Times New Roman"/>
          <w:b/>
          <w:bCs/>
          <w:color w:val="000000"/>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girmesi yalnızca malzemenin niteliğini değiştirmez, tasarımcının konumunu da dönüştürür. Geleneksel yaklaşımda malzeme, verilmiş kararlar doğrultusunda seçilen bir unsurdur. Biyolojik temelli malzemeler ise değişkenlikleri, zamansallıkları ve üretim belirsizlikleriyle kararların yeniden değerlendirilmesini zorunlu kılar. Barati ve Karana (2019), tasarımcı ile malzeme bilimcisi arasındaki erken aşama ortak projelerini incelediği çalışmada yaratıcılığın tasarımcının zihnine ait bir yeti olmadığını, tasarımcı ile maddi dünya arasında dağılmış bir süreç olduğunu savunur. Geliştirdikleri malzeme potansiyeli olarak olanaklar kavramı, odağı tasarımcının yapma ve üretme edimlerine kaydırır. Tasarımcının işi böylece listeden seçim yapmak olmaktan çıkar ve malzemenin neye olanak tanıdığını üretim yoluyla keşfetmeye dönüşür. Keşfedilen şey çoğu zaman değişkenliğin kendisidir, nitekim Goidea ve diğ. (2022) miselyum biyokompozitlerde tür seçiminin hem üretim sürecini hem nesnenin performansını değiştirdiğini örnekler.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üç belirsizlik kaynağıyla baş etmek zorunda kaldığını bulgular: mikroorganizmanın failliği, malzemenin kendine özgü zamansallığı ve malzemenin toplum tarafından kabulü. Bunlardan malzemeye özgü zamansallık, büyüme, kuruma ve yaşlanma sürelerinin tasarım kararının içinde olduğu anlamına gelir. Ne var ki bu zamanın nasıl işlediğine ilişkin bilgi hâlâ sınırlıdır (Chang ve diğ., 2020). Zamanın tasarıma girmesinin doğrudan sonucu, bakımın bir tasarım kararına dönüşmesidir. Graham ve Thrift (2007), yerleşik kültürel kurguların onarım ve bakımı dikkat alanının dışına ittiğini ileri sürer. Biyolojik temelli malzemelerde bu dışarıda bırakma sürdürülemez, çünkü bakım kullanımın kesintiye uğraması değil koşuludur.</w:t>
      </w:r>
    </w:p>
    <w:p>
      <w:pPr>
        <w:pStyle w:val="Heading2"/>
        <w:spacing w:after="170" w:before="320" w:line="360"/>
      </w:pPr>
      <w:r>
        <w:rPr>
          <w:rFonts w:ascii="Times New Roman" w:cs="Times New Roman" w:eastAsia="Times New Roman" w:hAnsi="Times New Roman"/>
          <w:b/>
          <w:bCs/>
          <w:color w:val="000000"/>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Kavram kümesinin tasarım özelliklerine çevrilebilmesi için ekolojik dirençlilik araştırmaları bir dayanak sunar. Biggs ve diğ. (2012), ekosistem hizmetlerinin dirençliliğini güçlendirmeye yönelik yedi genel ilke tanımlar. Bunlardan çeşitlilik ile yedekliliğin korunması, bağlantısallığın yönetilmesi ve yavaş değişkenler ile geri besleme ilişkilerinin yönetilmesi, mekân ölçeğine en doğrudan çevrilebilenleridir. Söz konusu ilkeler ekosistem yönetimi için geliştirildiğinden, aşağıda Walker ve diğ.’nin (2004) dirençlilik, uyarlanabilirlik ve dönüşebilirlik ayrımıyla birlikte okunarak iç mimarlık bağlamına uyarlanmakta ve dört tasarım özniteliği altında yeniden yorumlanmaktadır. Yorumlama bu bölümün kendi sentezidir, anılan kaynakların doğrudan önerisi değildir.</w:t>
      </w:r>
    </w:p>
    <w:p>
      <w:pPr>
        <w:spacing w:after="160" w:line="360"/>
        <w:jc w:val="both"/>
      </w:pPr>
      <w:r>
        <w:rPr>
          <w:rFonts w:ascii="Times New Roman" w:cs="Times New Roman" w:eastAsia="Times New Roman" w:hAnsi="Times New Roman"/>
          <w:sz w:val="24"/>
          <w:szCs w:val="24"/>
        </w:rPr>
        <w:t xml:space="preserve">Çeşitlilik ve yedeklilik bu özniteliklerin en temelidir. Tek bir malzemeye ve tek bir birleşim türüne dayanan bir kurguda yerel bir bozulma bütüne yayılırken, birden çok malzemenin ve birbirinin işlevini üstlenebilecek bileşenlerin bulunduğu bir kurguda bozulma yerel kalır. Yedeklilik burada bir fazlalık değil, bozulmanın yayılmasını engelleyen bir örgütlenme biçimidir. Bağlantısallık ise Biggs ve diğ.’nin (2012) formülasyonunda artırılması değil yönetilmesi gereken bir özellik olarak geçer ve tasarımdaki karşılığı, bileşenlerin birbirine nasıl bağlandığı sorusudur. Tersinir birleşimler bir bileşenin ötekini bozmadan değiştirilmesine izin verirken, kalıcı birleşimler bütün kurguyu tek bir karara bağlar.</w:t>
      </w:r>
    </w:p>
    <w:p>
      <w:pPr>
        <w:spacing w:after="160" w:line="360"/>
        <w:jc w:val="both"/>
      </w:pPr>
      <w:r>
        <w:rPr>
          <w:rFonts w:ascii="Times New Roman" w:cs="Times New Roman" w:eastAsia="Times New Roman" w:hAnsi="Times New Roman"/>
          <w:sz w:val="24"/>
          <w:szCs w:val="24"/>
        </w:rPr>
        <w:t xml:space="preserve">Bakım ve onarılabilirlik, önceki alt başlıkta kurulan ilişkiyi somut sorulara dönüştürür. Bileşen onarılabiliyor mu, onarım izleri kabul ediliyor mu, bakımını kim üstlenebiliyor? Uyarlanabilirlik ve dönüşebilirlik ise Walker ve diğ.’nin (2004) ayrımına dayanır. Yazarlar uyarlanabilirliği sistemdeki insan aktörlerin dirençliliği yönetme konusundaki ortak kapasitesi, dönüşebilirliği ise koşullar mevcut sistemi sürdürülemez kıldığında temelden yeni bir sistem yaratma kapasitesi olarak tanımlar. Kavramın yapı araştırmalarındaki karşılığının henüz yerleşmediğini de eklemek gerekir, çünkü Askar ve diğ. (2021) uyarlanabilirliğe ilişkin yorumların ve bunlara bağlı paradigmaların zaman içinde değiştiğini derler.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ürettiğine dikkat çeker. Bir bileşenin dirençliliği, bağlı olduğu sistemin dirençliliğinden ayrı değerlendirilemez. Döngüsellik ile dirençlilik eş anlamlı değildir, ancak çeşitlilik, tersinir bağlantı, onarılabilirlik ve uyarlanabilirlik gibi ortak özellikler üzerinden birbirini destekler. Öznitelikler ancak kullanıldıkları, bakıldıkları ve değiştirildikleri ölçekte sınanabilir ve bu ölçek büyük ölçüde iç mekândır.</w:t>
      </w:r>
    </w:p>
    <w:p>
      <w:pPr>
        <w:pStyle w:val="Heading1"/>
        <w:spacing w:after="220" w:before="440" w:line="360"/>
      </w:pPr>
      <w:r>
        <w:rPr>
          <w:rFonts w:ascii="Times New Roman" w:cs="Times New Roman" w:eastAsia="Times New Roman" w:hAnsi="Times New Roman"/>
          <w:b/>
          <w:bCs/>
          <w:color w:val="000000"/>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Biyolojik temelli malzemeler yapı ölçeğinde çoğunlukla taşıyıcı olmayan bileşenlere yerleşir, yani iç mimarlığın çalıştığı alana. Bu yerleşim rastlantı değildir ve yalnızca mekanik dayanımla da açıklanmaz, çünkü malzemenin kullanıcıyla temas ettiği, yaşlandığı, onarıldığı ve değiştirildiği ölçek de aynı ölçektir. Aşağıda bu konumun tasarım kararlarını nasıl dönüştürdüğü ele alınmaktadır.</w:t>
      </w:r>
    </w:p>
    <w:p>
      <w:pPr>
        <w:pStyle w:val="Heading2"/>
        <w:spacing w:after="170" w:before="320" w:line="360"/>
      </w:pPr>
      <w:r>
        <w:rPr>
          <w:rFonts w:ascii="Times New Roman" w:cs="Times New Roman" w:eastAsia="Times New Roman" w:hAnsi="Times New Roman"/>
          <w:b/>
          <w:bCs/>
          <w:color w:val="000000"/>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tanımlanmıştır. Edalat (2026), ahşap dışı biyolojik temelli yapı malzemelerinin iç ve dış yüzey kaplamaları, ısıl ve akustik yalıtım ile mobilya üretiminde kullanıldığını, ahşap esaslı malzemelerin ise ağırlıklı olarak yapısal bileşenlerde yer aldığını aktarır. Sınırlı mekanik dayanımları nedeniyle ahşap dışı malzemeler taşıyıcı elemanlarda nadiren kullanılır. Tyagi ve Jain (2026), iç mekân tasarımı literatürünü tarayan çalışmalarında araştırmaların duvar ve yalıtım gibi iç kabuk bileşenlerinde yoğunlaştığını bulgular. İki kaynak birlikte okunduğunda, bu malzemelerin mevcut uygulamalarında iç mekân bileşenlerinin önemli bir yer tuttuğu görülür. Durumu bir sınırlılık olarak değil, bir konumlanma olarak okumak daha verimlidir. Taşıyıcı olmayan bileşenler, bu malzemelerin yapısal risk eşiğinin görece düşük olduğu, dolayısıyla denenebilir oldukları alanı oluşturur.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destekler. Ölçek ve katmanlılık bakımından mimari bütünle ürün ölçeği arasında yer aldıkları için iç mekân bileşenleri aradaki eşiği oluşturur (Chayaamor-Heil ve diğ., 2024). İç mimarlığın buradaki konumu yalnızca ölçekten kaynaklanmaz. Malzemenin kullanıcıyla temas ettiği, yaşlandığı ve değiştirildiği ölçek de aynıdır.</w:t>
      </w:r>
    </w:p>
    <w:p>
      <w:pPr>
        <w:pStyle w:val="Heading2"/>
        <w:spacing w:after="170" w:before="320" w:line="360"/>
      </w:pPr>
      <w:r>
        <w:rPr>
          <w:rFonts w:ascii="Times New Roman" w:cs="Times New Roman" w:eastAsia="Times New Roman" w:hAnsi="Times New Roman"/>
          <w:b/>
          <w:bCs/>
          <w:color w:val="000000"/>
          <w:sz w:val="24"/>
          <w:szCs w:val="24"/>
        </w:rPr>
        <w:t xml:space="preserve">6.2. İkame, bağlayıcı ve iç hava</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eğilimi doğrudan saptar ve bunun malzemenin kendi niteliklerinin değerlendirilmeden kalması anlamına geldiğini belirtir. Malzeme Odaklı Tasarım yöntemi tam da bu nedenle önerilir ve malzemenin kendine özgü teknik ile deneyimsel niteliklerini öne çıkarır (Karana ve diğ., 2015). Camere ve Karana’nın (2018) malzeme seçiminden malzeme tasarımına doğru bir kayma olarak adlandırdığı dönüşüm, iç mimarlık ölçeğinde somut bir ölçüt üretir. Bir miselyum panelini alçıpanın yerine koymak biyolojik temelli bir malzeme kullanmaktır, ancak tek başına biyotasarım yaklaşımının bütün kapsamını karşılamaz.</w:t>
      </w:r>
    </w:p>
    <w:p>
      <w:pPr>
        <w:spacing w:after="160" w:line="360"/>
        <w:jc w:val="both"/>
      </w:pPr>
      <w:r>
        <w:rPr>
          <w:rFonts w:ascii="Times New Roman" w:cs="Times New Roman" w:eastAsia="Times New Roman" w:hAnsi="Times New Roman"/>
          <w:sz w:val="24"/>
          <w:szCs w:val="24"/>
        </w:rPr>
        <w:t xml:space="preserve">Döngüselliğin bileşim ve birleşimde şekillendiği sav da iç mekân ölçeğinde somut biçimde gözlenir. Edalat (2026), yirmi çalışmayı döngüsellik ölçütleri üzerinden değerlendirdiği incelemesinde kahve atığı ile üre-formaldehit reçinesi kullanılarak üretilen bir iç mekân duvar panelini ele alır. Değerlendirmede atık kökenli tedarik bakımından çalışma tam puan alır. Buna karşılık geri dönüştürülebilirlik, biyobozunurluk ve ömür sonu ölçütü hiç dikkate alınmamış olarak puanlanır. Örnek, savı iç mimarlığın kendi nesnesi üzerinden gösterir. Bir duvar paneli atıktan üretilmiş olsa bile, sentetik bir reçineyle bağlandığında ve ömür sonu senaryosu kurgulanmadığında döngüsel bir bileşen hâline gelmez.</w:t>
      </w:r>
    </w:p>
    <w:p>
      <w:pPr>
        <w:spacing w:after="160" w:line="360"/>
        <w:jc w:val="both"/>
      </w:pPr>
      <w:r>
        <w:rPr>
          <w:rFonts w:ascii="Times New Roman" w:cs="Times New Roman" w:eastAsia="Times New Roman" w:hAnsi="Times New Roman"/>
          <w:sz w:val="24"/>
          <w:szCs w:val="24"/>
        </w:rPr>
        <w:t xml:space="preserve">Aynı örnek, iç mimarlığın tartışmaya eklediği ikinci bir ölçütü de görünür kılar. Bağlayıcı seçimi yalnızca ömür sonunu değil, kullanım süresi boyunca iç hava kalitesini de etkiler. Salthammer ve diğ. (2010), formaldehit esaslı reçinelerin yonga levha, kontrplak ve yalıtım köpüğü üretiminde yaygın kullanıldığını ve bu ürünlerin iç ortamdaki başlıca formaldehit kaynakları arasında yer aldığını derler. Kahve atıklı panelde üre-formaldehit reçinesinin seçilmiş olması bu nedenle çifte bir sorundur. Bu bölümde savunulan konuma göre iç mimarlıkta bağlayıcı kararı bir detay tercihi değil, döngüsellik ile sağlık boyutunu aynı anda etkileyen kurucu bir karardır. Miselyum gibi kendi kendine bağlanan malzemelerin ilgi görmesinin nedeni de kısmen budur (Attias ve diğ., 2020). Bileşen, sökülüp yeniden kurulabilen bir sistemin parçası olarak tasarlandığında ömür sonu senaryosu bir varsayım olmaktan çıkar.</w:t>
      </w:r>
    </w:p>
    <w:p>
      <w:pPr>
        <w:pStyle w:val="Heading2"/>
        <w:spacing w:after="170" w:before="320" w:line="360"/>
      </w:pPr>
      <w:r>
        <w:rPr>
          <w:rFonts w:ascii="Times New Roman" w:cs="Times New Roman" w:eastAsia="Times New Roman" w:hAnsi="Times New Roman"/>
          <w:b/>
          <w:bCs/>
          <w:color w:val="000000"/>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hatırlattığı gibi malzeme deneyimimiz koşullanmış bir deneyimdir, çünkü çevremizi saran nesnelerin neredeyse tamamı endüstriyel seri üretimden gelir. Koşullanma tekdüzeliği kalite ile, değişkenliği kusur ile özdeşleştiren bir beklenti üretir. Oysa biyolojik temelli malzemelerde değişkenlik malzemenin kimliğinin parçasıdır. İç mekân, kullanıcının malzemeye dokunduğu ve yaşlanmasını izlediği ölçek olduğundan,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Başlıkta tartışılan üç ilişki, atık yumurta kabuğu ile doğal polimer esaslı bir bağlayıcı sistemden geliştirilen bir biyokompozit üzerinden tek bir örnekte birleşmiştir (Ünal, 2025). Söz konusu çalışmada malzeme bir ürün önerisi olarak değil tasarım aracı olarak ele alınmıştır. Teknik ve deneyimsel nitelikleri Malzeme Odaklı Tasarım yöntemiyle birlikte değerlendirilmiş, malzeme değişkenliği ise sökülüp yeniden kurulabilir modüler bir iç mekân sistemine aktarılmıştır.</w:t>
      </w:r>
    </w:p>
    <w:p>
      <w:pPr>
        <w:pStyle w:val="Heading1"/>
        <w:spacing w:after="220" w:before="440" w:line="360"/>
      </w:pPr>
      <w:r>
        <w:rPr>
          <w:rFonts w:ascii="Times New Roman" w:cs="Times New Roman" w:eastAsia="Times New Roman" w:hAnsi="Times New Roman"/>
          <w:b/>
          <w:bCs/>
          <w:color w:val="000000"/>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Buraya kadarki tartışmanın tasarım pratiğinde karşılık bulabilmesi için, biyolojik temelli bir malzemenin hangi ölçütlerle değerlendirileceğinin belirginleşmesi gerekir. Aşağıda önce literatürün bildirdiği potansiyeller ile sınırlılıklar karşı karşıya getirilmekte, ardından iç mekân ölçeği için altı boyutlu bir değerlendirme çerçevesi önerilmektedir.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kalıcı sınırlılıklar bildirir. İki tarafı ayrı ayrı sıralamak yanıltıcıdır, çünkü çoğu durumda potansiyel ile sınırlılık aynı özelliğin iki yüzüdür. Tablo 3 bu karşıtlıkları sekiz boyutta gösterir.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cantSplit/>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ve mineral yalıtkanlarla karşılaştırılabilir ısıl performans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hava</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Sentetik bağlayıcı kullanılmayan bileşimlerde salım kaynağının ortadan kalkması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Formaldehit esaslı reçinelerin yonga levha, kontrplak ve yalıtım köpüğü üretiminde yaygın kullanımı (Salthammer ve diğ., 2010)</w:t>
            </w:r>
          </w:p>
        </w:tc>
      </w:tr>
      <w:tr>
        <w:trPr>
          <w:cantSplit/>
        </w:trP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birbirine bağlı üç gerilim etrafında toplanır. Değişkenlik ile standartlaşma arasındaki gerilimde malzemenin tasarım açısından en değerli niteliği, kurumsal kabul açısından en büyük engeline dönüşür. Yerellik ile ölçeklenebilirlik arasındaki gerilimde ise yerel kaynaklara dayanabilmek önemli bir avantaj sayılırken aynı özellik, merkezsiz tedarik zincirleri biçiminde pazar ölçeğinde bir dezavantaj üretir. Rognoli ve diğ. (2015) buna karşılık kişisel üretim teknolojilerinin dağıtık üretim süreçleriyle deney yapmayı olanaklı kıldığını savunur, yani merkezsizlik sanayi ölçeğinde bir engel oluştururken tasarım pratiği ölçeğinde bir olanağa dönüşmektedir. İç mimarlık görece küçük üretim adetleriyle çalıştığı için bu ikinci tarafa daha yakın durur.</w:t>
      </w:r>
    </w:p>
    <w:p>
      <w:pPr>
        <w:spacing w:after="300" w:before="140" w:line="240"/>
        <w:jc w:val="center"/>
      </w:pPr>
      <w:r>
        <w:rPr>
          <w:rFonts w:ascii="Times New Roman" w:cs="Times New Roman" w:eastAsia="Times New Roman" w:hAnsi="Times New Roman"/>
          <w:sz w:val="22"/>
          <w:szCs w:val="22"/>
        </w:rPr>
        <w:t xml:space="preserve">Tablo 3. Biyolojik temelli malzemelerin potansiyelleri ve sınırlılıkları</w:t>
      </w:r>
    </w:p>
    <w:p>
      <w:pPr>
        <w:spacing w:after="160" w:line="360"/>
        <w:jc w:val="both"/>
      </w:pPr>
      <w:r>
        <w:rPr>
          <w:rFonts w:ascii="Times New Roman" w:cs="Times New Roman" w:eastAsia="Times New Roman" w:hAnsi="Times New Roman"/>
          <w:sz w:val="24"/>
          <w:szCs w:val="24"/>
        </w:rPr>
        <w:t xml:space="preserve">Biyolojik dönüşebilirlik ile dayanıklılık arasındaki gerilim ise bölümün savını en açık biçimde sınar. Edalat (2026), koyun ve kenevir yünü gibi ham biyolojik yalıtkanların geri dönüştürülebilirlikleri nedeniyle ilgi gördüğünü, ancak zayıf yangın dayanımı ve yüksek maliyetle karşılaştığını aktarır. Mineral yünler ise tümüyle ve sınırsız biçimde yeni ürünlere geri dönüştürülebilir. Bu özgül karşılaştırmada biyolojik kökenli olmayan bir malzeme, biyolojik kökenli alternatifinden daha döngüsel davranır. Samanın tümüyle biyobozunur olması da kademeli bozunmaya açıklık demektir ve geri kazanımını güçleştirir. Biyobozunurluk kendi başına döngüsellik üretmez. Üç gerilimin hiçbiri kolay çözülür türden değildir ve bölüm bunları çözmeyi değil, karar sürecinde görünür kılmayı amaçlar.</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gösterir. Kirchherr ve diğ.’nin (2017) döngüsellik tanımlarının çoğunun sistemsel değişimi vurgulamadığı yolundaki saptaması, Pomponi ve Moncaster’ın (2017) yapılı çevrede döngüselliğin altı boyutta kurulduğunu gösteren çerçevesiyle birlikte okunduğunda, eksik olanın daha iyi bir malzeme listesi değil, malzeme kararını farklı düzlemlerde birlikte okuyan bir çerçeve olduğunu düşündürür.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çerçeve önerir. Çerçevenin kaynağı tek bir çalışma değildir, her boyut bölüm boyunca tartışılan farklı kaynak kümelerine dayanır. İlk üç boyut malzemenin maddi örgütlenmesini, son üç boyut ise malzemenin kullanıcıyla, zamanla ve kurumsal çevreyle ilişkisini kapsar. Çerçeve, literatürde doğrudan tanımlanmış mevcut bir modelin aktarımı değil, bu bölüm kapsamında geliştirilen kavramsal bir sentezdir.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cantSplit/>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 Toklu (2017)</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Kullanım ve iç hava</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kullanım süresi boyunca iç ortama salım yapıyor mu? Nem ve biyolojik bozunmaya karşı davranışı biliniyor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Salthammer ve diğ. (2010); Chang ve diğ. (2020)</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rPr>
          <w:cantSplit/>
        </w:trP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ve kurumsal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Malzemeyi destekleyen standart ve uzman ağı var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Pomponi ve Moncaster (2017)</w:t>
            </w:r>
          </w:p>
        </w:tc>
      </w:tr>
    </w:tbl>
    <w:p>
      <w:pPr>
        <w:spacing w:after="300" w:before="140" w:line="240"/>
        <w:jc w:val="center"/>
      </w:pPr>
      <w:r>
        <w:rPr>
          <w:rFonts w:ascii="Times New Roman" w:cs="Times New Roman" w:eastAsia="Times New Roman" w:hAnsi="Times New Roman"/>
          <w:sz w:val="22"/>
          <w:szCs w:val="22"/>
        </w:rPr>
        <w:t xml:space="preserve">Tablo 4. İç mekân ölçeği için önerilen altı boyutlu değerlendirme çerçevesi</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çünkü bir bileşenin yalnızca ilk üç boyutu karşılaması iç mekân bağlamında yeterli bir değerlendirme sağlamaz. Kahve atıklı duvar paneli bunun açık bir örneğidir ve atık kökenli tedarik boyutunu tümüyle karşılarken ömür sonu ile iç hava boyutlarını hiç karşılamaz. Deneyimsel performansı güçlü olmakla birlikte onarılamayan bir bileşen için de aynı şey son boyut bakımından geçerlidir.</w:t>
      </w:r>
    </w:p>
    <w:p>
      <w:pPr>
        <w:pStyle w:val="Heading1"/>
        <w:spacing w:after="220" w:before="440" w:line="360"/>
      </w:pPr>
      <w:r>
        <w:rPr>
          <w:rFonts w:ascii="Times New Roman" w:cs="Times New Roman" w:eastAsia="Times New Roman" w:hAnsi="Times New Roman"/>
          <w:b/>
          <w:bCs/>
          <w:color w:val="000000"/>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 döngüsellik ve dirençlilik ölçütlerini birlikte ele alan bir tasarım yaklaşımı olarak nasıl kavramsallaştırılabileceğini tartıştı. Yürütülen inceleme, bu üç kavramın birbirinin yerine geçen eşanlamlılar değil, birbirini kapsayan ve birbirine ölçüt ekleyen üç ayrı düzlem olduğunu gösterdi. Sürdürülebilirlik malzemenin çevresel etkisini azaltmayı hedeflerken, döngüsellik malzemenin yaşam döngüsünü ve ömür sonu senaryosunu karar sürecine katar, dirençlilik ise değerlendirmeye zamanı ve değişimi ekler. Şekil 1 üç düzlemi, her birinin sorduğu soruyu ve tek başına yetersiz kaldığı noktayı bir arada gösterir.</w:t>
      </w:r>
    </w:p>
    <w:p>
      <w:pPr>
        <w:spacing w:after="160" w:before="120"/>
        <w:jc w:val="center"/>
      </w:pPr>
      <w:r>
        <w:drawing>
          <wp:inline distT="0" distB="0" distL="0" distR="0">
            <wp:extent cx="4724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24400" cy="2524125"/>
                    </a:xfrm>
                    <a:prstGeom prst="rect">
                      <a:avLst/>
                    </a:prstGeom>
                  </pic:spPr>
                </pic:pic>
              </a:graphicData>
            </a:graphic>
          </wp:inline>
        </w:drawing>
      </w:r>
    </w:p>
    <w:p>
      <w:pPr>
        <w:spacing w:after="300" w:before="140" w:line="240"/>
        <w:jc w:val="center"/>
      </w:pPr>
      <w:r>
        <w:rPr>
          <w:rFonts w:ascii="Times New Roman" w:cs="Times New Roman" w:eastAsia="Times New Roman" w:hAnsi="Times New Roman"/>
          <w:sz w:val="22"/>
          <w:szCs w:val="22"/>
        </w:rPr>
        <w:t xml:space="preserve">Şekil 1. Sürdürülebilirlik, döngüsellik ve dirençlilik düzlemleri</w:t>
      </w:r>
    </w:p>
    <w:p>
      <w:pPr>
        <w:spacing w:after="340" w:before="0" w:line="240"/>
        <w:jc w:val="center"/>
      </w:pPr>
      <w:r>
        <w:rPr>
          <w:rFonts w:ascii="Times New Roman" w:cs="Times New Roman" w:eastAsia="Times New Roman" w:hAnsi="Times New Roman"/>
          <w:sz w:val="18"/>
          <w:szCs w:val="18"/>
        </w:rPr>
        <w:t xml:space="preserve">Sınır ifadeleri sırasıyla O’Rourke ve Seepersad (2015), Rios ve diğ. (2015) ile Chang ve diğ. (2020) çalışmalarına dayanmaktadır.</w:t>
      </w:r>
    </w:p>
    <w:p>
      <w:pPr>
        <w:spacing w:after="160" w:line="360"/>
        <w:jc w:val="both"/>
      </w:pPr>
      <w:r>
        <w:rPr>
          <w:rFonts w:ascii="Times New Roman" w:cs="Times New Roman" w:eastAsia="Times New Roman" w:hAnsi="Times New Roman"/>
          <w:sz w:val="24"/>
          <w:szCs w:val="24"/>
        </w:rPr>
        <w:t xml:space="preserve">Şekil 1 ile Tablo 4 arasındaki ilişki bölümün katkısını özetler. Şekil 1 neyin değerlendirildiğini, yani sürdürülebilirlikten dirençliliğe uzanan üç düzlemi gösterir. Tablo 4 ise bu düzlemlerin iç mekânda hangi somut sorularla sınanacağını verir. Kaynak, tedarik ve bileşim boyutları ilk iki düzleme, ömür sonu ile iç hava boyutları ikinci düzleme, deneyimsel performans ve dirençlilik boyutları üçüncü düzleme karşılık gelir.</w:t>
      </w:r>
    </w:p>
    <w:p>
      <w:pPr>
        <w:spacing w:after="160" w:line="360"/>
        <w:jc w:val="both"/>
      </w:pPr>
      <w:r>
        <w:rPr>
          <w:rFonts w:ascii="Times New Roman" w:cs="Times New Roman" w:eastAsia="Times New Roman" w:hAnsi="Times New Roman"/>
          <w:sz w:val="24"/>
          <w:szCs w:val="24"/>
        </w:rPr>
        <w:t xml:space="preserve">Bölümün ikinci saptaması üç düzlemin iç mimarlıkta kesiştiği noktadadır. Bu malzemelerin mevcut uygulamaları kadar kullanımı, bakımı, onarımı ve değiştirilmesi de büyük ölçüde iç mekân ölçeğinde gerçekleşir (Edalat, 2026).</w:t>
      </w:r>
    </w:p>
    <w:p>
      <w:pPr>
        <w:spacing w:after="160" w:line="360"/>
        <w:jc w:val="both"/>
      </w:pPr>
      <w:r>
        <w:rPr>
          <w:rFonts w:ascii="Times New Roman" w:cs="Times New Roman" w:eastAsia="Times New Roman" w:hAnsi="Times New Roman"/>
          <w:sz w:val="24"/>
          <w:szCs w:val="24"/>
        </w:rPr>
        <w:t xml:space="preserve">Önerilen çerçevenin sınırlılıklarını açıkça belirtmek gerekir. Öneri kuramsal düzeyde kalmakta, tasarım pratiğinde sınanmamış olmayı sürdürmekte ve deneyimsel performans ile dirençlilik boyutları için yerleşik bir ölçüm yaklaşımından yoksun bulunmaktadır. Daha önemlisi, bölümün iç mimarlığa ilişkin savı büyük ölçüde çıkarımsaldır. İç mekân ölçeğine özgü doğrudan ampirik literatür sınırlıdır ve buradaki sav, yapı ölçeği ile ürün tasarımı literatüründen türetilmiştir. Savın sınanması iç mekân bileşenleri üzerinde alan çalışmaları gerektirir.</w:t>
      </w:r>
    </w:p>
    <w:p>
      <w:pPr>
        <w:spacing w:after="160" w:line="360"/>
        <w:jc w:val="both"/>
      </w:pPr>
      <w:r>
        <w:rPr>
          <w:rFonts w:ascii="Times New Roman" w:cs="Times New Roman" w:eastAsia="Times New Roman" w:hAnsi="Times New Roman"/>
          <w:sz w:val="24"/>
          <w:szCs w:val="24"/>
        </w:rPr>
        <w:t xml:space="preserve">Buradan bir araştırma gündemi doğar. Deneyimsel performans ve dirençlilik boyutları için ölçülebilir yaklaşımlar geliştirilmeli, iç mekân bileşenlerinde tersinir birleşim detayları araştırılmalıdır (Rios ve diğ., 2015). Biyolojik temelli bileşenlerin uzun süreli davranışı izlenmelidir (Chang ve diğ., 2020). Türkiye özelinde ise tarımsal artıkların iç mekân bileşenine dönüştürülmesi öncelikli bir araştırma alanıdır (Toklu,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Malzeme seçiminden malzeme tasarımına kayma, tasarımcının malzemeyle kurduğu ilişkinin yeniden tanımlanması demektir (Camere ve Karana, 2018). Heymans ve diğ. (2019) dönüşümün yönünü de gösterir. Sistemin sürdürülebilirliği dirençlilik kapasitesine bağlıdır ve bu kapasite kentlerin insan ve insan-dışı tüm sakinlerini kapsamak durumundadır. İç mekân bu ilişkinin gündelik ölçekte kurulduğu yerdir ve dönüşümün hem sınanacağı hem görünür olacağı alandır.</w:t>
      </w:r>
    </w:p>
    <w:p>
      <w:pPr>
        <w:pStyle w:val="Heading1"/>
        <w:spacing w:after="220" w:before="440" w:line="360"/>
      </w:pPr>
      <w:r>
        <w:rPr>
          <w:rFonts w:ascii="Times New Roman" w:cs="Times New Roman" w:eastAsia="Times New Roman" w:hAnsi="Times New Roman"/>
          <w:b/>
          <w:bCs/>
          <w:color w:val="000000"/>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Collet, C. (2021). Designing our future bio-materiality. </w:t>
      </w:r>
      <w:r>
        <w:rPr>
          <w:rFonts w:ascii="Times New Roman" w:cs="Times New Roman" w:eastAsia="Times New Roman" w:hAnsi="Times New Roman"/>
          <w:i/>
          <w:iCs/>
          <w:sz w:val="24"/>
          <w:szCs w:val="24"/>
        </w:rPr>
        <w:t xml:space="preserve">AI &amp; Society, 36</w:t>
      </w:r>
      <w:r>
        <w:rPr>
          <w:rFonts w:ascii="Times New Roman" w:cs="Times New Roman" w:eastAsia="Times New Roman" w:hAnsi="Times New Roman"/>
          <w:i w:val="false"/>
          <w:iCs w:val="false"/>
          <w:sz w:val="24"/>
          <w:szCs w:val="24"/>
        </w:rPr>
        <w:t xml:space="preserve">, 1331–1342. https://doi.org/10.1007/s00146-020-01013-y</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2453–2509.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Pedersen Zari, M. ve Storey, J. B. (2007). An ecosystem based biomimetic theory for a regenerative built environment. </w:t>
      </w:r>
      <w:r>
        <w:rPr>
          <w:rFonts w:ascii="Times New Roman" w:cs="Times New Roman" w:eastAsia="Times New Roman" w:hAnsi="Times New Roman"/>
          <w:i/>
          <w:iCs/>
          <w:sz w:val="24"/>
          <w:szCs w:val="24"/>
        </w:rPr>
        <w:t xml:space="preserve">SB07: Sustainable Construction, Materials and Practices bildiri kitabı</w:t>
      </w:r>
      <w:r>
        <w:rPr>
          <w:rFonts w:ascii="Times New Roman" w:cs="Times New Roman" w:eastAsia="Times New Roman" w:hAnsi="Times New Roman"/>
          <w:i w:val="false"/>
          <w:iCs w:val="false"/>
          <w:sz w:val="24"/>
          <w:szCs w:val="24"/>
        </w:rPr>
        <w:t xml:space="preserve">, Lizbon, Portekiz, 12–14 Eylül 2007.</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 https://doi.org/10.18682/cdc.vi70.1143</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Salthammer, T., Mentese, S. ve Marutzky, R. (2010). Formaldehyde in the indoor environment. </w:t>
      </w:r>
      <w:r>
        <w:rPr>
          <w:rFonts w:ascii="Times New Roman" w:cs="Times New Roman" w:eastAsia="Times New Roman" w:hAnsi="Times New Roman"/>
          <w:i/>
          <w:iCs/>
          <w:sz w:val="24"/>
          <w:szCs w:val="24"/>
        </w:rPr>
        <w:t xml:space="preserve">Chemical Reviews, 110</w:t>
      </w:r>
      <w:r>
        <w:rPr>
          <w:rFonts w:ascii="Times New Roman" w:cs="Times New Roman" w:eastAsia="Times New Roman" w:hAnsi="Times New Roman"/>
          <w:i w:val="false"/>
          <w:iCs w:val="false"/>
          <w:sz w:val="24"/>
          <w:szCs w:val="24"/>
        </w:rPr>
        <w:t xml:space="preserve">(4), 2536–2572. https://doi.org/10.1021/cr800399g</w:t>
      </w:r>
    </w:p>
    <w:p>
      <w:pPr>
        <w:spacing w:after="140" w:line="360"/>
        <w:ind w:left="567" w:hanging="567"/>
        <w:jc w:val="left"/>
      </w:pPr>
      <w:r>
        <w:rPr>
          <w:rFonts w:ascii="Times New Roman" w:cs="Times New Roman" w:eastAsia="Times New Roman" w:hAnsi="Times New Roman"/>
          <w:i w:val="false"/>
          <w:iCs w:val="false"/>
          <w:sz w:val="24"/>
          <w:szCs w:val="24"/>
        </w:rPr>
        <w:t xml:space="preserve">Toklu, E. (2017). Biomass energy potential and utilization in Turkey. </w:t>
      </w:r>
      <w:r>
        <w:rPr>
          <w:rFonts w:ascii="Times New Roman" w:cs="Times New Roman" w:eastAsia="Times New Roman" w:hAnsi="Times New Roman"/>
          <w:i/>
          <w:iCs/>
          <w:sz w:val="24"/>
          <w:szCs w:val="24"/>
        </w:rPr>
        <w:t xml:space="preserve">Renewable Energy, 107</w:t>
      </w:r>
      <w:r>
        <w:rPr>
          <w:rFonts w:ascii="Times New Roman" w:cs="Times New Roman" w:eastAsia="Times New Roman" w:hAnsi="Times New Roman"/>
          <w:i w:val="false"/>
          <w:iCs w:val="false"/>
          <w:sz w:val="24"/>
          <w:szCs w:val="24"/>
        </w:rPr>
        <w:t xml:space="preserve">, 235–244. https://doi.org/10.1016/j.renene.2017.01.044</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93b8a594cdc4eb34e5bc72411b61ef1072ada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2026-10-04T11:02:53.582Z</dcterms:created>
  <dcterms:modified xsi:type="dcterms:W3CDTF">2026-10-04T11:02:53.582Z</dcterms:modified>
</cp:coreProperties>
</file>

<file path=docProps/custom.xml><?xml version="1.0" encoding="utf-8"?>
<Properties xmlns="http://schemas.openxmlformats.org/officeDocument/2006/custom-properties" xmlns:vt="http://schemas.openxmlformats.org/officeDocument/2006/docPropsVTypes"/>
</file>