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sıklıkla geleneksel malzemelerin sürdürülebilir birer alternatifi olarak sunulmakta; ancak bu kurgu malzeme kararının yapısını değiştirmediği için sınırlı bir dönüşüm üretmektedir. Bölüm, iç mimarlıkta biyolojik temelli malzeme seçimini kuramsal bir çerçevede ele almakta ve biyotasarımın yalnızca yeni malzeme seçenekleri sunmakla kalmayıp malzeme seçiminin ölçütlerini ve tasarımcının kaynak, üretim, kullanım ve atıkla kurduğu ilişkiyi yeniden tanımladığını ileri sürmektedir. Çalışma biyotasarımı komşu kavramlardan ayırmakta, biyolojik temelli malzemeleri doğanın tasarım sürecine katılım düzeyine göre sınıflandırmakta ve biyolojik kökenin tek başına ne sürdürülebilirlik ne döngüsellik güvencesi oluşturduğunu göstermektedir: döngüsellik malzemenin kökeninde değil bileşiminde, birleşiminde ve ömür sonu senaryosunda kararlaşmaktadır. Adaptasyon, değişkenlik ve zamansallık özellikleri dirençlilik kavramı üzerinden değerlendirilmekte; bu malzemelerin fiilî uygulama alanının büyük ölçüde iç mekân olduğu ortaya konmaktadır. Son olarak iç mekân ölçeğine özgü altı boyutlu bir malzeme değerlendirme çerçevesi önerilmektedir.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açısından ciddi bir tehdit oluşturduğunu ortaya koymaktadır.</w:t>
      </w:r>
    </w:p>
    <w:p>
      <w:pPr>
        <w:spacing w:after="160" w:line="360"/>
        <w:jc w:val="both"/>
      </w:pPr>
      <w:r>
        <w:rPr>
          <w:rFonts w:ascii="Times New Roman" w:cs="Times New Roman" w:eastAsia="Times New Roman" w:hAnsi="Times New Roman"/>
          <w:sz w:val="24"/>
          <w:szCs w:val="24"/>
        </w:rPr>
        <w:t xml:space="preserve">Biyolojik temelli malzemeler bu tabloya yönelik yanıtlardan biri olarak gündeme gelmektedir. Bourbia ve diğ. (2023), bu malzemelerin yenilenebilir olma, düşük gömülü enerjiye sahip olma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geleneksel yapı malzemelerinden önemli ölçüde farklı yaklaşımlar gerektirdiğini vurgulamaktadır. Bu uyarı, bölümün çıkış noktasını oluşturmaktadır: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Benzer bir belirsizlik döngüsellik kavramında da görülmektedir; Kirchherr ve diğ. (2017), 114 döngüsel ekonomi tanımını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İkincisi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i/>
          <w:iCs/>
          <w:sz w:val="24"/>
          <w:szCs w:val="24"/>
        </w:rPr>
        <w:t xml:space="preserve">Araştırma sorusu: </w:t>
      </w:r>
      <w:r>
        <w:rPr>
          <w:rFonts w:ascii="Times New Roman" w:cs="Times New Roman" w:eastAsia="Times New Roman" w:hAnsi="Times New Roman"/>
          <w:i w:val="false"/>
          <w:iCs w:val="false"/>
          <w:sz w:val="24"/>
          <w:szCs w:val="24"/>
        </w:rPr>
        <w:t xml:space="preserve">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i/>
          <w:iCs/>
          <w:sz w:val="24"/>
          <w:szCs w:val="24"/>
        </w:rPr>
        <w:t xml:space="preserve">Hipotez: </w:t>
      </w:r>
      <w:r>
        <w:rPr>
          <w:rFonts w:ascii="Times New Roman" w:cs="Times New Roman" w:eastAsia="Times New Roman" w:hAnsi="Times New Roman"/>
          <w:i w:val="false"/>
          <w:iCs w:val="false"/>
          <w:sz w:val="24"/>
          <w:szCs w:val="24"/>
        </w:rPr>
        <w:t xml:space="preserve">Biyotasarım ve biyolojik temelli malzemeler, iç mimarlıkta yalnızca daha sürdürülebilir malzeme seçenekleri sunmamakta; malzeme seçiminin ölçütlerini, malzemenin yaşam döngüsünü ve tasarımcının kaynak, üretim, kullanım ve atıkla kurduğu ilişkiyi yeniden tanımlamaktadır. Buna bağlı olarak bir malzemenin döngüselliği ve dirençliliği biyolojik kökeninde değil, tasarım aşamasında verilen bileşim, birleşim ve ömür sonu kararlarında belirlenmektedir.</w:t>
      </w:r>
    </w:p>
    <w:p>
      <w:pPr>
        <w:spacing w:after="160" w:line="360"/>
        <w:jc w:val="both"/>
      </w:pPr>
      <w:r>
        <w:rPr>
          <w:rFonts w:ascii="Times New Roman" w:cs="Times New Roman" w:eastAsia="Times New Roman" w:hAnsi="Times New Roman"/>
          <w:sz w:val="24"/>
          <w:szCs w:val="24"/>
        </w:rPr>
        <w:t xml:space="preserve">Bölüm bu soruyu altı adımda ele almaktadır: biyotasarım kavramının komşu kavramlardan ayrımı (Tablo 1), biyolojik temelli malzemelerin sınıflandırılması (Tablo 2), döngüsel malzeme sistemleri, dirençlilik tartışması, iç mekân ölçeğine geçiş ve bir değerlendirme çerçevesi önerisi (Tablo 3 ve Tablo 4). Sekizinci başlık bulguları üç düzlemde toparlar (Tablo 5). Bölüm, seçilmiş kaynaklara dayanan kuramsal bir derleme niteliğindedir;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 VE PARADİGMA DÖNÜŞÜMÜ</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 ve komşu kavramlar</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seksen yenilikçi örneği ve bu alanda profesyonel olarak çalışan yirmi uzmanın görüşlerini inceleyerek araştırmışlardır. Örneklerin tanımlanmasında “biyo” önekiyle üretilmiş özelleştirilmiş terimler (biyobeton, biyotuğla gibi) ilk sırada yer almakta; bunları “akıllı”, “canlı” ve “büyüyen” nitelemeleri izlemektedir. Yazarların temel bulgusu, bu çeşitliliğe karşın literatürde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Tespit, Türkçe literatür açısından ayrıca önemlidir: kavramların kaynak dildeki kullanımda dahi yerleşmemiş olması, Türkçeye aktarımda yaşanan karışıklığın yalnızca çeviri kaynaklı olmadığını gösterir.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bir tutulmasıdır. Kırbaş Akyürek ve diğ. (2020) bu eşitlemenin neden sürdürülemeyeceğini açık biçimde ortaya koymaktadır: biyomimikrinin temel amacı biyolojik süreçleri teknolojilere çevirmektir; biyolojik malzeme kullanımına işaret etmez. Yazarlar aynı gerekçeyle komşu kavramları da ayırt etmektedir. Biyoesinlenme, biyolojik olmayan bilim ve teknoloji alanındaki araştırmaların benzetimini de içermektedir. Biyomerkezcilik esas olarak doğal çevre ile insan arasındaki ilişkiye odaklanır. Biyofili, insanın doğayla bağ kurarak duygusal ve biyolojik gereksinimlerini karşılamayı amaçlar. Biyomimarlık ise doğanın hem canlı hem cansız ögelerinden esinlenmeyi kapsar. Yazarlara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ve/veya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 ayrımı</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kurmaktadır. Yazarlara göre biyotasarım, biyolojik malzemeleri ve/veya yaklaşımları yapılar gibi insan uygulamaları için kullanan tasarımı ifade eder. Biyolojik tasarım ise genotipleri fenotiplere bağlayan morfogenetik süreçlere; genetik koddaki bilgiyi mekânsal biçim olarak ifade eden süreç ve etmenlere işaret etmektedir. Ayrım kavramsal olarak belirleyicidir: biyotasarım tasarımcının pratiğini, biyolojik tasarım ise doğanın kendi sürecini adlandırmaktadır ve ikincisi birincisi için bir model işlevi görür. Yazarlar iki alan arasındaki bağın hem doğrudan hem dolaylı olduğunu belirtmektedir. Doğrudandır; çünkü canlı organizmaların tasarıma dahil edilmesi, bu organizmaların yaşamını sürdüren süreçlerin göz önünde bulundurulmasını ve yaşadıkları yapılı çevrede bu süreçlere yer açılmasını gerektirir. Dolaylıdır; çünkü biyolojik ilkeler daha yüksek düzeyde karşılıklı bağlantı ve karmaşıklıkla çalışmayı olanaklı kıldığında, tasarımla başarılabileceklerin kapsamı genişler.</w:t>
      </w:r>
    </w:p>
    <w:p>
      <w:pPr>
        <w:spacing w:after="160" w:line="360"/>
        <w:jc w:val="both"/>
      </w:pPr>
      <w:r>
        <w:rPr>
          <w:rFonts w:ascii="Times New Roman" w:cs="Times New Roman" w:eastAsia="Times New Roman" w:hAnsi="Times New Roman"/>
          <w:sz w:val="24"/>
          <w:szCs w:val="24"/>
        </w:rPr>
        <w:t xml:space="preserve">Andréen ve Goidea (2022), biyolojik tasarımı bir model olarak alarak dört tasarım ilkesi türetmektedir. Birincisi çeşitlilik, ikincisi biçimin karmaşıklığı ve özgüllüğü, üçüncüsü dirençlilik yoluyla dayanıklılık, dördüncüsü geri besleme ve uyarlanmadır. Yazarlar bu ilkelerin kendi başlarına yeni olmadığını özellikle vurgulamaktadır: modern inşaat sanayisinin doğuşundan önce mimarlık uzun süre bu stratejilerle üretilmiş; hem tarihsel hem güncel vernaküler mimarlık bu stratejileri büyük ölçüde içermiştir (Andréen ve Goidea, 2022). İlkelerden üçüncüsü, beşinci başlıkta ayrıntılandırılacağı üzere, biyomalzemelerle çalışmanın kuramsal gerekçesini oluşturmaktadır.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da görünür hâle gelmektedir. Kırbaş Akyürek ve diğ.’nin (2020) belirttiği gibi biyomimikrinin temel amacı biyolojik süreçleri teknolojilere çevirmektir; bu yaklaşımda aktarılan şey, doğanın geliştirdiği çözümün kendisidir. Andréen ve Goidea’nın (2022) ilkelerinde ise aktarılan şey çözüm değil, çözümü üreten mantıktır: doğanın biçimleri kopyalanmaz, doğanın biçim üretme biçimi incelenerek tasarım süreci yeniden kurgulanır. İlişki bu nedenle bir taklit değil, bir ilke çıkarma ilişkisidir; bu ayrım, izleyen başlıkta malzemelerin sınıflandırılmasında da belirleyici olacaktır.</w:t>
      </w:r>
    </w:p>
    <w:p>
      <w:pPr>
        <w:pStyle w:val="Heading2"/>
        <w:spacing w:after="170" w:before="320" w:line="360"/>
      </w:pPr>
      <w:r>
        <w:rPr>
          <w:rFonts w:ascii="Times New Roman" w:cs="Times New Roman" w:eastAsia="Times New Roman" w:hAnsi="Times New Roman"/>
          <w:b/>
          <w:bCs/>
          <w:sz w:val="24"/>
          <w:szCs w:val="24"/>
        </w:rPr>
        <w:t xml:space="preserve">2.3. Kesişme biçimleri ve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da belirtilmelidir. Camere ve Karana (2018), biyoloji ile tasarımı birbiriyle verimlendiren girişimleri dört kategoride toplamaktadır: artırılmış biyolojide tasarımcılar yeni biyolojik organizmalar tasarlamak üzere hücrelerin yeniden mühendisliğini amaçlar; biyotasarım kurgusunda biyoteknolojik geleceklerin sonuçları spekülatif senaryolar ve deneyimsel prototiplerle tartışmaya açılır; dijital biyofabrikasyonda biyolojik araçlar ileri hesaplama teknolojileriyle birleştirilir; büyüyen tasarım ise ürün tasarımı için yeni malzemelerin geliştirilmesine odaklanır ve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hipotezinin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Ayrım önemlidir: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 biyomimikri, biyolojik temelli, canlı</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toplanmakta, bu da kavramsal bir belirsizlik üretmektedir. Chayaamor-Heil ve diğ. (2023), mimarlık ve inşaat alanındaki güncel araştırmaları derledikleri çalışmalarında bu alanı üç ayrı tasarım yaklaşımı olarak ele almaktadır: biyomimikri temelli, biyolojik temelli ve canlı malzeme tasarımları. Birinci kategori, ikinci başlıkta ele alınan biyomimikri yaklaşımının malzeme ölçeğindeki karşılığıdır. Ayrımın belirleyici ölçütü, doğanın tasarım sürecine hangi düzeyde dahil olduğudur. Biyomimikri temelli malzemelerde doğa bir ilke ya da strateji kaynağıdır;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kalır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otu¹</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alg²</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yalıtım³</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ağırlıklı³</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uyumluluğu⁴</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gereksinimler⁵</w:t>
            </w:r>
          </w:p>
        </w:tc>
      </w:tr>
    </w:tbl>
    <w:p>
      <w:pPr>
        <w:spacing w:after="340" w:before="130" w:line="240"/>
      </w:pPr>
      <w:r>
        <w:rPr>
          <w:rFonts w:ascii="Times New Roman" w:cs="Times New Roman" w:eastAsia="Times New Roman" w:hAnsi="Times New Roman"/>
          <w:i/>
          <w:iCs/>
          <w:sz w:val="18"/>
          <w:szCs w:val="18"/>
        </w:rPr>
        <w:t xml:space="preserve">Sınıflandırma çerçevesi: Chayaamor-Heil ve diğ. (2023). ¹ Bourbia ve diğ. (2023) · ² Karana ve diğ. (2018); Attias ve diğ. (2020) · ³ Tyagi ve Jain (2026) · ⁴ Rios ve diğ. (2015); Edalat (2026) · ⁵ Chayaamor-Heil ve diğ. (2024)</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literatüründe en geniş yer tutan kategoridir. Bourbia ve diğ. (2023), yapı kabuğunda kullanılan bu malzemeleri derledikleri çalışmalarında kenevir, ahşap, hurma ağacı, mantar meşesi kabuğu, alfa otu ve samanı inceleyerek yenilenebilirlik, düşük gömülü enerji ve ısıl düzenleme kapasitesi gibi ortak özelliklere dikkat çekmektedir. Liste, bu malzemelerin önemli bir bölümünün aslında yeni değil, geleneksel yapı kültürüne ait olduğunu göstermektedir; nitekim Andréen ve Goidea (2022) da önerdikleri ilkelerin modern inşaat sanayisinden önce mimarlıkta uzun süre uygulandığını belirtmektedir.</w:t>
      </w:r>
    </w:p>
    <w:p>
      <w:pPr>
        <w:spacing w:after="160" w:line="360"/>
        <w:jc w:val="both"/>
      </w:pPr>
      <w:r>
        <w:rPr>
          <w:rFonts w:ascii="Times New Roman" w:cs="Times New Roman" w:eastAsia="Times New Roman" w:hAnsi="Times New Roman"/>
          <w:sz w:val="24"/>
          <w:szCs w:val="24"/>
        </w:rPr>
        <w:t xml:space="preserve">Saptama iç mimarlık açısından özellikle anlamlıdır: Tyagi ve Jain (2026), iç mekân tasarımında biyolojik temelli ve yenileyici malzemeler üzerine 104 yayını inceledikleri sistematik derlemede, bambu, kerpiç, saman ve kenevir gibi vernaküler malzemelerin düşük etkili iç mekân uygulamalarında merkezî konumunu koruduğunu; buna karşılık miselyum, bakteriyel selüloz ve alg gibi biyofabrike malzemelerin deneysel araştırmalara hâkim olduğunu ortaya koymaktadır. Alan, bir yanda köklü bir yapı kültürüne, diğer yanda henüz laboratuvar aşamasındaki bir araştırma gündemine yaslanmaktadır. Kategorinin ayırt edici bir başka özelliği, girdi olarak başka bir sürecin çıktısını kullanabilmesidir; Lee ve diğ. (2022), değerlendirilemeyen biyokütlenin alternatif hammadde olarak kullanılabilirliğini artırma çabalarının fosil kökenli eşdeğerlerin yerini alabilecek ürünlerin üretimine yöneldiğini ortaya koymaktadır.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Attias ve diğ. (2020), miselyum biyokompozitlerini endüstriyel tasarım ve mimarlık bağlamında inceledikleri çalışmalarında beş bitkisel atık alt tabaka ile dört mantar türünü karşılaştırmalı olarak değerlendirmiştir; bu kurgu, canlı malzemelerde tasarım kararının malzeme bileşimiyle iç içe geçtiğini göstermektedir. Chayaamor-Heil ve diğ. (2024) ise alg, bakteri ve mantarı mimarlık bağlamında ele aldıkları çalışmalarında her organizma için birer vaka incelemesi seçmiş ve çok disiplinli uzmanlarla görüşmeler yürütmüşlerdir. En dikkat çekici bulguları şudur: canlı organizmalardan yeni malzeme ya da tasarım bileşeni geliştirilmesi, ölçek, çok katmanlılık ve gereksinimlerden kaynaklanan kısıtlar nedeniyle mimarlık ve inşaatta, tekstil ve ürün tasarımına kıyasla daha güç gerçekleşmektedir. Ölçek, canlı malzemelerin yapılı çevreye girişinde belirleyici bir eşiktir; taşıyıcı olmayan, görece küçük ölçekli iç mekân bileşenleri bu nedenle öncelikli bir uygulama alanı oluşturabilir.</w:t>
      </w:r>
    </w:p>
    <w:p>
      <w:pPr>
        <w:pStyle w:val="Heading2"/>
        <w:spacing w:after="170" w:before="320" w:line="360"/>
      </w:pPr>
      <w:r>
        <w:rPr>
          <w:rFonts w:ascii="Times New Roman" w:cs="Times New Roman" w:eastAsia="Times New Roman" w:hAnsi="Times New Roman"/>
          <w:b/>
          <w:bCs/>
          <w:sz w:val="24"/>
          <w:szCs w:val="24"/>
        </w:rPr>
        <w:t xml:space="preserve">3.3. Malzemenin etkin bileşene dönüşmesi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ve paylaşımlı üretim süreçleriyle deney yapma ve yeni malzemeler tasarlama bakımından önemli olanaklar sunduğunu belirtmektedir. Yazarlar kendin yap malzemeleri, bireysel ya da ortak öz üretim deneyimleriyle, çoğu kez tasarımcının kendi icat ettiği teknik ve süreçlerle, malzemeyle kurcalama sürecinin sonucunda yaratılan malzemeler olarak tanımlamaktadır. Rognoli ve Ayala García (2018) aynı dönüşümü malzeme aktivizmi kavramıyla ele almaktadır: malzeme deneyimimiz, çevremizi saran nesnelerin neredeyse tamamının endüstriyel seri üretimden gelmesi nedeniyle koşullanmış bir deneyimdir; malzeme geliştirme ise büyük ölçüde stratejik sektörlerdeki teknik sorunların çözümü ile ölçeklenebilir uygun maliyetli çözüm arayışının denetimindedir. Malzeme aktivizmi, tasarımcıların düşük teknolojili ve deneysel yaklaşımlarla bu sürece yeniden dahil olmasını önermektedir.</w:t>
      </w:r>
    </w:p>
    <w:p>
      <w:pPr>
        <w:spacing w:after="160" w:line="360"/>
        <w:jc w:val="both"/>
      </w:pPr>
      <w:r>
        <w:rPr>
          <w:rFonts w:ascii="Times New Roman" w:cs="Times New Roman" w:eastAsia="Times New Roman" w:hAnsi="Times New Roman"/>
          <w:sz w:val="24"/>
          <w:szCs w:val="24"/>
        </w:rPr>
        <w:t xml:space="preserve">Ancak 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Döngüsellik tartışmasının kavramsal zemini, kavramın kendisindeki belirsizlikle başlar. Kirchherr ve diğ. (2017), döngüsel ekonomi kavramının hem akademide hem uygulamada ivme kazanmasına karşın eleştirmenlerin kavramın herkes için farklı bir şey ifade ettiğini öne sürdüğünü belirtmekte; 114 tanımı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Kavram malzeme ölçeğine indirgendiğinde, tam da bu sistemsel boyut gözden kaçmaktadır.</w:t>
      </w:r>
    </w:p>
    <w:p>
      <w:pPr>
        <w:spacing w:after="160" w:line="360"/>
        <w:jc w:val="both"/>
      </w:pPr>
      <w:r>
        <w:rPr>
          <w:rFonts w:ascii="Times New Roman" w:cs="Times New Roman" w:eastAsia="Times New Roman" w:hAnsi="Times New Roman"/>
          <w:sz w:val="24"/>
          <w:szCs w:val="24"/>
        </w:rPr>
        <w:t xml:space="preserve">Yapılı çevre özelinde Pomponi ve Moncaster (2017), yapı araştırmalarında döngüsel ekonomiyi tanımlayan altı temel boyut belirlemektedir: çevresel, teknolojik, ekonomik, toplumsal, yönetsel ve davranışsal. Yazarlara göre bu boyutları bir araya getiren başvuru çerçevesi, mevcut girişimleri kümelemek ve disiplinler arası çalışmalar için eksik bağlantıları görünür kılmak bakımından değerli bir araçtır. Çerçevenin bu bölüm açısından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uygundur. Andréen ve Goidea’nın (2022) belirttiği gibi biyolojik tasarım sistemi doğası gereği döngüseldir ve malzeme kullanımı için ikna edici bir perspektif oluşturur. Ancak bu yapısal uygunluk fiilî bir eklemlenme anlamına gelmemektedir: Edalat (2026), biyolojik temelli yapı malzemelerinin döngüsel ekonomi sistemlerine eklemlenmesinin kavramsal olarak parçalı ve uygulamada tutarsız kaldığını belirtmektedir. Bu başlığın tartışması, söz konusu boşluğun nerede doğduğu sorusu üzerine kurulmuştur.</w:t>
      </w:r>
    </w:p>
    <w:p>
      <w:pPr>
        <w:pStyle w:val="Heading2"/>
        <w:spacing w:after="170" w:before="320" w:line="360"/>
      </w:pPr>
      <w:r>
        <w:rPr>
          <w:rFonts w:ascii="Times New Roman" w:cs="Times New Roman" w:eastAsia="Times New Roman" w:hAnsi="Times New Roman"/>
          <w:b/>
          <w:bCs/>
          <w:sz w:val="24"/>
          <w:szCs w:val="24"/>
        </w:rPr>
        <w:t xml:space="preserve">4.2. Atık akımlarının kaynağa dönüşmesi</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tarımsal atığın dünya genelinde yaygın biçimde bulunmasına rağmen inşaat sektöründeki kullanımının sınırlı kaldığını, bu atığın büyük bölümünün biyoyakıt ve yem hammaddesi üretimine yönlendirildiğini belirtmektedir. Attias ve diğ.’nin (2020) beş bitkisel atık alt tabakayı dört mantar türüyle birlikte değerlendiren karşılaştırmalı çalışması, bu akımların malzemeye dönüştürülmesinde alt tabaka ile organizma bileşiminin belirleyici olduğunu göstermektedir.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yoğunlaşmakta, ahşap kaynakları ise Orta Doğu ve Kuzey Afrika gibi bölgelerde belirgin biçimde kıt kalmaktadır (Edalat, 2026). Ahşabın erişilebilirliği bölgesel olarak kısıtlıyken ahşap dışı tarımsal kaynaklar çok daha yaygındır; bu dağılım, ahşap kaynakları sınırlı coğrafyalarda tarımsal artıklara dayalı malzemelerin stratejik önemini artırmakta ve Pomponi ve Moncaster’ın (2017) çerçevesindeki çevresel ve ekonomik boyutların yerel koşullara göre farklı sonuçlar üretebileceğini göstermektedir.</w:t>
      </w:r>
    </w:p>
    <w:p>
      <w:pPr>
        <w:pStyle w:val="Heading2"/>
        <w:spacing w:after="170" w:before="320" w:line="360"/>
      </w:pPr>
      <w:r>
        <w:rPr>
          <w:rFonts w:ascii="Times New Roman" w:cs="Times New Roman" w:eastAsia="Times New Roman" w:hAnsi="Times New Roman"/>
          <w:b/>
          <w:bCs/>
          <w:sz w:val="24"/>
          <w:szCs w:val="24"/>
        </w:rPr>
        <w:t xml:space="preserve">4.3. Döngüselliğin tasarım aşamasında kararlaşması</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verildiğine ilişkindir. Rios ve diğ. (2015), yıkım yerine sökümü, geri dönüştürülebilirliği ve sökülebilirlik için tasarımı daha iyi inşaat atığı yönetimi yaklaşımları olarak tanımlamakta; buna karşılık sökülebilirlik için tasarımın ilkelerini ele alan kapsamlı kılavuzlar yayımlanmış olmasına rağmen bu alanda geliştirilmiş yapı sayısının çok az kaldığını belirtmektedir. Yazarların amacı, söz konusu kuram ile uygulama arasındaki boşluğu ortaya koymaktır. Boşluğun kaynağı tasarım aşamasıdır: Edalat (2026) de malzeme tedariki, sökülebilirlik için tasarım ve bağlayıcı türünün — doğal, sentetik ya da hiç kullanılmamış olması — geri dönüştürülebilirlik üzerinde belirleyici bir etkiye sahip olmasına karşın tasarımda ve araştırmada nadiren göz önünde bulundurulduğunu; sınırlılıkların esas olarak tasarım aşamasında döngüsel düşüncenin bulunmamasından kaynaklandığını belirtmektedir.</w:t>
      </w:r>
    </w:p>
    <w:p>
      <w:pPr>
        <w:spacing w:after="160" w:line="360"/>
        <w:jc w:val="both"/>
      </w:pPr>
      <w:r>
        <w:rPr>
          <w:rFonts w:ascii="Times New Roman" w:cs="Times New Roman" w:eastAsia="Times New Roman" w:hAnsi="Times New Roman"/>
          <w:sz w:val="24"/>
          <w:szCs w:val="24"/>
        </w:rPr>
        <w:t xml:space="preserve">Bu, bölümün hipotezinin ilk yarısını kaynaklı biçimde ortaya koymaktadır: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Edalat, 2026). Buna karşılık aynı atık, sentetik bir reçineyle bağlandığında döngüsellik iddiası ortadan kalkar; altıncı başlıkta aktarılan iç mekân duvar paneli örneği bu durumu göstermektedir.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açık hâle gelir: çevresel avantaj iddialarının her biri için önemli istisnalar bulunmaktadır (O’Rourke ve Seepersad, 2015) ve biyokompozitlerin uzun süreli dayanıklılığına ilişkin bilgi sınırlıdır (Chang ve diğ., 2020). Döngüsellik iddiası, ömür sonu davranışının bilinmediği bir malzeme için temelsiz kalır. Kaynak çeşitliliği de bu eleştirel çerçevenin parçasıdır: ahşaba aşırı bağımlılık ormansızlaşma ve biyoçeşitlilik kaybı riski taşırken, yalnızca ahşap dışı malzemelere dayanmak ölçeklenebilirlikten yoksundur; iki grubun tamamlayıcı güçlerinin bütünleştirilmesi döngüselliğe daha dirençli bir yol sunmaktadır (Edalat, 2026). Tartışmanın malzeme ölçeğinden mekân ölçeğine taşınmasını gerektiren nokta da burasıdır.</w:t>
      </w:r>
    </w:p>
    <w:p>
      <w:pPr>
        <w:pStyle w:val="Heading1"/>
        <w:spacing w:after="220" w:before="440" w:line="360"/>
      </w:pPr>
      <w:r>
        <w:rPr>
          <w:rFonts w:ascii="Times New Roman" w:cs="Times New Roman" w:eastAsia="Times New Roman" w:hAnsi="Times New Roman"/>
          <w:b/>
          <w:bCs/>
          <w:sz w:val="26"/>
          <w:szCs w:val="26"/>
        </w:rPr>
        <w:t xml:space="preserve">5. ADAPTASYON, DEĞİŞKENLİK VE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tartışma bir adım ileri taşınarak, biyolojik temelli malzemelerin tasarım sürecine taşıdığı üç özellik — adaptasyon, değişkenlik ve zamansallık — dirençlilik kavramı üzerinden ele alınmaktadır.</w:t>
      </w:r>
    </w:p>
    <w:p>
      <w:pPr>
        <w:pStyle w:val="Heading2"/>
        <w:spacing w:after="170" w:before="320" w:line="360"/>
      </w:pPr>
      <w:r>
        <w:rPr>
          <w:rFonts w:ascii="Times New Roman" w:cs="Times New Roman" w:eastAsia="Times New Roman" w:hAnsi="Times New Roman"/>
          <w:b/>
          <w:bCs/>
          <w:sz w:val="24"/>
          <w:szCs w:val="24"/>
        </w:rPr>
        <w:t xml:space="preserve">5.1. Dirençliliğin iki tanımı</w:t>
      </w:r>
    </w:p>
    <w:p>
      <w:pPr>
        <w:spacing w:after="160" w:line="360"/>
        <w:jc w:val="both"/>
      </w:pPr>
      <w:r>
        <w:rPr>
          <w:rFonts w:ascii="Times New Roman" w:cs="Times New Roman" w:eastAsia="Times New Roman" w:hAnsi="Times New Roman"/>
          <w:sz w:val="24"/>
          <w:szCs w:val="24"/>
        </w:rPr>
        <w:t xml:space="preserve">Dirençlilik kavramı yapılı çevre literatüründe birbirinden önemli ölçüde farklı iki anlamda kullanılmaktadır. Heymans ve diğ. (2019), ekolojik kentsel planlama ve tasarım literatürünü 57 makale üzerinden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tanımlamaktadır. Andréen ve Goidea (2022) aynı ayrımı malzeme ölçeğinde kurmakta; mühendislik dirençliliği olarak adlandırılan birinci tanımın daha çok doğrusal sistemler ile değişime direnmenin amaçlandığı bağlamlar için geçerli olduğunu belirtmektedir.</w:t>
      </w:r>
    </w:p>
    <w:p>
      <w:pPr>
        <w:spacing w:after="160" w:line="360"/>
        <w:jc w:val="both"/>
      </w:pPr>
      <w:r>
        <w:rPr>
          <w:rFonts w:ascii="Times New Roman" w:cs="Times New Roman" w:eastAsia="Times New Roman" w:hAnsi="Times New Roman"/>
          <w:sz w:val="24"/>
          <w:szCs w:val="24"/>
        </w:rPr>
        <w:t xml:space="preserve">Ayrımın tasarım açısından sonucu şudur: 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Dirençlilik yoluyla dayanıklılık</w:t>
      </w:r>
    </w:p>
    <w:p>
      <w:pPr>
        <w:spacing w:after="160" w:line="360"/>
        <w:jc w:val="both"/>
      </w:pPr>
      <w:r>
        <w:rPr>
          <w:rFonts w:ascii="Times New Roman" w:cs="Times New Roman" w:eastAsia="Times New Roman" w:hAnsi="Times New Roman"/>
          <w:sz w:val="24"/>
          <w:szCs w:val="24"/>
        </w:rPr>
        <w:t xml:space="preserve">Andréen ve Goidea (2022), biyolojik tasarım ilkeleri arasında saydıkları dirençlilik yoluyla dayanıklılık ilkesini modern mimarlık kültürünün kalıcı ve durağan malzeme ve biçimlere olan eğilimiyle karşıtlık içinde kurmaktadır. Yazarlara göre bu eğilim, tek tek hücrelerin ölümlü olmasına karşın bütünsel biçimin sürdüğü biyolojik bedenlerin işleyişine aykırıdır. Buradan güncel sürdürülebilirlik söylemine yönelik açık bir eleştiri türetmektedirler: ekolojik ve iklimsel bir acil durum döneminde, sürdürülebilirlik niteliğini başlangıçtaki kaynak tüketiminin uzun bir süreye yayıldığı varsayımından elde eden yapılar inşa etmek savunulabilir değildir. Eleştiri, toplumun, kentlerin ve doğanın giderek hızlanan bir tempoda değiştiği koşullarda özellikle geçerlidir.</w:t>
      </w:r>
    </w:p>
    <w:p>
      <w:pPr>
        <w:spacing w:after="160" w:line="360"/>
        <w:jc w:val="both"/>
      </w:pPr>
      <w:r>
        <w:rPr>
          <w:rFonts w:ascii="Times New Roman" w:cs="Times New Roman" w:eastAsia="Times New Roman" w:hAnsi="Times New Roman"/>
          <w:sz w:val="24"/>
          <w:szCs w:val="24"/>
        </w:rPr>
        <w:t xml:space="preserve">Bu akıl yürütmenin biyomalzemeler açısından sonucu, literatürdeki en keskin saptamalardan biridir: biyomalzemeler endüstriyel olarak mühendislik ürünü malzemelere kıyasla daha az dayanıklılık sergiliyorlarsa, aynı zamanda daha esnek, daha dinamik ve daha geri dönüştürülebilirdir; sürekli yeniden biçimlendirme ve bakım ilkeleri üzerine kurulu bir yapı ise doğası gereği uyarlanabilirdir (Andréen ve Goidea, 2022). Dayanıklılık, bu çerçevede malzemenin bozulmaması değil, sistemin değişim karşısında sürekliliğini koruyabilmesi anlamına gelmektedir. Yazarlar ilkenin örneğini vernaküler toprak köylerinde bulmaktadır: kil esaslı bu yapılar kullanılabilir kalmak için sürekli bakım gerektirir; bakım sürdürüldüğünde dirençliliklerini korur, sürdürülmediğinde ise peyzaja geri karışır ya da yeni yapılar için hammaddeye dönüşür. Malzemeler kimyasal olarak ya da ısıyla işlenmemiş olduğundan yapılı çevre tümüyle tersinirdir.</w:t>
      </w:r>
    </w:p>
    <w:p>
      <w:pPr>
        <w:spacing w:after="160" w:line="360"/>
        <w:jc w:val="both"/>
      </w:pPr>
      <w:r>
        <w:rPr>
          <w:rFonts w:ascii="Times New Roman" w:cs="Times New Roman" w:eastAsia="Times New Roman" w:hAnsi="Times New Roman"/>
          <w:sz w:val="24"/>
          <w:szCs w:val="24"/>
        </w:rPr>
        <w:t xml:space="preserve">Değişkenlik bu çerçevede ikinci bir kapasite olarak belirir. Goidea ve diğ. (2022), biyofabrikasyonun en umut verici yönlerinden birinin adaptasyon ve değişkenlik potansiyeli olduğunu belirtmektedir. Yazarlara göre miselyum biyokompozitlerde farklı mantar türleri hem üretim süreci hem de mimari nesnenin performansı bakımından farklı sonuçlara yol açar; tür seçiminde büyüme hızı ve genetik kararlılığın yanı sıra dayanım, ısı iletkenliği ve görünüm gibi etkenler devreye girer. Değişkenlik böylece bir kusur değil, tasarımın çalıştığı parametre kümesine dönüşmektedir: mimarlar biçim çizmek yerine, ancak bir bağlama yerleştirildiğinde anlam kazanan süreçleri tanımlayabilir. Ancak Chang ve diğ. (2020), biyokompozitlerin uzun süreli dayanıklılık performansına ilişkin bilimsel bilginin erişilebilir literatürde oldukça sınırlı kaldığını ortaya koymaktadır. Değişkenliği bir kapasiteye dönüştürmek, malzemenin zaman içindeki davranışının bilinmesini gerektirir; bu bilgi henüz büyük ölçüde eksiktir.</w:t>
      </w:r>
    </w:p>
    <w:p>
      <w:pPr>
        <w:pStyle w:val="Heading2"/>
        <w:spacing w:after="170" w:before="320" w:line="360"/>
      </w:pPr>
      <w:r>
        <w:rPr>
          <w:rFonts w:ascii="Times New Roman" w:cs="Times New Roman" w:eastAsia="Times New Roman" w:hAnsi="Times New Roman"/>
          <w:b/>
          <w:bCs/>
          <w:sz w:val="24"/>
          <w:szCs w:val="24"/>
        </w:rPr>
        <w:t xml:space="preserve">5.3. Zamansallık, yedeklilik ve ölçek ilişkisi</w:t>
      </w:r>
    </w:p>
    <w:p>
      <w:pPr>
        <w:spacing w:after="160" w:line="360"/>
        <w:jc w:val="both"/>
      </w:pPr>
      <w:r>
        <w:rPr>
          <w:rFonts w:ascii="Times New Roman" w:cs="Times New Roman" w:eastAsia="Times New Roman" w:hAnsi="Times New Roman"/>
          <w:sz w:val="24"/>
          <w:szCs w:val="24"/>
        </w:rPr>
        <w:t xml:space="preserve">Biyolojik temelli üretimin zamansal örgütlenmesi de dirençlilik tartışmasının bir parçasıdır. Andréen ve Goidea (2022), biyofabrikasyonun zaman çizelgesinin bir dezavantaj oluşturabileceğini, ancak beton yapıların da tam kürlenme için sıklıkla benzer süreler gerektirdiğini hatırlatmaktadır. Yazarlara göre belirleyici olan süre değil, üretim ile kullanım arasındaki ilişkinin kurgulanma biçimidir: inşa ile iskân ilişkisi doğrusal değil koşut olarak yeniden düşünüldüğünde ivedilik anlamını yitirir. Aynı çalışma, iskân ile inşanın birbirinden ayrılmasının inşa süresinin kısaltılmasını, bunun da merkezî tedarik sistemlerini, ölçek ekonomilerini ve malzeme standartlaşmasını zorunlu kıldığını belirtmektedir; daha organik bir büyüme modeli olanaklı kılındığında ise malzeme tedariki yerel olarak çözülebilir.</w:t>
      </w:r>
    </w:p>
    <w:p>
      <w:pPr>
        <w:spacing w:after="160" w:line="360"/>
        <w:jc w:val="both"/>
      </w:pPr>
      <w:r>
        <w:rPr>
          <w:rFonts w:ascii="Times New Roman" w:cs="Times New Roman" w:eastAsia="Times New Roman" w:hAnsi="Times New Roman"/>
          <w:sz w:val="24"/>
          <w:szCs w:val="24"/>
        </w:rPr>
        <w:t xml:space="preserve">Dirençlilik tartışmasının yapısal karşılığı yedeklilik kavramında belirginleşir. Andréen ve Goidea (2022), ekolojik sistemlerin büyük ölçüde yedekliliğe ve etkileşime dayandığını belirtmekte ve yedekliliği, bir sistemdeki işlev örtüşmesinin hayati işlevlerin sürmesine ve daha önce yedek konumundaki ögelerin yeni işlevler üstlenmesine olanak tanıyarak sistemin değişmesine izin verme derecesi olarak tanımlamaktadır. Yazarlar ilkeyi örümcek ağları üzerinden örneklendirmektedir: üç boyutlu karışık ağlar her yönde yüksek sağlamlık gösterir ve %100 gerinimde bile bütünlüğünü korur, çünkü karmaşık örgü içindeki lif yedekliliği bütünsel çöküşü önleyerek art arda kopmaya olanak tanır. Yedeklilik bu çerçevede fazlalık değil, yerel bir bozulmanın sistemin tamamına yayılmasını engelleyen bir örgütlenme biçimidir.</w:t>
      </w:r>
    </w:p>
    <w:p>
      <w:pPr>
        <w:spacing w:after="160" w:line="360"/>
        <w:jc w:val="both"/>
      </w:pPr>
      <w:r>
        <w:rPr>
          <w:rFonts w:ascii="Times New Roman" w:cs="Times New Roman" w:eastAsia="Times New Roman" w:hAnsi="Times New Roman"/>
          <w:sz w:val="24"/>
          <w:szCs w:val="24"/>
        </w:rPr>
        <w:t xml:space="preserve">Goidea ve diğ. (2022) ise önerdikleri ölçekler arası yaklaşımın merkezine değişken ölçekler, sistemler ve malzemeler arasındaki karşılıklı bağımlılığı yerleştirmektedir. Yazarlara göre bu bağımlılık doğrusal olmayan etkileşimler ve hızla artan karmaşıklık üretir; biyolojik sistemlerde kural olan bu koşullar, biçimsel ve işlevsel karmaşıklığın katlanarak artması nedeniyle geleneksel mühendislik yaklaşımlarına katı bir sınır koymaktadır. Doğa ve biyolojik süreçler ise karmaşık ve birbirine bağlı sorunlara daha uygun, temelden farklı bir tasarım mantığına dayanmakta ve bu mantık söz konusu karmaşıklık tavanını aşmayı olanaklı kılmaktadır. Nokta, dirençliliğin yalnızca malzeme ölçeğinde ele alınamayacağını; bileşen, sistem ve mekân ölçeklerinin birlikte değerlendirilmesi gerektiğini göstermektedir. Buradan çıkan genel sonuç, döngüsellik ile dirençliliğin eş anlamlı olmadığı; ancak uyarlanabilirlik, modülerlik, tersinirlik, kaynak çeşitliliği ve onarılabilirlik gibi ortak tasarım özellikleri üzerinden birbirini destekleyen iki yaklaşım olarak değerlendirilebileceğidir.</w:t>
      </w:r>
    </w:p>
    <w:p>
      <w:pPr>
        <w:pStyle w:val="Heading1"/>
        <w:spacing w:after="220" w:before="440" w:line="360"/>
      </w:pPr>
      <w:r>
        <w:rPr>
          <w:rFonts w:ascii="Times New Roman" w:cs="Times New Roman" w:eastAsia="Times New Roman" w:hAnsi="Times New Roman"/>
          <w:b/>
          <w:bCs/>
          <w:sz w:val="26"/>
          <w:szCs w:val="26"/>
        </w:rPr>
        <w:t xml:space="preserve">6. İÇ MİMARLIKTA MEKÂNSAL DÖNÜŞÜM</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kapasitesi malzeme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öncelikli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sanıldığından daha belirgin biçimde tanımlanmıştır. Edalat (2026), inşaat sektöründe ahşap dışı biyolojik temelli yapı malzemelerinin iç ve dış yüzey kaplamaları, ısıl ve akustik yalıtım ile mobilya üretimi gibi uygulamalarda kullanıldığını; buna karşılık ahşap esaslı malzemelerin ağırlıklı olarak yapısal bileşenlerde yer aldığını ve ahşap dışı malzemelerin sınırlı mekanik dayanımları nedeniyle taşıyıcı elemanlarda nadiren kullanıldığını belirtmektedir. İki saptama bir arada okunduğunda ortaya belirgin bir sonuç çıkmaktadır: ahşap dışı biyolojik temelli malzemelerin uygulama alanı zaten büyük ölçüde iç mekândır. Bu durum bir sınırlılık olarak değil, bir konumlanma olarak değerlendirilebilir; taşıyıcı olmayan bileşenler, söz konusu malzemelerin yapısal risk eşiğinin görece düşük olduğu, dolayısıyla denenebilir oldukları alanı oluşturmaktadır.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 Tyagi ve Jain’in (2026) iç mekân tasarımında biyolojik temelli ve yenileyici malzemeler üzerine yürüttüğü sistematik derleme de alanın bu ölçekte birikmeye başladığını göstermektedir.</w:t>
      </w:r>
    </w:p>
    <w:p>
      <w:pPr>
        <w:pStyle w:val="Heading2"/>
        <w:spacing w:after="170" w:before="320" w:line="360"/>
      </w:pPr>
      <w:r>
        <w:rPr>
          <w:rFonts w:ascii="Times New Roman" w:cs="Times New Roman" w:eastAsia="Times New Roman" w:hAnsi="Times New Roman"/>
          <w:b/>
          <w:bCs/>
          <w:sz w:val="24"/>
          <w:szCs w:val="24"/>
        </w:rPr>
        <w:t xml:space="preserve">6.2. İkame tuzağı ve ömür sonu kararı</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bu eğilimi doğrudan saptamaktadır: büyütülmüş malzemeler bugüne kadar çoğunlukla geleneksel malzemelerin yerine geçen uygulamalarda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uygun ve yaratıcı biçimde öne çıkarılmasını ve birbirine bağlanmasını sağlar (Karana ve diğ., 2015). Camere ve Karana’nın (2018) malzeme seçiminden malzeme tasarımına doğru bir kayma olarak adlandırdığı dönüşüm, iç mimarlık ölçeğinde somut bir ölçüt üretmektedir: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gözlenebilmektedir. Edalat (2026), yirmi çalışmayı döngüsellik ölçütleri üzerinden değerlendirdiği incelemesinde, kahve atığı ile üre-formaldehit reçinesi kullanılarak üretilen ve ısıl ile akustik performansı sınanan bir iç mekân duvar paneli çalışmasını ele almaktadır. Değerlendirmenin sonucu dikkat çekicidir: atık kökenli tedarik bakımından çalışma tam puan almakta, buna karşılık geri dönüştürülebilirlik, biyobozunurluk ve ömür sonu ölçütü hiç dikkate alınmamış olarak puanlanmaktadır. Örnek, bölümün savını iç mimarlığın kendi nesnesi üzerinden göstermektedir: bir duvar paneli atıktan üretilmiş olabilir; ancak sentetik bir reçineyle bağlandığında ve ömür sonu senaryosu kurgulanmadığında döngüsel bir bileşen hâline gelmez. Rios ve diğ.’nin (2015) sökülebilirlik için tasarım ilkelerinin kuramda yerleşmiş olmasına karşın uygulamada çok az karşılık bulduğuna ilişkin saptaması, bu boşluğun yapı ölçeğinde de geçerli olduğunu göstermektedir.</w:t>
      </w:r>
    </w:p>
    <w:p>
      <w:pPr>
        <w:pStyle w:val="Heading2"/>
        <w:spacing w:after="170" w:before="320" w:line="360"/>
      </w:pPr>
      <w:r>
        <w:rPr>
          <w:rFonts w:ascii="Times New Roman" w:cs="Times New Roman" w:eastAsia="Times New Roman" w:hAnsi="Times New Roman"/>
          <w:b/>
          <w:bCs/>
          <w:sz w:val="24"/>
          <w:szCs w:val="24"/>
        </w:rPr>
        <w:t xml:space="preserve">6.3. Mekânsal sistem, deneyim ve bir uygulama örneği</w:t>
      </w:r>
    </w:p>
    <w:p>
      <w:pPr>
        <w:spacing w:after="160" w:line="360"/>
        <w:jc w:val="both"/>
      </w:pPr>
      <w:r>
        <w:rPr>
          <w:rFonts w:ascii="Times New Roman" w:cs="Times New Roman" w:eastAsia="Times New Roman" w:hAnsi="Times New Roman"/>
          <w:sz w:val="24"/>
          <w:szCs w:val="24"/>
        </w:rPr>
        <w:t xml:space="preserve">Biyolojik temelli malzemelerin mekânsal karşılığı, tek bir bileşen ölçeğinde değil ölçekler arası bir ilişkide kurulur. Beşinci başlıkta aktarılan karşılıklı bağımlılık ilkesinin iç mekândaki karşılığı, bileşenin bağımsız bir nesne değil, sökülüp yeniden kurulabilen bir sistemin parçası olarak tasarlanmasıdır. Andréen ve Goidea’nın (2022) belirttiği gibi, malzemeler kimyasal olarak ya da ısıyla işlenmemiş olduğunda yapılı çevre tümüyle tersinir hâle gelir ve ekleme ile değişiklikler az çabayla yapılabilir. İç mekânın bu tartışmadaki özgül konumu, Edalat’ın (2026) gelecek araştırma yönleri arasında saydığı boşlukla da örtüşmektedir: döngüsel ekonominin kullanım, onarım ve yeniden kullanım aşamaları yeterince araştırılmamış ve büyük ölçüde bağlama bağlıdır. Bu aşamaların tamamı, kullanıcının malzemeyle doğrudan temas ettiği ölçekte, yani iç mekânda gerçekleşmektedir.</w:t>
      </w:r>
    </w:p>
    <w:p>
      <w:pPr>
        <w:spacing w:after="160" w:line="360"/>
        <w:jc w:val="both"/>
      </w:pPr>
      <w:r>
        <w:rPr>
          <w:rFonts w:ascii="Times New Roman" w:cs="Times New Roman" w:eastAsia="Times New Roman" w:hAnsi="Times New Roman"/>
          <w:sz w:val="24"/>
          <w:szCs w:val="24"/>
        </w:rPr>
        <w:t xml:space="preserve">Bu temas yalnızca teknik bir mesele değildir. Karana ve diğ. (2018), miselyum esaslı bir malzemeyle yürütülen tasarım sürecinde tasarımcının üç belirsizlik kaynağıyla baş etmek durumunda kaldığını ortaya koymaktadır: mikroorganizmanın failliği, malzemenin kendine özgü zamansallığı ve malzemenin toplum tarafından kabulü. Üçüncüsü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yaşlanmasını izlediği ve onunla gündelik ilişki kurduğu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Yukarıda tartışılan üç ilişki — ikame yerine malzemenin kendi niteliklerinden yola çıkılması, ömür sonu senaryosunun bağlayıcı kararına yansıtılması ve bileşenin yeniden kurgulanabilir bir sistemin parçası olarak ele alınması —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ve malzeme değişkenliği sökülüp yeniden kurulabilir modüler bir iç mekân sistemine aktarılmıştır. Teknik performans değerleri bu bölümün kapsamı dışındadır.</w:t>
      </w:r>
    </w:p>
    <w:p>
      <w:pPr>
        <w:pStyle w:val="Heading1"/>
        <w:spacing w:after="220" w:before="440" w:line="360"/>
      </w:pPr>
      <w:r>
        <w:rPr>
          <w:rFonts w:ascii="Times New Roman" w:cs="Times New Roman" w:eastAsia="Times New Roman" w:hAnsi="Times New Roman"/>
          <w:b/>
          <w:bCs/>
          <w:sz w:val="26"/>
          <w:szCs w:val="26"/>
        </w:rPr>
        <w:t xml:space="preserve">7. BİYOMALZEME SEÇİMİ İÇİN BİR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kapasitesi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de kalıcı sınırlılıklar bildirmektedir. Bu iki tarafın ayrı ayrı sıralanması yanıltıcıdır; çünkü çoğu durumda potansiyel ile sınırlılık aynı özelliğin iki yüzüdür. Tablo 3, literatürde bildirilen başlıca potansiyel ve sınırlılıkları yedi boyutta karşılıklı olarak göstermektedir.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dönüşmesi¹; atık alt tabaka ile organizma bileşiminin tasarlanabilmesi²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enerji⁴</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kapasitesi⁴; mineral yalıtkanlarla karşılaştırılabilir ısıl performans³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dayanımı³; uzun süreli dayanıklılık bilgisinin sınırlılığı⁵</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ISO 19624)³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eksikliği³; yönetsel boyutun araştırmada zayıf kalması⁶</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olması⁷; ömür sonu planlaması ve toplama altyapısındaki boşluklar³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olması⁸</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oluşturması¹⁰; öz üretimin tasarımcıya açtığı deney alanı¹¹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belirsizlik¹²; endüstriyel üretimle koşullanmış tekdüzelik beklentisi¹³</w:t>
            </w:r>
          </w:p>
        </w:tc>
      </w:tr>
    </w:tbl>
    <w:p>
      <w:pPr>
        <w:spacing w:after="340" w:before="130" w:line="240"/>
      </w:pPr>
      <w:r>
        <w:rPr>
          <w:rFonts w:ascii="Times New Roman" w:cs="Times New Roman" w:eastAsia="Times New Roman" w:hAnsi="Times New Roman"/>
          <w:i/>
          <w:iCs/>
          <w:sz w:val="18"/>
          <w:szCs w:val="18"/>
        </w:rPr>
        <w:t xml:space="preserve">¹ Lee ve diğ. (2022) · ² Attias ve diğ. (2020) · ³ Edalat (2026) · ⁴ Bourbia ve diğ. (2023) · ⁵ Chang ve diğ. (2020) · ⁶ Pomponi ve Moncaster (2017) · ⁷ Rios ve diğ. (2015) · ⁸ Andréen ve Goidea (2022) · ⁹ Kirchherr ve diğ. (2017) · ¹⁰ Karana ve diğ. (2015) · ¹¹ Rognoli ve diğ. (2015) · ¹² Karana ve diğ. (2018) · ¹³ Rognoli ve Ayala García (2018)</w:t>
      </w:r>
    </w:p>
    <w:p>
      <w:pPr>
        <w:spacing w:after="160" w:line="360"/>
        <w:jc w:val="both"/>
      </w:pPr>
      <w:r>
        <w:rPr>
          <w:rFonts w:ascii="Times New Roman" w:cs="Times New Roman" w:eastAsia="Times New Roman" w:hAnsi="Times New Roman"/>
          <w:sz w:val="24"/>
          <w:szCs w:val="24"/>
        </w:rPr>
        <w:t xml:space="preserve">Tablo 3’ün okunma biçimi, çerçeve önerisinin de gerekçesini vermektedir. Yedi boyutun beşi malzemenin kendisine, kaynağına ve kurumsal çevresine ilişkindir; yalnızca son boyut kullanıcıyla kurulan ilişkiyi kapsar. Buna karşılık iç mimarlıkta malzeme kararını belirleyen etkenlerin önemli bir bölümü bu son boyutta toplanmaktadır.</w:t>
      </w:r>
    </w:p>
    <w:p>
      <w:pPr>
        <w:pStyle w:val="Heading2"/>
        <w:spacing w:after="170" w:before="320" w:line="360"/>
      </w:pPr>
      <w:r>
        <w:rPr>
          <w:rFonts w:ascii="Times New Roman" w:cs="Times New Roman" w:eastAsia="Times New Roman" w:hAnsi="Times New Roman"/>
          <w:b/>
          <w:bCs/>
          <w:sz w:val="24"/>
          <w:szCs w:val="24"/>
        </w:rPr>
        <w:t xml:space="preserve">7.2. Üç gerilim</w:t>
      </w:r>
    </w:p>
    <w:p>
      <w:pPr>
        <w:spacing w:after="160" w:line="360"/>
        <w:jc w:val="both"/>
      </w:pPr>
      <w:r>
        <w:rPr>
          <w:rFonts w:ascii="Times New Roman" w:cs="Times New Roman" w:eastAsia="Times New Roman" w:hAnsi="Times New Roman"/>
          <w:sz w:val="24"/>
          <w:szCs w:val="24"/>
        </w:rPr>
        <w:t xml:space="preserve">Birincisi değişkenlik ile standartlaşma arasındadır. Biyolojik temelli malzemelerin tasarım açısından en değerli niteliği olan değişkenlik, kurumsal kabul açısından en büyük engelini oluşturmaktadır. Edalat (2026), ahşap dışı malzemelerin çoğunun standartlaşmış kodlardan, kamusal farkındalıktan ve uzmanlaşmış yüklenici ağından yoksun olduğunu; tek belirgin istisnanın yapısal standartların getirilmesiyle uluslararası tanınırlık kazanan bambu olduğunu, ahşabın ise kodlar ve nitelikli işgücüyle desteklenen yerleşik konumu sayesinde daha fazla yeniden kullanım ve geri dönüşüme olanak tanıdığını belirtmektedir. Pomponi ve Moncaster’ın (2017) çerçevesi bu durumu açıklamaktadır: döngüsellik yönetsel ve davranışsal boyutları da kapsar; malzemenin teknik niteliği tek başına yeterli değildir.</w:t>
      </w:r>
    </w:p>
    <w:p>
      <w:pPr>
        <w:spacing w:after="160" w:line="360"/>
        <w:jc w:val="both"/>
      </w:pPr>
      <w:r>
        <w:rPr>
          <w:rFonts w:ascii="Times New Roman" w:cs="Times New Roman" w:eastAsia="Times New Roman" w:hAnsi="Times New Roman"/>
          <w:sz w:val="24"/>
          <w:szCs w:val="24"/>
        </w:rPr>
        <w:t xml:space="preserve">İkincisi yerellik ile ölçeklenebilirlik arasındadır. Biyolojik temelli üretimin yerel kaynaklara dayanabilmesi önemli bir avantajdır; ancak bu avantaj pazar ölçeğinde bir dezavantaja dönüşebilmektedir. Edalat (2026), üretim ve dağıtım aşamalarında yüksek maliyetler, sınırlı pazar payı, merkezsiz ve parçalı tedarik zincirleri, düşük pazar şeffaflığı ve uzmanlaşmış işgücü kıtlığı gibi kalıcı güçlükler saptamaktadır. Buna karşılık Rognoli ve diğ. (2015), kişisel üretim teknolojilerinin yaygınlaşmasının dağıtık ve paylaşımlı üretim süreçleriyle deney yapmayı olanaklı kıldığını göstermektedir. İki saptama birlikte okunduğunda, merkezsizliğin sanayi ölçeğinde bir engel, tasarım pratiği ölçeğinde ise bir olanak oluşturduğu görülmektedir.</w:t>
      </w:r>
    </w:p>
    <w:p>
      <w:pPr>
        <w:spacing w:after="160" w:line="360"/>
        <w:jc w:val="both"/>
      </w:pPr>
      <w:r>
        <w:rPr>
          <w:rFonts w:ascii="Times New Roman" w:cs="Times New Roman" w:eastAsia="Times New Roman" w:hAnsi="Times New Roman"/>
          <w:sz w:val="24"/>
          <w:szCs w:val="24"/>
        </w:rPr>
        <w:t xml:space="preserve">Üçüncüsü biyolojik dönüşebilirlik ile dayanıklılık arasındadır ve bölümün hipotezini en açık biçimde sınayan gerilimdir. Edalat (2026), koyun ve kenevir yünü gibi ham biyolojik yalıtkanların geri dönüştürülebilirlik ve mineral esaslı yalıtkanlarla karşılaştırılabilir ısıl performans nedeniyle ilgi görmesine karşın zayıf yangın dayanımı ve yüksek maliyetle karşılaştığını; buna karşılık mineral yünlerin tümüyle ve sınırsız biçimde yeni ürünlere geri dönüştürülebildiğini ve bu nedenle kapalı döngü uygulamalarıyla daha etkili biçimde örtüştüğünü aktarmaktadır. Yani bu özgül karşılaştırmada, biyolojik kökenli olmayan bir malzeme, biyolojik kökenli alternatifinden daha döngüsel davranmaktadır. Samanın tümüyle biyobozunur olması da zamanla kademeli bozunmaya açıklık anlamına gelmekte ve ön üretimli olmayan biçimlerin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7.3. Altı boyutlu bir değerlendirme çerçevesi</w:t>
      </w:r>
    </w:p>
    <w:p>
      <w:pPr>
        <w:spacing w:after="160" w:line="360"/>
        <w:jc w:val="both"/>
      </w:pPr>
      <w:r>
        <w:rPr>
          <w:rFonts w:ascii="Times New Roman" w:cs="Times New Roman" w:eastAsia="Times New Roman" w:hAnsi="Times New Roman"/>
          <w:sz w:val="24"/>
          <w:szCs w:val="24"/>
        </w:rPr>
        <w:t xml:space="preserve">Yukarıdaki üç gerilim, bir malzemenin tek bir ölçüt kümesiyle değerlendirilemeyeceğini göstermektedir. Kirchherr ve diğ. (2017), döngüsellik tanımlarının çoğunun sistemsel değişimi vurgulamadığını; Pomponi ve Moncaster (2017) ise yapılı çevrede döngüselliğin altı boyutta kurulduğunu ortaya koymaktadır. Edalat (2026) de malzeme tasarımcılarının yaşam döngüsü değerlendirmesine ve sera gazı azaltımına orantısız biçimde odaklanmasının tedarik zinciri dirençliliği ve malzeme döngüselliği gibi en az onun kadar hayati yönleri ihmal ettiğini belirtmektedir. Üç saptama aynı sonuca varmaktadır: eksik olan, daha iyi bir malzeme listesi değil;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değerlendirme çerçevesi önermektedir. Çerçevenin kaynağı tek bir çalışma değildir; her boyut, bölüm boyunca tartışılan farklı kaynak kümelerine dayanmaktadır.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400"/>
        <w:gridCol w:w="31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1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kapasitesi</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değişime, bakıma, onarıma ve yeniden kullanıma ne ölçüde uyum sağlıyor? Yerel bir bozulma sistemin tamamını etkiliyor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Folke (2006); Heymans ve diğ. (2019); Andréen ve Goidea (2022); Goidea ve diğ. (2022)</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Kurumsal ve toplumsal çerçeve</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Malzemeyi destekleyen standart, kod, uzman ağı ve üretim kanalı var mı? Kullanıcı kabulü nasıl kurulacak?</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Pomponi ve Moncaster (2017); Rognoli ve diğ. (2015)</w:t>
            </w:r>
          </w:p>
        </w:tc>
      </w:tr>
    </w:tbl>
    <w:p>
      <w:pPr>
        <w:spacing w:after="340" w:before="130" w:line="240"/>
      </w:pPr>
      <w:r>
        <w:rPr>
          <w:rFonts w:ascii="Times New Roman" w:cs="Times New Roman" w:eastAsia="Times New Roman" w:hAnsi="Times New Roman"/>
          <w:i/>
          <w:iCs/>
          <w:sz w:val="18"/>
          <w:szCs w:val="18"/>
        </w:rPr>
        <w:t xml:space="preserve">Çerçeve bu bölümün önerisidir; boyutların dayandığı saptamalar belirtilen kaynaklardan alınmıştır.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Nitekim altıncı başlıkta aktarılan kahve atıklı duvar paneli örneği, atık kökenli tedarik boyutunu tümüyle karşılamasına karşın ömür sonu boyutunu hiç karşılamayan bir bileşenin döngüsel sayılamayacağını göstermektedir. Aynı mantık son üç boyut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Sürdürülebilirlik, döngüsellik ve dirençlilik: 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563"/>
        <w:gridCol w:w="2563"/>
      </w:tblGrid>
      <w:tr>
        <w:trPr>
          <w:tblHeader/>
        </w:trPr>
        <w:tc>
          <w:tcPr>
            <w:tcW w:type="dxa" w:w="1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bulunur¹</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sökülebilirlik ilkeleri uygulamaya geçmemiştir²</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Uyarlanabilirlik, bakım, onarım, yedeklilik ve ölçekler arası bağımlılık</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kalır³</w:t>
            </w:r>
          </w:p>
        </w:tc>
      </w:tr>
    </w:tbl>
    <w:p>
      <w:pPr>
        <w:spacing w:after="340" w:before="130" w:line="240"/>
      </w:pPr>
      <w:r>
        <w:rPr>
          <w:rFonts w:ascii="Times New Roman" w:cs="Times New Roman" w:eastAsia="Times New Roman" w:hAnsi="Times New Roman"/>
          <w:i/>
          <w:iCs/>
          <w:sz w:val="18"/>
          <w:szCs w:val="18"/>
        </w:rPr>
        <w:t xml:space="preserve">¹ O’Rourke ve Seepersad (2015) · ² Kirchherr ve diğ. (2017); Rios ve diğ. (2015) · ³ Folke (2006); Chang ve diğ. (2020); Andréen ve Goidea (2022)</w:t>
      </w:r>
    </w:p>
    <w:p>
      <w:pPr>
        <w:spacing w:after="160" w:line="360"/>
        <w:jc w:val="both"/>
      </w:pPr>
      <w:r>
        <w:rPr>
          <w:rFonts w:ascii="Times New Roman" w:cs="Times New Roman" w:eastAsia="Times New Roman" w:hAnsi="Times New Roman"/>
          <w:sz w:val="24"/>
          <w:szCs w:val="24"/>
        </w:rPr>
        <w:t xml:space="preserve">Tablo 5’in son kolonu, bölümün yöntemsel tutumunu da özetlemektedir: her düzlem bir sonrakini gerektirmekte, hiçbiri tek başına yeterli olmamaktadır. Üç düzlemin iç mimarlıkta kesiştiği nokta ise bölümün ikinci saptamasını oluşturmaktadır. Ahşap dışı biyolojik temelli malzemelerin fiilî uygulama alanı büyük ölçüde iç mekândır; bu malzemeler sınırlı mekanik dayanımları nedeniyle taşıyıcı elemanlarda nadiren yer almaktadır (Edalat, 2026).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altı boyutlu değerlendirme çerçevesi bu zemine dayanmaktadır (Tablo 4). Çerçevenin sınırlılıkları da belirtilmelidir: öneri kuramsal düzeyde kalmakta, tasarım pratiğinde sınanmamıştır. Boyutların her biri için ölçülebilir bir değerlendirme yöntemi henüz bulunmamakta; özellikle deneyimsel performans ve dirençlilik kapasitesi için yerleşik bir ölçüm yaklaşımı yoktur. Ayrıca çerçeve taşıyıcı olmayan iç mekân bileşenleri için kurulmuş olup yapısal ölçeğe genellenemez.</w:t>
      </w:r>
    </w:p>
    <w:p>
      <w:pPr>
        <w:spacing w:after="160" w:line="360"/>
        <w:jc w:val="both"/>
      </w:pPr>
      <w:r>
        <w:rPr>
          <w:rFonts w:ascii="Times New Roman" w:cs="Times New Roman" w:eastAsia="Times New Roman" w:hAnsi="Times New Roman"/>
          <w:sz w:val="24"/>
          <w:szCs w:val="24"/>
        </w:rPr>
        <w:t xml:space="preserve">Bu sınırlılıklar doğrudan bir araştırma gündemine işaret etmektedir. Deneyimsel performans ve dirençlilik kapasitesi boyutları için ölçülebilir değerlendirme yaklaşımları geliştirilmeli; iç mekân bileşenlerinde bağlayıcı sistemleri ve tersinir birleşim detayları araştırılmalıdır, çünkü Rios ve diğ. (2015) sökülebilirlik için tasarımda kuram ile uygulama arasındaki boşluğu açıkça ortaya koymaktadır. Biyolojik temelli iç mekân bileşenlerinin uzun süreli davranışı izlenmeli (Chang ve diğ., 2020); döngüselliğin yönetsel ve davranışsal boyutları ise iç mekân bağlamında incelenmelidir (Pomponi ve Moncaster, 2017).</w:t>
      </w:r>
    </w:p>
    <w:p>
      <w:pPr>
        <w:spacing w:after="160" w:line="360"/>
        <w:jc w:val="both"/>
      </w:pPr>
      <w:r>
        <w:rPr>
          <w:rFonts w:ascii="Times New Roman" w:cs="Times New Roman" w:eastAsia="Times New Roman" w:hAnsi="Times New Roman"/>
          <w:sz w:val="24"/>
          <w:szCs w:val="24"/>
        </w:rPr>
        <w:t xml:space="preserve">Son olarak, bu yaklaşımın iç mimarlık açısından ima ettiği değişim malzeme listelerinin yenilenmesinden daha kapsamlıdır. Camere ve Karana’nın (2018) saptadığı malzeme seçiminden malzeme tasarımına kayma, tasarımcının malzemeyle kurduğu ilişkinin yeniden tanımlanması anlamına gelmektedir. Heymans ve diğ.’nin (2019) saptaması bu dönüşümün yönünü de göstermektedir: sistemin sürdürülebilirliği dirençlilik kapasitesine bağlıdır ve bu kapasite, kentlerin insan ve insan-dışı tüm sakinlerini kapsamak durumundadır; yalnızca insan toplumunun dirençliliğine odaklanmak sosyo-ekolojik sistemin dirençliliğini aşındırabilmektedir.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2026-10-02T08:13:10.175Z</dcterms:created>
  <dcterms:modified xsi:type="dcterms:W3CDTF">2026-10-02T08:13:10.195Z</dcterms:modified>
</cp:coreProperties>
</file>

<file path=docProps/custom.xml><?xml version="1.0" encoding="utf-8"?>
<Properties xmlns="http://schemas.openxmlformats.org/officeDocument/2006/custom-properties" xmlns:vt="http://schemas.openxmlformats.org/officeDocument/2006/docPropsVTypes"/>
</file>