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8. SONUÇ: İÇ MİMARLIKTA BİYOTASARIM TEMELLİ DÖNGÜSEL BİR MALZEME YAKLAŞIMI</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570 kelime</w:t>
      </w:r>
    </w:p>
    <w:p>
      <w:pPr>
        <w:spacing w:after="160" w:line="360"/>
        <w:jc w:val="both"/>
      </w:pPr>
      <w:r>
        <w:rPr>
          <w:rFonts w:ascii="Times New Roman" w:cs="Times New Roman" w:eastAsia="Times New Roman" w:hAnsi="Times New Roman"/>
          <w:sz w:val="24"/>
          <w:szCs w:val="24"/>
        </w:rPr>
        <w:t xml:space="preserve">Bu bölüm, iç mimarlıkta biyolojik temelli malzeme seçiminin sürdürülebilirlikten döngüselliğe ve döngüsellikten dirençliliğe geçişi sağlayan bir tasarım yaklaşımı olarak nasıl kavramsallaştırılabileceği sorusunu ele almıştır. Yürütülen tartışma, bu üç kavramın birbirinin yerine geçen eşanlamlılar değil, birbirini kapsayan ve birbirine ölçüt ekleyen üç ayrı düzlem oluşturduğunu göstermektedir.</w:t>
      </w:r>
    </w:p>
    <w:p>
      <w:pPr>
        <w:spacing w:after="160" w:line="360"/>
        <w:jc w:val="both"/>
      </w:pPr>
      <w:r>
        <w:rPr>
          <w:rFonts w:ascii="Times New Roman" w:cs="Times New Roman" w:eastAsia="Times New Roman" w:hAnsi="Times New Roman"/>
          <w:sz w:val="24"/>
          <w:szCs w:val="24"/>
        </w:rPr>
        <w:t xml:space="preserve">Birinci düzlemde sürdürülebilirlik, malzemenin çevresel etkisini azaltmayı hedefler. Ancak bu düzlem tek başına yetersizdir; çünkü biyolojik köken ne sürdürülebilirliğin ne döngüselliğin kendiliğinden güvencesidir. O’Rourke ve Seepersad (2015), biyolojik organizmaların çevresel avantajlarına ilişkin iddiaların her biri için önemli istisnalar bulunduğunu göstermektedir. Edalat (2026) ise biyolojik temelli yapı malzemelerinin döngüsel ekonomi sistemlerine eklemlenmelerinin sınırlı ve gelişmemiş kaldığını ortaya koymaktadır.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İkinci düzlemde döngüsellik, malzemenin yaşam döngüsünü ve ömür sonu senaryosunu karar sürecine dahil eder. Bu düzlemin en belirleyici bulgusu, </w:t>
      </w:r>
      <w:r>
        <w:rPr>
          <w:rFonts w:ascii="Times New Roman" w:cs="Times New Roman" w:eastAsia="Times New Roman" w:hAnsi="Times New Roman"/>
          <w:b/>
          <w:bCs/>
          <w:i w:val="false"/>
          <w:iCs w:val="false"/>
          <w:sz w:val="24"/>
          <w:szCs w:val="24"/>
        </w:rPr>
        <w:t xml:space="preserve">döngüselliğin malzemenin biyolojik kökeninde değil bileşiminde ve birleşiminde kararlaştığıdır</w:t>
      </w:r>
      <w:r>
        <w:rPr>
          <w:rFonts w:ascii="Times New Roman" w:cs="Times New Roman" w:eastAsia="Times New Roman" w:hAnsi="Times New Roman"/>
          <w:b w:val="false"/>
          <w:bCs w:val="false"/>
          <w:i w:val="false"/>
          <w:iCs w:val="false"/>
          <w:sz w:val="24"/>
          <w:szCs w:val="24"/>
        </w:rPr>
        <w:t xml:space="preserve">. Edalat (2026), malzeme tedariki, sökülebilirlik için tasarım ve bağlayıcı türünün geri dönüştürülebilirlik üzerinde belirleyici etkiye sahip olmasına karşın tasarımda ve araştırmada nadiren göz önünde bulundurulduğunu belirtmekte; söz konusu sınırlılıkların esas olarak tasarım aşamasında döngüsel düşüncenin bulunmamasından kaynaklandığını vurgulamaktadır.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Üçüncü düzlemde dirençlilik, değerlendirmeye zamanı ve değişimi ekler. Andréen ve Goidea (2022), biyomalzemelerin endüstriyel malzemelere kıyasla daha az dayanıklılık sergiliyorlarsa aynı zamanda daha esnek, daha dinamik ve daha geri dönüştürülebilir olduklarını; sürekli yeniden biçimlendirme ve bakım ilkeleri üzerine kurulu bir yapının doğası gereği uyarlanabilir olduğunu belirtmektedir. </w:t>
      </w:r>
      <w:r>
        <w:rPr>
          <w:rFonts w:ascii="Times New Roman" w:cs="Times New Roman" w:eastAsia="Times New Roman" w:hAnsi="Times New Roman"/>
          <w:b/>
          <w:bCs/>
          <w:i w:val="false"/>
          <w:iCs w:val="false"/>
          <w:sz w:val="24"/>
          <w:szCs w:val="24"/>
        </w:rPr>
        <w:t xml:space="preserve">Dayanıklılık bu çerçevede malzemenin bozulmaması değil, sistemin değişim karşısında sürekliliğini koruyabilmesi anlamına gelir.</w:t>
      </w:r>
    </w:p>
    <w:p>
      <w:pPr>
        <w:spacing w:after="160" w:line="360"/>
        <w:jc w:val="both"/>
      </w:pPr>
      <w:r>
        <w:rPr>
          <w:rFonts w:ascii="Times New Roman" w:cs="Times New Roman" w:eastAsia="Times New Roman" w:hAnsi="Times New Roman"/>
          <w:sz w:val="24"/>
          <w:szCs w:val="24"/>
        </w:rPr>
        <w:t xml:space="preserve">Bu üç düzlemin iç mimarlıkta kesiştiği nokta, bölümün ikinci özgün saptamasını oluşturmaktadır. Edalat’ın (2026) ortaya koyduğu gibi ahşap dışı biyolojik temelli malzemelerin fiilî uygulama alanı büyük ölçüde iç mekândır; bu malzemeler sınırlı mekanik dayanımları nedeniyle taşıyıcı elemanlarda nadiren yer almaktadır. Dolayısıyla iç mimarlık, söz konusu malzemelerin yapılı çevreye girişinde belirleyici ölçeği oluşturmaktadır.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Bölümde önerilen iki katmanlı değerlendirme çerçevesi bu zemine dayanmaktadır. Birinci katman Edalat’ın (2026) altı ölçütünü malzeme düzeyinde korumakta; ikinci katman iç mekân ölçeğine özgü iki boyut eklemektedir: </w:t>
      </w:r>
      <w:r>
        <w:rPr>
          <w:rFonts w:ascii="Times New Roman" w:cs="Times New Roman" w:eastAsia="Times New Roman" w:hAnsi="Times New Roman"/>
          <w:b/>
          <w:bCs/>
          <w:i w:val="false"/>
          <w:iCs w:val="false"/>
          <w:sz w:val="24"/>
          <w:szCs w:val="24"/>
        </w:rPr>
        <w:t xml:space="preserve">deneyimsel performans</w:t>
      </w:r>
      <w:r>
        <w:rPr>
          <w:rFonts w:ascii="Times New Roman" w:cs="Times New Roman" w:eastAsia="Times New Roman" w:hAnsi="Times New Roman"/>
          <w:b w:val="false"/>
          <w:bCs w:val="false"/>
          <w:i w:val="false"/>
          <w:iCs w:val="false"/>
          <w:sz w:val="24"/>
          <w:szCs w:val="24"/>
        </w:rPr>
        <w:t xml:space="preserve"> ve </w:t>
      </w:r>
      <w:r>
        <w:rPr>
          <w:rFonts w:ascii="Times New Roman" w:cs="Times New Roman" w:eastAsia="Times New Roman" w:hAnsi="Times New Roman"/>
          <w:b/>
          <w:bCs/>
          <w:i w:val="false"/>
          <w:iCs w:val="false"/>
          <w:sz w:val="24"/>
          <w:szCs w:val="24"/>
        </w:rPr>
        <w:t xml:space="preserve">dirençlilik kapasitesi</w:t>
      </w:r>
      <w:r>
        <w:rPr>
          <w:rFonts w:ascii="Times New Roman" w:cs="Times New Roman" w:eastAsia="Times New Roman" w:hAnsi="Times New Roman"/>
          <w:b w:val="false"/>
          <w:bCs w:val="false"/>
          <w:i w:val="false"/>
          <w:iCs w:val="false"/>
          <w:sz w:val="24"/>
          <w:szCs w:val="24"/>
        </w:rPr>
        <w:t xml:space="preserve">. İkinci boyutun eklenmesi keyfî değildir; Edalat (2026) yaşam döngüsü değerlendirmesine ve sera gazı azaltımına orantısız odaklanmanın tedarik zinciri dirençliliğini ve malzeme döngüselliğini ihmal ettiğini açıkça saptamaktadır.</w:t>
      </w:r>
    </w:p>
    <w:p>
      <w:pPr>
        <w:spacing w:after="160" w:line="360"/>
        <w:jc w:val="both"/>
      </w:pPr>
      <w:r>
        <w:rPr>
          <w:rFonts w:ascii="Times New Roman" w:cs="Times New Roman" w:eastAsia="Times New Roman" w:hAnsi="Times New Roman"/>
          <w:sz w:val="24"/>
          <w:szCs w:val="24"/>
        </w:rPr>
        <w:t xml:space="preserve">Çerçevenin sınırlılıkları da belirtilmelidir. Öneri kuramsal düzeyde kalmakta; tasarım pratiğinde sınanmamıştır. Eklenen iki boyut için, Edalat’ın (2026) kendi ölçütleri için uyguladığı türden yerleşik bir değerlendirme yaklaşımı henüz bulunmamaktadır. Ayrıca çerçeve taşıyıcı olmayan iç mekân bileşenleri için kurulmuş olup yapısal ölçeğe genellenemez.</w:t>
      </w:r>
    </w:p>
    <w:p>
      <w:pPr>
        <w:spacing w:after="160" w:line="360"/>
        <w:jc w:val="both"/>
      </w:pPr>
      <w:r>
        <w:rPr>
          <w:rFonts w:ascii="Times New Roman" w:cs="Times New Roman" w:eastAsia="Times New Roman" w:hAnsi="Times New Roman"/>
          <w:sz w:val="24"/>
          <w:szCs w:val="24"/>
        </w:rPr>
        <w:t xml:space="preserve">Bu sınırlılıklar doğrudan bir araştırma gündemine işaret etmektedir. Birincisi, deneyimsel performans ve dirençlilik kapasitesi boyutları için ölçülebilir değerlendirme yaklaşımları geliştirilmelidir. İkincisi, iç mekân bileşenlerinde bağlayıcı sistemleri ve tersinir birleşim detayları ayrıca araştırılmalıdır; Edalat (2026) bağlayıcı uyumluluğunu temel engeller arasında saymaktadır. Üçüncüsü, biyolojik temelli iç mekân bileşenlerinin uzun süreli davranışı izlenmelidir; Chang, Mohanty ve Misra (2020) bu alandaki bilimsel bilginin oldukça sınırlı kaldığını ortaya koymaktadır. Dördüncüsü, döngüsel ekonominin kullanım, onarım ve yeniden kullanım aşamaları iç mekân bağlamında incelenmelidir; Edalat (2026) bu aşamaların yeterince araştırılmadığını ve büyük ölçüde bağlama bağlı olduğunu belirtmektedir.</w:t>
      </w:r>
    </w:p>
    <w:p>
      <w:pPr>
        <w:spacing w:after="160" w:line="360"/>
        <w:jc w:val="both"/>
      </w:pPr>
      <w:r>
        <w:rPr>
          <w:rFonts w:ascii="Times New Roman" w:cs="Times New Roman" w:eastAsia="Times New Roman" w:hAnsi="Times New Roman"/>
          <w:sz w:val="24"/>
          <w:szCs w:val="24"/>
        </w:rPr>
        <w:t xml:space="preserve">Son olarak, bu yaklaşımın iç mimarlık açısından ima ettiği değişim malzeme listelerinin yenilenmesinden daha kapsamlıdır. Camere ve Karana’nın (2018) saptadığı malzeme seçiminden malzeme tasarımına kayma, tasarımcının malzemeyle kurduğu ilişkinin yeniden tanımlanması anlamına gelmektedir. Heymans ve arkadaşlarının (2019) saptaması bu dönüşümün yönünü de göstermektedir: sistemin sürdürülebilirliği dirençlilik kapasitesine bağlıdır ve bu kapasite, kentlerin insan ve insan-dışı tüm sakinlerini kapsamak durumundadır; yalnızca insan toplumunun dirençliliğine odaklanmak sosyo-ekolojik sistemin dirençliliğini aşındırabilmektedir. Yazarlara göre biyoçeşitlilik ve ekolojik bağlantısallık bu nedenle dirençlilik kapasitesi açısından önemlidir. İç mekân, bu ilişkinin gündelik ölçekte kurulduğu yer olduğu için, söz konusu dönüşümün hem sınanacağı hem de görünür olacağı alandır.</w:t>
      </w:r>
    </w:p>
    <w:p>
      <w:pPr>
        <w:pStyle w:val="Heading1"/>
        <w:spacing w:after="180" w:before="48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Camere, S., &amp; Karana, E. (2018). Fabricating materials from living organisms: An emerging design practice. </w:t>
      </w:r>
      <w:r>
        <w:rPr>
          <w:rFonts w:ascii="Times New Roman" w:cs="Times New Roman" w:eastAsia="Times New Roman" w:hAnsi="Times New Roman"/>
          <w:i/>
          <w:iCs/>
          <w:sz w:val="24"/>
          <w:szCs w:val="24"/>
        </w:rPr>
        <w:t xml:space="preserve">Journal of Cleaner Production, 186</w:t>
      </w:r>
      <w:r>
        <w:rPr>
          <w:rFonts w:ascii="Times New Roman" w:cs="Times New Roman" w:eastAsia="Times New Roman" w:hAnsi="Times New Roman"/>
          <w:i w:val="false"/>
          <w:iCs w:val="false"/>
          <w:sz w:val="24"/>
          <w:szCs w:val="24"/>
        </w:rPr>
        <w:t xml:space="preserve">, 570–584. https://doi.org/10.1016/j.jclepro.2018.03.081</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&amp;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Edalat, S. (2026). Advancing circular economy of bio-based building materials: Critical gaps and future prospects. </w:t>
      </w:r>
      <w:r>
        <w:rPr>
          <w:rFonts w:ascii="Times New Roman" w:cs="Times New Roman" w:eastAsia="Times New Roman" w:hAnsi="Times New Roman"/>
          <w:i/>
          <w:iCs/>
          <w:sz w:val="24"/>
          <w:szCs w:val="24"/>
        </w:rPr>
        <w:t xml:space="preserve">Circular Economy and Sustainability, 6</w:t>
      </w:r>
      <w:r>
        <w:rPr>
          <w:rFonts w:ascii="Times New Roman" w:cs="Times New Roman" w:eastAsia="Times New Roman" w:hAnsi="Times New Roman"/>
          <w:i w:val="false"/>
          <w:iCs w:val="false"/>
          <w:sz w:val="24"/>
          <w:szCs w:val="24"/>
        </w:rPr>
        <w:t xml:space="preserve">, 151. https://doi.org/10.1007/s43615-026-00729-1</w:t>
      </w:r>
    </w:p>
    <w:p>
      <w:pPr>
        <w:spacing w:after="140" w:line="360"/>
        <w:ind w:left="567" w:hanging="567"/>
        <w:jc w:val="left"/>
      </w:pPr>
      <w:r>
        <w:rPr>
          <w:rFonts w:ascii="Times New Roman" w:cs="Times New Roman" w:eastAsia="Times New Roman" w:hAnsi="Times New Roman"/>
          <w:i w:val="false"/>
          <w:iCs w:val="false"/>
          <w:sz w:val="24"/>
          <w:szCs w:val="24"/>
        </w:rPr>
        <w:t xml:space="preserve">Heymans, A., Breadsell, J., Morrison, G. M., Byrne, J. J., &amp; Eon, C. (2019). Ecological urban planning and design: A systematic literature review. </w:t>
      </w:r>
      <w:r>
        <w:rPr>
          <w:rFonts w:ascii="Times New Roman" w:cs="Times New Roman" w:eastAsia="Times New Roman" w:hAnsi="Times New Roman"/>
          <w:i/>
          <w:iCs/>
          <w:sz w:val="24"/>
          <w:szCs w:val="24"/>
        </w:rPr>
        <w:t xml:space="preserve">Sustainability, 11</w:t>
      </w:r>
      <w:r>
        <w:rPr>
          <w:rFonts w:ascii="Times New Roman" w:cs="Times New Roman" w:eastAsia="Times New Roman" w:hAnsi="Times New Roman"/>
          <w:i w:val="false"/>
          <w:iCs w:val="false"/>
          <w:sz w:val="24"/>
          <w:szCs w:val="24"/>
        </w:rPr>
        <w:t xml:space="preserve">(13), 3723. https://doi.org/10.3390/su11133723</w:t>
      </w:r>
    </w:p>
    <w:p>
      <w:pPr>
        <w:spacing w:after="140" w:line="360"/>
        <w:ind w:left="567" w:hanging="567"/>
        <w:jc w:val="left"/>
      </w:pPr>
      <w:r>
        <w:rPr>
          <w:rFonts w:ascii="Times New Roman" w:cs="Times New Roman" w:eastAsia="Times New Roman" w:hAnsi="Times New Roman"/>
          <w:i w:val="false"/>
          <w:iCs w:val="false"/>
          <w:sz w:val="24"/>
          <w:szCs w:val="24"/>
        </w:rPr>
        <w:t xml:space="preserve">O’Rourke, J., &amp; Seepersad, C. C. (2015). Using biology as a model for sustainability: Insights for ecodesign and bioinspired design practitioners. </w:t>
      </w:r>
      <w:r>
        <w:rPr>
          <w:rFonts w:ascii="Times New Roman" w:cs="Times New Roman" w:eastAsia="Times New Roman" w:hAnsi="Times New Roman"/>
          <w:i/>
          <w:iCs/>
          <w:sz w:val="24"/>
          <w:szCs w:val="24"/>
        </w:rPr>
        <w:t xml:space="preserve">Proceedings of the 20th International Conference on Engineering Design (ICED15)</w:t>
      </w:r>
      <w:r>
        <w:rPr>
          <w:rFonts w:ascii="Times New Roman" w:cs="Times New Roman" w:eastAsia="Times New Roman" w:hAnsi="Times New Roman"/>
          <w:i w:val="false"/>
          <w:iCs w:val="false"/>
          <w:sz w:val="24"/>
          <w:szCs w:val="24"/>
        </w:rPr>
        <w:t xml:space="preserve">, Milano, İtalya, 27–30 Temmuz 2015.</w:t>
      </w:r>
    </w:p>
    <w:p>
      <w:pPr>
        <w:pStyle w:val="Heading1"/>
        <w:spacing w:after="180" w:before="480" w:line="360"/>
      </w:pPr>
      <w:r>
        <w:rPr>
          <w:rFonts w:ascii="Times New Roman" w:cs="Times New Roman" w:eastAsia="Times New Roman" w:hAnsi="Times New Roman"/>
          <w:b/>
          <w:bCs/>
          <w:sz w:val="24"/>
          <w:szCs w:val="24"/>
        </w:rPr>
        <w:t xml:space="preserve">EK. Kaynak Doğrulama Notları (yazar kullanımı için)</w:t>
      </w:r>
    </w:p>
    <w:p>
      <w:pPr>
        <w:spacing w:after="160" w:line="360"/>
        <w:jc w:val="both"/>
      </w:pPr>
      <w:r>
        <w:rPr>
          <w:rFonts w:ascii="Times New Roman" w:cs="Times New Roman" w:eastAsia="Times New Roman" w:hAnsi="Times New Roman"/>
          <w:i/>
          <w:iCs/>
          <w:sz w:val="24"/>
          <w:szCs w:val="24"/>
        </w:rPr>
        <w:t xml:space="preserve">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Metindeki on bir iddianın tamamı, tam metni incelenen kaynaklardan doğrulanmıştır. Sonuç bölümü yeni bir iddia üretmemekte; gövdede kurulan iddiaları toparlamaktadır.</w:t>
      </w:r>
    </w:p>
    <w:p>
      <w:pPr>
        <w:spacing w:after="120" w:line="300"/>
        <w:ind w:left="400" w:hanging="400"/>
        <w:jc w:val="both"/>
      </w:pPr>
      <w:r>
        <w:rPr>
          <w:rFonts w:ascii="Times New Roman" w:cs="Times New Roman" w:eastAsia="Times New Roman" w:hAnsi="Times New Roman"/>
          <w:sz w:val="20"/>
          <w:szCs w:val="20"/>
        </w:rPr>
        <w:t xml:space="preserve">2. HEYMANS VD. (2019) ATIFI HAKKINDA: İnsan ve insan-dışı sakinlere ilişkin ifade makalede iki yerde geçmektedir. Birincisi bölüm 3.2.3’te, yazarların kendi kaynak [20]’sine atıfla; ikincisi tartışma ve sentez bölümünde, YAZARLARIN KENDİ SESİYLE (“This needs to be inclusive of all human and non-human inhabitants of cities… Thus biodiversity and ecological connectivity are important to resilience capacity.”). Metinde ikinci kullanım esas alındığı için doğrudan atıf yapılmış, “aktardığı” çekincesi kullanılmamıştır.</w:t>
      </w:r>
    </w:p>
    <w:p>
      <w:pPr>
        <w:spacing w:after="120" w:line="300"/>
        <w:ind w:left="400" w:hanging="400"/>
        <w:jc w:val="both"/>
      </w:pPr>
      <w:r>
        <w:rPr>
          <w:rFonts w:ascii="Times New Roman" w:cs="Times New Roman" w:eastAsia="Times New Roman" w:hAnsi="Times New Roman"/>
          <w:sz w:val="20"/>
          <w:szCs w:val="20"/>
        </w:rPr>
        <w:t xml:space="preserve">3. POST-ANTROPOSANTRİK AÇILIM HAKKINDA: Planda sonucun son paragrafının post-antroposantrik bir açılım içermesi öngörülmüştü. Metinde bu açılım Heymans vd.’nin (2019) doğrulanmış saptaması üzerinden kurulmuştur; böylece iddia kaynaklı hâle gelmiş ve Latour, Bennett ya da Ingold gibi kuramsal çıpalara gerek kalmamıştır. Bu tercih, 2. alt bölümde belirlenen ayrıştırma kuralıyla uyumludur: ontolojik tartışma yazarın İngilizce makalesinin alanı, sınıflandırma ve değerlendirme bu bölümün alanıdır.</w:t>
      </w:r>
    </w:p>
    <w:p>
      <w:pPr>
        <w:spacing w:after="120" w:line="300"/>
        <w:ind w:left="400" w:hanging="400"/>
        <w:jc w:val="both"/>
      </w:pPr>
      <w:r>
        <w:rPr>
          <w:rFonts w:ascii="Times New Roman" w:cs="Times New Roman" w:eastAsia="Times New Roman" w:hAnsi="Times New Roman"/>
          <w:sz w:val="20"/>
          <w:szCs w:val="20"/>
        </w:rPr>
        <w:t xml:space="preserve">4. MAKALEYE GÖNDERME EKLENECEKSE son paragrafın sonuna şu biçimde bir cümle eklenebilir: “Bu yaklaşımın malzemeyi yalnızca sürdürülebilir bir alternatif değil, insan ve insan-dışı aktörler arasındaki ilişkileri yeniden düşünmeyi sağlayan bir araç olarak ele alan daha geniş kuramsal açılımları için bkz. Ünal (yayına hazırlanmakta).” Makale yayımlanmışsa künyesiyle verilmelidir. YAZARIN KARARINA BIRAKILMIŞTIR.</w:t>
      </w:r>
    </w:p>
    <w:p>
      <w:pPr>
        <w:spacing w:after="120" w:line="300"/>
        <w:ind w:left="400" w:hanging="400"/>
        <w:jc w:val="both"/>
      </w:pPr>
      <w:r>
        <w:rPr>
          <w:rFonts w:ascii="Times New Roman" w:cs="Times New Roman" w:eastAsia="Times New Roman" w:hAnsi="Times New Roman"/>
          <w:sz w:val="20"/>
          <w:szCs w:val="20"/>
        </w:rPr>
        <w:t xml:space="preserve">5. Araştırma gündeminin tamamı kaynaklıdır. Dört maddenin her biri, ilgili kaynakların kendi saptadığı boşluğa dayanmaktadır; bölümün kendi üretimi olan tek madde birincisidir (eklenen iki boyut için ölçüm yaklaşımı geliştirilmesi).</w:t>
      </w:r>
    </w:p>
    <w:p>
      <w:pPr>
        <w:spacing w:after="120" w:line="300"/>
        <w:ind w:left="400" w:hanging="400"/>
        <w:jc w:val="both"/>
      </w:pPr>
      <w:r>
        <w:rPr>
          <w:rFonts w:ascii="Times New Roman" w:cs="Times New Roman" w:eastAsia="Times New Roman" w:hAnsi="Times New Roman"/>
          <w:sz w:val="20"/>
          <w:szCs w:val="20"/>
        </w:rPr>
        <w:t xml:space="preserve">6. Çerçevenin sınırlılıklarına ilişkin paragraf bölümün kendi değerlendirmesidir ve kaynak gerektirmez; ancak Edalat’ın (2026) kendi ölçütleri için üç düzeyli bir değerlendirme yaklaşımı uyguladığı bilgisi aynı kaynaktan doğrulanmıştır.</w:t>
      </w:r>
    </w:p>
    <w:p>
      <w:pPr>
        <w:spacing w:after="120" w:line="300"/>
        <w:ind w:left="400" w:hanging="400"/>
        <w:jc w:val="both"/>
      </w:pPr>
      <w:r>
        <w:rPr>
          <w:rFonts w:ascii="Times New Roman" w:cs="Times New Roman" w:eastAsia="Times New Roman" w:hAnsi="Times New Roman"/>
          <w:sz w:val="20"/>
          <w:szCs w:val="20"/>
        </w:rPr>
        <w:t xml:space="preserve">7. HACİM: Yaklaşık 570 kelimedir; plandaki hedef 450’ydi. Kısaltma gerekirse çerçevenin sınırlılıklarına ilişkin paragraf sıkıştırılabilir.</w:t>
      </w:r>
    </w:p>
    <w:p>
      <w:pPr>
        <w:spacing w:after="120" w:line="300"/>
        <w:ind w:left="400" w:hanging="400"/>
        <w:jc w:val="both"/>
      </w:pPr>
      <w:r>
        <w:rPr>
          <w:rFonts w:ascii="Times New Roman" w:cs="Times New Roman" w:eastAsia="Times New Roman" w:hAnsi="Times New Roman"/>
          <w:sz w:val="20"/>
          <w:szCs w:val="20"/>
        </w:rPr>
        <w:t xml:space="preserve">8. Bu alt bölümde yazarın kendi doktora tezinden hiçbir veri veya atıf kullanılmamıştır.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Sonuç</dc:title>
  <dc:creator>Betül Ünal</dc:creator>
  <dc:description>İç Mimarlıkta Sürdürülebilir Malzeme Seçimi ve Döngüsel Tasarım — 8. bölüm taslağı</dc:description>
  <cp:lastModifiedBy>Un-named</cp:lastModifiedBy>
  <cp:revision>1</cp:revision>
  <dcterms:created xsi:type="dcterms:W3CDTF">2026-10-01T11:23:52.046Z</dcterms:created>
  <dcterms:modified xsi:type="dcterms:W3CDTF">2026-10-01T11:23:52.055Z</dcterms:modified>
</cp:coreProperties>
</file>

<file path=docProps/custom.xml><?xml version="1.0" encoding="utf-8"?>
<Properties xmlns="http://schemas.openxmlformats.org/officeDocument/2006/custom-properties" xmlns:vt="http://schemas.openxmlformats.org/officeDocument/2006/docPropsVTypes"/>
</file>