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color w:val="000000"/>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bu tartışmada çoğu kez geleneksel malzemelerin sürdürülebilir birer alternatifi olarak sunulur. Oysa böyle bir kurgu malzeme kararının yapısını değiştirmediği için sınırlı bir dönüşüm üretir. Bu bölüm, iç mimarlıkta biyolojik temelli malzeme seçimini kuramsal bir çerçevede ele alır. Temel savı, biyotasarımın yalnızca yeni seçenekler sunmadığı, malzeme seçiminin ölçütlerini ve tasarımcının kaynakla, üretimle, kullanımla ve atıkla kurduğu ilişkiyi yeniden tanımladığıdır. Çalışma önce biyotasarımı komşu kavramlardan ayırır, ardından biyolojik temelli malzemeleri doğanın tasarım sürecine katılım düzeyine göre sınıflandırır. Biyolojik kökenin tek başına ne sürdürülebilirlik ne döngüsellik güvencesi oluşturduğu gösterilir. Döngüsellik, malzemenin kökeninden çok tasarım aşamasında alınan bileşim, birleşim ve ömür sonu kararlarıyla şekillenir. Son olarak sürdürülebilirlik, döngüsellik ve dirençlilik ölçütlerini birlikte okuyan, iç mekân ölçeğine özgü altı boyutlu bir değerlendirme çerçevesi önerilir.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color w:val="000000"/>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olarak adlandırılacak düzeye ulaşmıştır (Heymans ve diğ., 2019). Bu dönüşümün en belirgin taşıyıcılarından biri yapılı çevredir. Edalat (2026), yapı sektörünün tüm endüstriyel sektörler içinde doğal çevre üzerinde en önemli etkiyi yarattığını aktarır. Aktarılan değerlere göre sektör küresel karbondioksit salımının yaklaşık %39’undan sorumludur, ham maddelerin yaklaşık %40’ını tüketir ve katı atığın en az %30’unu üretir. Etkinin kaynağı yalnızca ölçek değil, üretim mantığıdır. Chayaamor-Heil ve diğ. (2024), fosil yakıtların ve ham maddelerin çıkarımına dayanan inşaat sektörünün kirliliğe ve kaynak tükenmesine önemli ölçüde katkıda bulunduğunu saptar.</w:t>
      </w:r>
    </w:p>
    <w:p>
      <w:pPr>
        <w:spacing w:after="160" w:line="360"/>
        <w:jc w:val="both"/>
      </w:pPr>
      <w:r>
        <w:rPr>
          <w:rFonts w:ascii="Times New Roman" w:cs="Times New Roman" w:eastAsia="Times New Roman" w:hAnsi="Times New Roman"/>
          <w:sz w:val="24"/>
          <w:szCs w:val="24"/>
        </w:rPr>
        <w:t xml:space="preserve">Biyolojik temelli malzemeler bu tabloya verilen yanıtlardan biridir. Bourbia ve diğ. (2023), bu malzemelerin yenilenebilirlik, düşük gömülü enerji ve ısıl düzenleme kapasitesi gibi avantajlar taşıdığını derler. Andréen ve Goidea (2022) ise önemli bir uyarıda bulunur. Biyomalzemeler inşaat sektörünün ekolojik etkisini azaltmak için potansiyel bir araçtır, fakat bu potansiyelin en üst düzeye çıkması geleneksel yapı malzemelerinden önemli ölçüde farklı yaklaşımlar gerektirir. Uyarı bölümün çıkış noktasıdır.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bildirir. Birincisi kavramsaldır. Kırbaş Akyürek ve diğ. (2020), canlı ve üretilmiş bileşenlerin bir araya gelmesini adlandıran terminolojinin çeşitlilik içinde sıkışıp kaldığını bulgulamıştır. Benzer bir belirsizlik döngüsellik kavramında da görülür. Kirchherr ve diğ. (2017), 114 döngüsel ekonomi tanımını kodladıkları çalışmada kavramın en sık azaltma, yeniden kullanma ve geri dönüştürme etkinliklerinin bileşimi olarak betimlendiğini saptar. Döngüselliğin sistemsel bir değişim gerektirdiği ise çoğu kez vurgulanmaz. İkinci düzey malzemenin kendisine ilişkindir. O’Rourke ve Seepersad (2015), biyolojik organizmaların çevresel avantajlarına ilişkin iddiaların genel olarak doğru olduğunu, fakat her avantaj için önemli istisnalar barındırdığını göstermiştir. Biyolojik köken, kısacası,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vardır. Ahşap dışı biyolojik temelli malzemeler sınırlı mekanik dayanımları nedeniyle taşıyıcı elemanlarda nadiren yer alır ve ağırlıklı olarak yüzey kaplaması, yalıtım ve mobilya gibi uygulamalarda kullanılır (Edalat, 2026). Mevcut uygulamalarında iç mekân bileşenleri bu nedenle önemli bir yer tutar. Malzemenin kullanıcıyla temas ettiği, yaşlandığı, onarıldığı ve değiştirildiği ölçek de aynı ölçektir. İç mimarlık bu nedenle söz konusu malzemeler için önemli bir uygulama ölçeği oluşturur.</w:t>
      </w:r>
    </w:p>
    <w:p>
      <w:pPr>
        <w:spacing w:after="160" w:line="360"/>
        <w:jc w:val="both"/>
      </w:pPr>
      <w:r>
        <w:rPr>
          <w:rFonts w:ascii="Times New Roman" w:cs="Times New Roman" w:eastAsia="Times New Roman" w:hAnsi="Times New Roman"/>
          <w:sz w:val="24"/>
          <w:szCs w:val="24"/>
        </w:rPr>
        <w:t xml:space="preserve">Bölümün araştırma sorusu buradan türetilmiştir. İç mimarlıkta biyolojik temelli malzeme seçimi, sürdürülebilirlik, döngüsellik ve dirençlilik ölçütlerini birlikte ele alan bir tasarım yaklaşımı olarak nasıl kavramsallaştırılabilir? Soruya verilen geçici yanıt, yani bölümün temel savı şudur. Biyotasarım ve biyolojik temelli malzemeler iç mimarlıkta yalnızca daha sürdürülebilir seçenekler sunmaz, malzeme seçiminin ölçütlerini ve tasarımcının kaynakla, üretimle, kullanımla ve atıkla kurduğu ilişkiyi yeniden tanımlar. Buna bağlı olarak bir malzemenin döngüselliği ve dirençliliği, biyolojik kökeninden çok tasarım aşamasında alınan bileşim, birleşim ve ömür sonu kararlarıyla önemli ölçüde şekillenir. Bu kararlar tek belirleyici değildir. Tedarik altyapısı, pazar koşulları, mevzuat ve kullanıcı davranışı da sonucu etkiler ve söz konusu etkenler yedinci başlıktaki çerçevede ayrı bir boyut olarak ele alınır.</w:t>
      </w:r>
    </w:p>
    <w:p>
      <w:pPr>
        <w:spacing w:after="160" w:line="360"/>
        <w:jc w:val="both"/>
      </w:pPr>
      <w:r>
        <w:rPr>
          <w:rFonts w:ascii="Times New Roman" w:cs="Times New Roman" w:eastAsia="Times New Roman" w:hAnsi="Times New Roman"/>
          <w:sz w:val="24"/>
          <w:szCs w:val="24"/>
        </w:rPr>
        <w:t xml:space="preserve">Soru, ikinci başlıktan sekizinci başlığa uzanan yedi bölüm üzerinden ele alınmaktadır. İkinci başlık biyotasarımı komşu kavramlardan ayırır (Tablo 1), üçüncü başlık biyolojik temelli malzemeleri sınıflandırır (Tablo 2), dördüncü ve beşinci başlıklar döngüsellik ile dirençliliği tartışır. Altıncı başlık tartışmayı iç mekân ölçeğine taşır. Yedinci başlık malzemelerin potansiyel ve sınırlılıklarını karşılaştırır (Tablo 3) ve altı boyutlu bir değerlendirme çerçevesi önerir (Tablo 4). Sekizinci başlık bulguları üç düzlemde toparlar (Şekil 1). Bölüm seçilmiş kaynaklara dayanan kuramsal bir derlemedir, sistematik bir yazın taraması amaçlanmamıştır.</w:t>
      </w:r>
    </w:p>
    <w:p>
      <w:pPr>
        <w:pStyle w:val="Heading1"/>
        <w:spacing w:after="220" w:before="440" w:line="360"/>
      </w:pPr>
      <w:r>
        <w:rPr>
          <w:rFonts w:ascii="Times New Roman" w:cs="Times New Roman" w:eastAsia="Times New Roman" w:hAnsi="Times New Roman"/>
          <w:b/>
          <w:bCs/>
          <w:color w:val="000000"/>
          <w:sz w:val="26"/>
          <w:szCs w:val="26"/>
        </w:rPr>
        <w:t xml:space="preserve">2. BİYOTASARIM KAVRAMI</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çoğaldı. Bu çoğalma ortak bir terminoloji üretmedi. Aşağıda önce belirsizliğin niteliği ortaya konmakta, ardından biyotasarımın komşu kavramlardan hangi noktada ayrıldığı ve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color w:val="000000"/>
          <w:sz w:val="24"/>
          <w:szCs w:val="24"/>
        </w:rPr>
        <w:t xml:space="preserve">2.1. Terminolojik belirsizlik</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araştırmıştır. Örneklerin adlandırılmasında “biyo” önekiyle üretilmiş terimler, örneğin biyobeton ve biyotuğla, ilk sırada yer alır. Bunları “akıllı”, “canlı” ve “büyüyen” nitelemeleri izler. Temel bulgularına göre literatürde genel kabul görmüş bir şemsiye terim yoktur. Belirsizliğin kaynağı ikilidir. Bir yanda doğanın ve doğal süreçlerin kapsamlı niteliği, diğer yanda aynı tekniklerin farklı disiplinlerce farklı yorumlanması vardır. Kavramların kaynak dilde dahi yerleşmemiş olması, Türkçeye aktarımdaki karışıklığın yalnızca çeviriden doğmadığını düşündürür.</w:t>
      </w:r>
    </w:p>
    <w:p>
      <w:pPr>
        <w:spacing w:after="160" w:line="360"/>
        <w:jc w:val="both"/>
      </w:pPr>
      <w:r>
        <w:rPr>
          <w:rFonts w:ascii="Times New Roman" w:cs="Times New Roman" w:eastAsia="Times New Roman" w:hAnsi="Times New Roman"/>
          <w:sz w:val="24"/>
          <w:szCs w:val="24"/>
        </w:rPr>
        <w:t xml:space="preserve">Belirsizliğin en yaygın görünümü, biyotasarımın biyomimikriyle aynı tutulmasıdır. Kırbaş Akyürek ve diğ. (2020) bu eşitlemenin neden sürdürülemeyeceğini açık biçimde tartışır. Biyomimikrinin temel amacı biyolojik süreçleri teknolojilere çevirmektir ve terim biyolojik malzeme kullanımına işaret etmez. Yazarlar aynı gerekçeyle biyoesinlenme, biyomerkezcilik, biyofili ve biyomimarlık kavramlarını da birbirinden ayırır. Onlara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cantSplit/>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1’deki dağılım, kavramların aynı soyutlama düzeyinde bulunmadığını da açığa çıkarır. Biyomimikri ve biyoesinlenme bir aktarım yöntemini, biyomerkezcilik bir etik konumu, biyofili bir deneyim ilişkisini, biyomimarlık ise bir ölçeği adlandırır. Aralarındaki seçim yalnızca terim tercihi değildir, tartışmanın hangi düzlemde yürütüleceğine ilişkin bir karardır. İç mimarlık açısından ayrım özellikle biyofili ile biyotasarım arasında önem kazanır. Biyofili doğayla kurulan duyusal ilişkiyi, biyotasarım ise bileşenin maddi kuruluşunu konu alır ve bu bölüm ikincisiyle ilgilenir. Myers (2018) de biyoloji ile teknolojinin kaynaşmasını bu terimle açıklar.</w:t>
      </w:r>
    </w:p>
    <w:p>
      <w:pPr>
        <w:pStyle w:val="Heading2"/>
        <w:spacing w:after="170" w:before="320" w:line="360"/>
      </w:pPr>
      <w:r>
        <w:rPr>
          <w:rFonts w:ascii="Times New Roman" w:cs="Times New Roman" w:eastAsia="Times New Roman" w:hAnsi="Times New Roman"/>
          <w:b/>
          <w:bCs/>
          <w:color w:val="000000"/>
          <w:sz w:val="24"/>
          <w:szCs w:val="24"/>
        </w:rPr>
        <w:t xml:space="preserve">2.2. Biyolojik tasarım ile biyotasarım</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kurar. Yazarlara göre biyotasarım, biyolojik malzemeleri ve yaklaşımları yapılar gibi insan uygulamaları için kullanan tasarımı anlatır. Biyolojik tasarım ise genotipleri fenotiplere bağlayan morfogenetik süreçlere işaret eder. Ayrım kavramsal olarak belirleyicidir. Biyotasarım tasarımcının pratiğini, biyolojik tasarım doğanın kendi sürecini adlandırır ve ikincisi birincisi için bir model işlevi görür. Yazarlara göre bağ hem doğrudandır, çünkü canlı organizmaların tasarıma katılması onların yaşamını sürdüren süreçlere yapılı çevrede yer açılmasını gerektirir, hem de dolaylıdır, çünkü biyolojik ilkelerle çalışmak tasarımla başarılabileceklerin kapsamını genişletir.</w:t>
      </w:r>
    </w:p>
    <w:p>
      <w:pPr>
        <w:spacing w:after="160" w:line="360"/>
        <w:jc w:val="both"/>
      </w:pPr>
      <w:r>
        <w:rPr>
          <w:rFonts w:ascii="Times New Roman" w:cs="Times New Roman" w:eastAsia="Times New Roman" w:hAnsi="Times New Roman"/>
          <w:sz w:val="24"/>
          <w:szCs w:val="24"/>
        </w:rPr>
        <w:t xml:space="preserve">Andréen ve Goidea (2022) bu modelden dört tasarım ilkesi türetir: çeşitlilik, biçimin karmaşıklığı ve özgüllüğü, dirençlilik yoluyla dayanıklılık, geri besleme ve uyarlanma. Yazarlar ilkelerin kendi başlarına yeni olmadığını özellikle hatırlatır. Modern inşaat sanayisinin doğuşundan önce mimarlık uzun süre bu stratejilerle üretilmiştir ve vernaküler mimarlık bunları büyük ölçüde içerir. Üçüncü ilke, beşinci başlıkta ayrıntılandırılacağı üzere, biyomalzemelerle çalışmanın kuramsal gerekçesini oluşturur.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görünür hâle gelir. Biyomimikride aktarılan şey doğanın geliştirdiği çözümün kendisidir. Andréen ve Goidea’nın (2022) ilkelerinde ise aktarılan şey çözüm değil, çözümü üreten mantıktır. Doğanın biçimleri kopyalanmaz, biçim üretme biçimi incelenerek tasarım süreci yeniden kurgulanır. İlişki bu nedenle bir taklit değil, bir ilke çıkarma ilişkisidir. Ayrımın iç mimarlıktaki pratik karşılığı da bu noktadadır. Doğal görünümlü bir yüzey üretmek ile bileşeni doğanın örgütlenme mantığına göre kurgulamak aynı şey değildir.</w:t>
      </w:r>
    </w:p>
    <w:p>
      <w:pPr>
        <w:pStyle w:val="Heading2"/>
        <w:spacing w:after="170" w:before="320" w:line="360"/>
      </w:pPr>
      <w:r>
        <w:rPr>
          <w:rFonts w:ascii="Times New Roman" w:cs="Times New Roman" w:eastAsia="Times New Roman" w:hAnsi="Times New Roman"/>
          <w:b/>
          <w:bCs/>
          <w:color w:val="000000"/>
          <w:sz w:val="24"/>
          <w:szCs w:val="24"/>
        </w:rPr>
        <w:t xml:space="preserve">2.3. Tasarımcının rolü</w:t>
      </w:r>
    </w:p>
    <w:p>
      <w:pPr>
        <w:spacing w:after="160" w:line="360"/>
        <w:jc w:val="both"/>
      </w:pPr>
      <w:r>
        <w:rPr>
          <w:rFonts w:ascii="Times New Roman" w:cs="Times New Roman" w:eastAsia="Times New Roman" w:hAnsi="Times New Roman"/>
          <w:sz w:val="24"/>
          <w:szCs w:val="24"/>
        </w:rPr>
        <w:t xml:space="preserve">Biyotasarımın tek bir pratik olmadığını da eklemek gerekir. Camere ve Karana (2018), biyoloji ile tasarımı birbiriyle verimlendiren girişimleri dört kategoriye ayırır: artırılmış biyoloji, biyotasarım kurgusu, dijital biyofabrikasyon ve büyüyen tasarım. Sonuncusu iç mimarlık açısından en doğrudan karşılığı olanıdır. Ürün tasarımı için yeni malzemeler geliştirmeye odaklanır ve ayırt edici yanı, malzeme büyüten tasarımcıların değiştirilmemiş organizmalarla çalışmasıdır.</w:t>
      </w:r>
    </w:p>
    <w:p>
      <w:pPr>
        <w:spacing w:after="160" w:line="360"/>
        <w:jc w:val="both"/>
      </w:pPr>
      <w:r>
        <w:rPr>
          <w:rFonts w:ascii="Times New Roman" w:cs="Times New Roman" w:eastAsia="Times New Roman" w:hAnsi="Times New Roman"/>
          <w:sz w:val="24"/>
          <w:szCs w:val="24"/>
        </w:rPr>
        <w:t xml:space="preserve">Kavramsal çerçevenin tasarım pratiğindeki karşılığı, tasarımcının konumunun değişmesidir. Camere ve Karana (2018), geleneksel olarak tasarımcıların ürün kavramlarını somutlaştırmak için malzeme seçtiğini hatırlatır. Canlı organizmalarla üretilen malzemeler söz konusu olduğunda ise tasarımcılar giderek malzemenin erken geliştirme aşamalarına katılır. Yazarlar bu geçişi malzeme seçiminden malzeme tasarımına doğru bir kayma olarak adlandırır. İç mimarlıkta kaymanın karşılığı, malzeme kataloğundan seçim yapan tasarımcı ile bileşenin bileşimini ve birleşimini belirleyen tasarımcı arasındaki farktır. Kayma, bölümün temel savının kavramsal zeminini oluşturur ve izleyen başlıklarda malzeme, döngüsellik ve mekân ölçeklerinde sınanır.</w:t>
      </w:r>
    </w:p>
    <w:p>
      <w:pPr>
        <w:pStyle w:val="Heading1"/>
        <w:spacing w:after="220" w:before="440" w:line="360"/>
      </w:pPr>
      <w:r>
        <w:rPr>
          <w:rFonts w:ascii="Times New Roman" w:cs="Times New Roman" w:eastAsia="Times New Roman" w:hAnsi="Times New Roman"/>
          <w:b/>
          <w:bCs/>
          <w:color w:val="000000"/>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alındı. Burada ise yaklaşımın ürettiği malzemeler, yani nesne düzlemi inceleniyor.</w:t>
      </w:r>
    </w:p>
    <w:p>
      <w:pPr>
        <w:pStyle w:val="Heading2"/>
        <w:spacing w:after="170" w:before="320" w:line="360"/>
      </w:pPr>
      <w:r>
        <w:rPr>
          <w:rFonts w:ascii="Times New Roman" w:cs="Times New Roman" w:eastAsia="Times New Roman" w:hAnsi="Times New Roman"/>
          <w:b/>
          <w:bCs/>
          <w:color w:val="000000"/>
          <w:sz w:val="24"/>
          <w:szCs w:val="24"/>
        </w:rPr>
        <w:t xml:space="preserve">3.1. Üç yaklaşım</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toplanır ve bu da kavramsal bir belirsizlik üretir. Chayaamor-Heil ve diğ. (2023), mimarlık ve inşaat alanındaki güncel araştırmaları derlediği çalışmada alanı üç ayrı yaklaşıma ayırır: biyomimikri temelli, biyolojik temelli ve canlı malzeme tasarımları. Birinci kategori, ikinci başlıkta ele alınan biyomimikri yaklaşımının malzeme ölçeğindeki karşılığıdır. Ayrımın belirleyici ölçütü doğanın tasarım sürecine dahil olma düzeyidir. Biyomimikri temelli malzemelerde doğa bir ilke ya da strateji kaynağıdır ve malzemenin kendisinde biyolojik bir bileşen bulunmaz. Biyolojik temelli malzemelerde doğa bir girdi kaynağıdır. Malzeme biyolojik kökenli hammaddelerden üretilir, ancak kullanım anında canlı değildir.</w:t>
      </w:r>
    </w:p>
    <w:p>
      <w:pPr>
        <w:spacing w:after="160" w:line="360"/>
        <w:jc w:val="both"/>
      </w:pPr>
      <w:r>
        <w:rPr>
          <w:rFonts w:ascii="Times New Roman" w:cs="Times New Roman" w:eastAsia="Times New Roman" w:hAnsi="Times New Roman"/>
          <w:sz w:val="24"/>
          <w:szCs w:val="24"/>
        </w:rPr>
        <w:t xml:space="preserve">Üçüncü kategori dikkatli bir okuma gerektirir. Kaynak bu grubu canlı malzeme tasarımları olarak adlandırsa da, üretimde canlı organizma bulunması ile malzemenin kullanım anında canlı olması aynı şey değildir. Miselyum biyokompozitlerde organizma büyüme aşamasında etkindir, nihai bileşen ise çoğu uygulamada kurutularak etkisizleştirilir. Attias ve diğ. (2020), bu malzemelerde nihai özelliklerin mantar türü ile alt tabaka bileşimine ve üretim koşullarına bağlı olduğunu gösterir. Bu nedenle üçüncü kategori burada canlı organizmayla üretilen malzemeler olarak anılmakta, organizmanın kullanım süresince de etkin kaldığı durumlar yaşayan malzeme sistemleri biçiminde ayrı tutulmaktadır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cantSplit/>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 organizmayla üretilen</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kullanım anında etkin ya da etkisizleştirilmiş</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Büyüme koşullarını ve bileşimi kurgulamak</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 (Bourbia ve diğ., 2023)</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biyokompozit, bakteriyel selüloz, alg (Karana ve diğ., 2018; Attias ve diğ., 2020)</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 (Tyagi ve Jain,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 (Tyagi ve Jain, 2026)</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 (Edalat,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 (Chayaamor-Heil ve diğ., 2024)</w:t>
            </w:r>
          </w:p>
        </w:tc>
      </w:tr>
    </w:tbl>
    <w:p>
      <w:pPr>
        <w:spacing w:after="160" w:line="360"/>
        <w:jc w:val="both"/>
      </w:pPr>
      <w:r>
        <w:rPr>
          <w:rFonts w:ascii="Times New Roman" w:cs="Times New Roman" w:eastAsia="Times New Roman" w:hAnsi="Times New Roman"/>
          <w:sz w:val="24"/>
          <w:szCs w:val="24"/>
        </w:rPr>
        <w:t xml:space="preserve">Tablo 2’nin son satırı, ayrımın yalnızca tanımsal olmadığını açığa çıkarır. Üç yaklaşım ömür sonu senaryosu bakımından farklı koşullar üretir. Biyomimikri temelli bir çözümde soru malzemeye değil geometriye yöneliktir, biyolojik temelli bir malzemede bağlayıcı sisteminde düğümlenir, canlı organizmayla üretilen bir malzemede ise üretim koşulları ve bileşim sorunun parçası hâline gelir.</w:t>
      </w:r>
    </w:p>
    <w:p>
      <w:pPr>
        <w:pStyle w:val="Heading2"/>
        <w:spacing w:after="170" w:before="320" w:line="360"/>
      </w:pPr>
      <w:r>
        <w:rPr>
          <w:rFonts w:ascii="Times New Roman" w:cs="Times New Roman" w:eastAsia="Times New Roman" w:hAnsi="Times New Roman"/>
          <w:b/>
          <w:bCs/>
          <w:color w:val="000000"/>
          <w:sz w:val="24"/>
          <w:szCs w:val="24"/>
        </w:rPr>
        <w:t xml:space="preserve">3.2. Malzeme kaynakları ve üretim biçimleri</w:t>
      </w:r>
    </w:p>
    <w:p>
      <w:pPr>
        <w:spacing w:after="160" w:line="360"/>
        <w:jc w:val="both"/>
      </w:pPr>
      <w:r>
        <w:rPr>
          <w:rFonts w:ascii="Times New Roman" w:cs="Times New Roman" w:eastAsia="Times New Roman" w:hAnsi="Times New Roman"/>
          <w:sz w:val="24"/>
          <w:szCs w:val="24"/>
        </w:rPr>
        <w:t xml:space="preserve">Bourbia ve diğ. (2023), yapı kabuğunda kullanılan biyolojik temelli malzemeleri derlediği çalışmada kenevir, ahşap, hurma ağacı, mantar meşesi kabuğu, alfa otu ve samanı inceler. Yenilenebilirlik, düşük gömülü enerji ve ısıl düzenleme kapasitesi bu malzemelerin ortak özellikleridir. Listenin görünür kıldığı şey, bu malzemelerin büyük bölümünün yeni olmayıp geleneksel yapı kültürüne ait olmasıdır. Tyagi ve Jain (2026), iç mekân tasarımında biyolojik temelli ve yenileyici malzemeler üzerine 104 yayını incelediği sistematik derlemede benzer bir ikilik bulgular. Bambu, kerpiç, saman ve kenevir gibi vernaküler malzemeler düşük etkili uygulamalarda merkezî konumunu korurken miselyum, bakteriyel selüloz ve alg gibi biyofabrike malzemeler deneysel araştırmalara hâkimdir. Alan bir yanda köklü bir yapı kültürüne, diğer yanda laboratuvar aşamasındaki bir gündeme yaslanır.</w:t>
      </w:r>
    </w:p>
    <w:p>
      <w:pPr>
        <w:spacing w:after="160" w:line="360"/>
        <w:jc w:val="both"/>
      </w:pPr>
      <w:r>
        <w:rPr>
          <w:rFonts w:ascii="Times New Roman" w:cs="Times New Roman" w:eastAsia="Times New Roman" w:hAnsi="Times New Roman"/>
          <w:sz w:val="24"/>
          <w:szCs w:val="24"/>
        </w:rPr>
        <w:t xml:space="preserve">Kategorinin ayırt edici bir başka özelliği, girdi olarak başka bir sürecin çıktısını kullanabilmesidir. Lee ve diğ. (2022), değerlendirilemeyen biyokütlenin alternatif hammaddeye dönüştürülmesine yönelik çabaların fosil kökenli eşdeğerlerin yerini alabilecek ürünlere yöneldiğini derler.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organizmayla üretilen malzemeler yer alır. Karana ve diğ. (2018), bakteri, alg veya mantar tarafından üretilen malzemelerin ürün tasarımında giderek daha fazla kullanıldığına dikkat çeker. Chayaamor-Heil ve diğ. (2024) ise alg, bakteri ve mantarı mimarlık bağlamında ele aldığı çalışmada önemli bir kısıta işaret eder. Canlı organizmalardan yeni malzeme ya da tasarım bileşeni geliştirmek, ölçek, çok katmanlılık ve gereksinimlerden doğan sınırlar nedeniyle mimarlık ve inşaatta, tekstil ve ürün tasarımına kıyasla daha güç gerçekleşir. Kısıt, bu malzemelerin önce küçük ölçekli ve taşıyıcı olmayan bileşenlerde denenmesini akla getirir.</w:t>
      </w:r>
    </w:p>
    <w:p>
      <w:pPr>
        <w:pStyle w:val="Heading2"/>
        <w:spacing w:after="170" w:before="320" w:line="360"/>
      </w:pPr>
      <w:r>
        <w:rPr>
          <w:rFonts w:ascii="Times New Roman" w:cs="Times New Roman" w:eastAsia="Times New Roman" w:hAnsi="Times New Roman"/>
          <w:b/>
          <w:bCs/>
          <w:color w:val="000000"/>
          <w:sz w:val="24"/>
          <w:szCs w:val="24"/>
        </w:rPr>
        <w:t xml:space="preserve">3.3. Malzemenin etkinleşmesi</w:t>
      </w:r>
    </w:p>
    <w:p>
      <w:pPr>
        <w:spacing w:after="160" w:line="360"/>
        <w:jc w:val="both"/>
      </w:pPr>
      <w:r>
        <w:rPr>
          <w:rFonts w:ascii="Times New Roman" w:cs="Times New Roman" w:eastAsia="Times New Roman" w:hAnsi="Times New Roman"/>
          <w:sz w:val="24"/>
          <w:szCs w:val="24"/>
        </w:rPr>
        <w:t xml:space="preserve">Yukarıdaki malzemelerin ortak yanı, tasarımcının denetimini sınırlayan davranışlar sergilemeleridir. Camere ve Karana (2018), sekiz deneyimli uygulamacıyla yürüttüğü görüşmelere dayanarak canlı organizmalarla malzeme üretmenin tasarımcıların bakışını, zihniyetini ve vizyonunu değiştirdiğini bulgular. Dahası “insan yapımı” ve “doğal” gibi yerleşik anlamları sorgulatır. Malzemenin edilgen bir girdiden etkin bir bileşene dönüşmesi, bu nedenle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dağıtık üretim süreçleriyle deney yapmaya alan açtığını savunur ve kendin yap malzemeleri, çoğu kez tasarımcının kendi icat ettiği teknik ve süreçlerle yaratılan malzemeler olarak tanımlar. Rognoli ve Ayala García (2018) aynı dönüşümü malzeme aktivizmi kavramıyla tartışır ve tasarımcıların düşük teknolojili, deneysel yaklaşımlarla malzeme geliştirme sürecine yeniden katılmasını önerir. İç mimarlık, görece küçük üretim adetleriyle ve atölye ölçeğinde çalışabildiği için bu kanala ürün ve yapı ölçeğinden daha açıktır.</w:t>
      </w:r>
    </w:p>
    <w:p>
      <w:pPr>
        <w:spacing w:after="160" w:line="360"/>
        <w:jc w:val="both"/>
      </w:pPr>
      <w:r>
        <w:rPr>
          <w:rFonts w:ascii="Times New Roman" w:cs="Times New Roman" w:eastAsia="Times New Roman" w:hAnsi="Times New Roman"/>
          <w:sz w:val="24"/>
          <w:szCs w:val="24"/>
        </w:rPr>
        <w:t xml:space="preserve">Malzemenin etkinleşmesi yalnızca bir olanak değildir, aynı zamanda bir belirsizlik kaynağıdır. Malzemenin zaman içindeki davranışı tasarım kararının parçası hâline geldiğinde, bu davranışın bilinmesi de bir gereklilik olarak doğar.</w:t>
      </w:r>
    </w:p>
    <w:p>
      <w:pPr>
        <w:pStyle w:val="Heading1"/>
        <w:spacing w:after="220" w:before="440" w:line="360"/>
      </w:pPr>
      <w:r>
        <w:rPr>
          <w:rFonts w:ascii="Times New Roman" w:cs="Times New Roman" w:eastAsia="Times New Roman" w:hAnsi="Times New Roman"/>
          <w:b/>
          <w:bCs/>
          <w:color w:val="000000"/>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Üçüncü başlık malzemeleri sınıflandırdı. Dördüncü başlık bu malzemelerin döngüsel ekonomi sistemleriyle ilişkisini ele alıyor. Temel soru, biyolojik kökenin tek başına bir döngüsellik güvencesi oluşturup oluşturmadığıdır.</w:t>
      </w:r>
    </w:p>
    <w:p>
      <w:pPr>
        <w:pStyle w:val="Heading2"/>
        <w:spacing w:after="170" w:before="320" w:line="360"/>
      </w:pPr>
      <w:r>
        <w:rPr>
          <w:rFonts w:ascii="Times New Roman" w:cs="Times New Roman" w:eastAsia="Times New Roman" w:hAnsi="Times New Roman"/>
          <w:b/>
          <w:bCs/>
          <w:color w:val="000000"/>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Tartışmanın kavramsal zemini, kavramın kendisindeki belirsizlikle başlar. Kirchherr ve diğ. (2017), döngüsel ekonominin hem akademide hem uygulamada ivme kazanmasına karşın eleştirmenlerin kavramın herkes için farklı bir şey ifade ettiğini öne sürdüğünü aktarır. Yazarların 114 tanımı kodladığı çalışma, kavramın en sık azaltma, yeniden kullanma ve geri dönüştürme etkinliklerinin bileşimi olarak betimlendiğini bulgular. Döngüselliğin sistemsel bir değişim gerektirdiği ise çoğu kez vurgulanmaz. Kavram malzeme ölçeğine indirgendiğinde tam da bu sistemsel boyut gözden kaçar. Yapılı çevre özelinde Pomponi ve Moncaster (2017), döngüsel ekonomiyi tanımlayan altı temel boyut belirler: çevresel, teknolojik, ekonomik, toplumsal, yönetsel ve davranışsal. Çerçevenin buradaki önemi, döngüselliğin yalnızca malzemenin teknik niteliğiyle açıklanamayacağını göstermesidir.</w:t>
      </w:r>
    </w:p>
    <w:p>
      <w:pPr>
        <w:spacing w:after="160" w:line="360"/>
        <w:jc w:val="both"/>
      </w:pPr>
      <w:r>
        <w:rPr>
          <w:rFonts w:ascii="Times New Roman" w:cs="Times New Roman" w:eastAsia="Times New Roman" w:hAnsi="Times New Roman"/>
          <w:sz w:val="24"/>
          <w:szCs w:val="24"/>
        </w:rPr>
        <w:t xml:space="preserve">Biyolojik üretim mantığı bu zemine yapısal olarak uyar. Andréen ve Goidea’nın (2022) savunduğu gibi biyolojik tasarım sistemi doğası gereği döngüseldir. Yapısal uygunluk ise fiilî bir eklemlenme anlamına gelmez. Edalat (2026), biyolojik temelli yapı malzemelerinin döngüsel ekonomi sistemlerine eklemlenmesinin kavramsal olarak parçalı ve uygulamada tutarsız kaldığını saptar. Boşluğun nerede doğduğu sorusu bu başlığın tartışmasını kurar.</w:t>
      </w:r>
    </w:p>
    <w:p>
      <w:pPr>
        <w:spacing w:after="160" w:line="360"/>
        <w:jc w:val="both"/>
      </w:pPr>
      <w:r>
        <w:rPr>
          <w:rFonts w:ascii="Times New Roman" w:cs="Times New Roman" w:eastAsia="Times New Roman" w:hAnsi="Times New Roman"/>
          <w:sz w:val="24"/>
          <w:szCs w:val="24"/>
        </w:rPr>
        <w:t xml:space="preserve">İlk kesişme noktası girdi tarafındadır. Ahşap dışı biyolojik temelli yapı malzemeleri çoğunlukla atıktan elde edilir, buna karşılık tarımsal atığın inşaat sektöründeki kullanımı sınırlı kalır (Edalat, 2026). Kaynakların coğrafi dağılımı da belirleyicidir. Orman örtüsünün neredeyse yarısı dört ülkede yoğunlaşırken ahşap, Orta Doğu ve Kuzey Afrika gibi bölgelerde kıttır. Türkiye bu tablonun tam ortasında yer alır. Toklu (2017), ülkenin kullanılabilir biyokütle potansiyelini yaklaşık 17 milyon ton eşdeğer petrol olarak hesaplar ve bunun orman, tarım ve hayvancılık artıkları ile organik kentsel atıktan oluştuğunu belirtir. Başka bir deyişle Türkiye ahşap bakımından kısıtlı, tarımsal artık bakımından zengin bir coğrafyadır. Fındık kabuğu, buğday sapı ve çeltik kavuzu gibi artıkların halen ağırlıklı olarak yakıt değeri üzerinden değerlendirilmesi, iç mekân bileşeni açısından henüz açılmamış bir malzeme kaynağına işaret eder.</w:t>
      </w:r>
    </w:p>
    <w:p>
      <w:pPr>
        <w:pStyle w:val="Heading2"/>
        <w:spacing w:after="170" w:before="320" w:line="360"/>
      </w:pPr>
      <w:r>
        <w:rPr>
          <w:rFonts w:ascii="Times New Roman" w:cs="Times New Roman" w:eastAsia="Times New Roman" w:hAnsi="Times New Roman"/>
          <w:b/>
          <w:bCs/>
          <w:color w:val="000000"/>
          <w:sz w:val="24"/>
          <w:szCs w:val="24"/>
        </w:rPr>
        <w:t xml:space="preserve">4.2. Tasarım aşamasında verilen kararlar</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verildiğiyle ilgilidir. Rios ve diğ. (2015), yıkım yerine sökümü, geri dönüştürülebilirliği ve sökülebilirlik için tasarımı daha iyi inşaat atığı yönetimi yaklaşımları sayar. Aynı çalışma çarpıcı bir boşluğu da ortaya koyar. Sökülebilirlik için tasarımın ilkelerini ele alan kapsamlı kılavuzlar yayımlanmıştır, ancak bu alanda geliştirilmiş yapı sayısı çok azdır. Edalat (2026) da malzeme tedariki, sökülebilirlik için tasarım ve bağlayıcı türünün geri dönüştürülebilirlik üzerinde belirleyici etkisi olduğunu, buna karşılık bu etkenlerin tasarımda ve araştırmada nadiren göz önünde bulundurulduğunu saptar.</w:t>
      </w:r>
    </w:p>
    <w:p>
      <w:pPr>
        <w:spacing w:after="160" w:line="360"/>
        <w:jc w:val="both"/>
      </w:pPr>
      <w:r>
        <w:rPr>
          <w:rFonts w:ascii="Times New Roman" w:cs="Times New Roman" w:eastAsia="Times New Roman" w:hAnsi="Times New Roman"/>
          <w:sz w:val="24"/>
          <w:szCs w:val="24"/>
        </w:rPr>
        <w:t xml:space="preserve">Bu saptamalar bölümün temel savının ilk yarısını kaynaklı biçimde kurar. Bir malzemenin döngüselliği biyolojik kökeninden çok bileşimi ve birleşimiyle şekillenir. Miselyum öğretici bir örnektir. Biyobozunurluğu, kendi kendine bağlanma özelliği ve tarımsal atıkla uyumluluğu nedeniyle kapalı döngü potansiyeli taşır ve bağlayıcı sorununu dışarıdan bir madde eklemeden çözer (Attias ve diğ., 2020). Aynı atık sentetik bir reçineyle bağlandığında ise döngüsellik iddiası büyük ölçüde geçersizleşir.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da belirginleşir. Çevresel avantaj iddialarının her biri için önemli istisnalar vardır (O’Rourke ve Seepersad, 2015). Biyokompozitlerin uzun süreli dayanıklılığına ilişkin bilgi ise sınırlıdır (Chang ve diğ., 2020). Ömür sonu davranışı bilinmeyen bir malzeme için döngüsellik iddiası temelsiz kalır. İç mimarlık açısından sonuç doğrudandır. Bir bileşenin döngüsel sayılıp sayılamayacağı, malzeme listesinde değil detay çiziminde belli olur.</w:t>
      </w:r>
    </w:p>
    <w:p>
      <w:pPr>
        <w:pStyle w:val="Heading1"/>
        <w:spacing w:after="220" w:before="440" w:line="360"/>
      </w:pPr>
      <w:r>
        <w:rPr>
          <w:rFonts w:ascii="Times New Roman" w:cs="Times New Roman" w:eastAsia="Times New Roman" w:hAnsi="Times New Roman"/>
          <w:b/>
          <w:bCs/>
          <w:color w:val="000000"/>
          <w:sz w:val="26"/>
          <w:szCs w:val="26"/>
        </w:rPr>
        <w:t xml:space="preserve">5. DİRENÇLİLİK</w:t>
      </w:r>
    </w:p>
    <w:p>
      <w:pPr>
        <w:spacing w:after="160" w:line="360"/>
        <w:jc w:val="both"/>
      </w:pPr>
      <w:r>
        <w:rPr>
          <w:rFonts w:ascii="Times New Roman" w:cs="Times New Roman" w:eastAsia="Times New Roman" w:hAnsi="Times New Roman"/>
          <w:sz w:val="24"/>
          <w:szCs w:val="24"/>
        </w:rPr>
        <w:t xml:space="preserve">Dördüncü başlık döngüselliğin biyolojik kökenle güvence altına alınamayacağını gösterdi. Beşinci başlıkta dirençlilik, biyolojik temelli malzemelerin tasarım sürecine girmesiyle ortaya çıkan dönüşümleri anlamaya yarayan bir kavram olarak ele alınıyor.</w:t>
      </w:r>
    </w:p>
    <w:p>
      <w:pPr>
        <w:pStyle w:val="Heading2"/>
        <w:spacing w:after="170" w:before="320" w:line="360"/>
      </w:pPr>
      <w:r>
        <w:rPr>
          <w:rFonts w:ascii="Times New Roman" w:cs="Times New Roman" w:eastAsia="Times New Roman" w:hAnsi="Times New Roman"/>
          <w:b/>
          <w:bCs/>
          <w:color w:val="000000"/>
          <w:sz w:val="24"/>
          <w:szCs w:val="24"/>
        </w:rPr>
        <w:t xml:space="preserve">5.1. Dirençlilik kavramı</w:t>
      </w:r>
    </w:p>
    <w:p>
      <w:pPr>
        <w:spacing w:after="160" w:line="360"/>
        <w:jc w:val="both"/>
      </w:pPr>
      <w:r>
        <w:rPr>
          <w:rFonts w:ascii="Times New Roman" w:cs="Times New Roman" w:eastAsia="Times New Roman" w:hAnsi="Times New Roman"/>
          <w:sz w:val="24"/>
          <w:szCs w:val="24"/>
        </w:rPr>
        <w:t xml:space="preserve">Dirençlilik yapılı çevre literatüründe birbirinden önemli ölçüde farklı iki anlamda kullanılır. Heymans ve diğ. (2019), ekolojik kentsel planlama ve tasarım literatürünü sistematik olarak incelediği çalışmada bu iki tanımı ayırt eder. Eski tanım, bir sistemin bozulmanın ardından dengeye dönme yeteneğine işaret eder ve verimliliğe odaklanması bakımından modernist paradigmayla tutarlıdır. Daha yeni tanım ise denge dışı karmaşık uyarlanabilir sistemlerle ilişkilidir.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tanımlar.</w:t>
      </w:r>
    </w:p>
    <w:p>
      <w:pPr>
        <w:spacing w:after="160" w:line="360"/>
        <w:jc w:val="both"/>
      </w:pPr>
      <w:r>
        <w:rPr>
          <w:rFonts w:ascii="Times New Roman" w:cs="Times New Roman" w:eastAsia="Times New Roman" w:hAnsi="Times New Roman"/>
          <w:sz w:val="24"/>
          <w:szCs w:val="24"/>
        </w:rPr>
        <w:t xml:space="preserve">Heymans ve diğ.’nin (2019) savunduğu gibi, sistemler öngörülemez olduğunda sürdürülebilirlik dirençlilik kapasitesine bağlı hâle gelir. Yazarlara göre bu, tasarımcılar için bir odak değişimi anlamına gelir. İdealleştirilmiş bir mekânsal biçim geliştirmek yerine, sistemin uyarlanma kapasitesinden doğan dirençliliğini kurmak üzere nasıl örgütlenebileceğini düşünmek gerekir. Sürdürülebilirlik böylece bir biçim hedefi olmaktan çıkar ve bir örgütlenme sorusuna dönüşür. İç mekân, kullanım senaryolarının en hızlı değiştiği ölçek olduğu için bu soruyu en sık soran alandır.</w:t>
      </w:r>
    </w:p>
    <w:p>
      <w:pPr>
        <w:pStyle w:val="Heading2"/>
        <w:spacing w:after="170" w:before="320" w:line="360"/>
      </w:pPr>
      <w:r>
        <w:rPr>
          <w:rFonts w:ascii="Times New Roman" w:cs="Times New Roman" w:eastAsia="Times New Roman" w:hAnsi="Times New Roman"/>
          <w:b/>
          <w:bCs/>
          <w:color w:val="000000"/>
          <w:sz w:val="24"/>
          <w:szCs w:val="24"/>
        </w:rPr>
        <w:t xml:space="preserve">5.2. Dirençli tasarım</w:t>
      </w:r>
    </w:p>
    <w:p>
      <w:pPr>
        <w:spacing w:after="160" w:line="360"/>
        <w:jc w:val="both"/>
      </w:pPr>
      <w:r>
        <w:rPr>
          <w:rFonts w:ascii="Times New Roman" w:cs="Times New Roman" w:eastAsia="Times New Roman" w:hAnsi="Times New Roman"/>
          <w:sz w:val="24"/>
          <w:szCs w:val="24"/>
        </w:rPr>
        <w:t xml:space="preserve">Biyolojik temelli malzemelerin tasarım sürecine girmesi yalnızca malzemenin niteliğini değiştirmez, tasarımcının konumunu da dönüştürür. Geleneksel yaklaşımda malzeme, verilmiş kararlar doğrultusunda seçilen bir unsurdur. Biyolojik temelli malzemeler ise değişkenlikleri, zamansallıkları ve üretim belirsizlikleriyle kararların yeniden değerlendirilmesini zorunlu kılar. Barati ve Karana (2019), tasarımcı ile malzeme bilimcisi arasındaki erken aşama ortak projelerini incelediği çalışmada yaratıcılığın tasarımcının zihnine ait bir yeti olmadığını, tasarımcı ile maddi dünya arasında dağılmış bir süreç olduğunu savunur. Geliştirdikleri malzeme potansiyeli olarak olanaklar kavramı, odağı tasarımcının yapma ve üretme edimlerine kaydırır. Tasarımcının işi böylece listeden seçim yapmak olmaktan çıkar ve malzemenin neye olanak tanıdığını üretim yoluyla keşfetmeye dönüşür. Keşfedilen şey çoğu zaman değişkenliktir. Goidea ve diğ. (2022), miselyum biyokompozitlerde tür seçiminin hem üretim sürecini hem nesnenin performansını değiştirdiğini örnekler.</w:t>
      </w:r>
    </w:p>
    <w:p>
      <w:pPr>
        <w:spacing w:after="160" w:line="360"/>
        <w:jc w:val="both"/>
      </w:pPr>
      <w:r>
        <w:rPr>
          <w:rFonts w:ascii="Times New Roman" w:cs="Times New Roman" w:eastAsia="Times New Roman" w:hAnsi="Times New Roman"/>
          <w:sz w:val="24"/>
          <w:szCs w:val="24"/>
        </w:rPr>
        <w:t xml:space="preserve">Değişkenliğin ikiz kavramı zamandır. Karana ve diğ. (2018), miselyum esaslı bir malzemeyle yürütülen tasarım sürecinde tasarımcının üç belirsizlik kaynağıyla baş etmek zorunda kaldığını bulgular: mikroorganizmanın failliği, malzemenin kendine özgü zamansallığı ve malzemenin toplum tarafından kabulü. İkincisi, büyüme, kuruma ve yaşlanma sürelerinin tasarım kararının içinde olduğu anlamına gelir. Ne var ki bu zamanın nasıl işlediğine ilişkin bilgi hâlâ sınırlıdır (Chang ve diğ., 2020). Zamanın tasarıma girmesinin doğrudan sonucu, bakımın bir tasarım kararına dönüşmesidir. Graham ve Thrift (2007), yerleşik kültürel kurguların onarım ve bakımı dikkat alanının dışına ittiğini ileri sürer. Biyolojik temelli malzemelerde bu dışarıda bırakma sürdürülemez, çünkü bakım kullanımın kesintiye uğraması değil koşuludur. Dirençli tasarım böylece bir kavram kümesi üretir: keşfedilecek bir malzeme potansiyeli, parametreye dönüşen bir değişkenlik, hesaba katılması gereken bir malzeme zamanı ve baştan kurgulanan bir bakım ilişkisi.</w:t>
      </w:r>
    </w:p>
    <w:p>
      <w:pPr>
        <w:pStyle w:val="Heading2"/>
        <w:spacing w:after="170" w:before="320" w:line="360"/>
      </w:pPr>
      <w:r>
        <w:rPr>
          <w:rFonts w:ascii="Times New Roman" w:cs="Times New Roman" w:eastAsia="Times New Roman" w:hAnsi="Times New Roman"/>
          <w:b/>
          <w:bCs/>
          <w:color w:val="000000"/>
          <w:sz w:val="24"/>
          <w:szCs w:val="24"/>
        </w:rPr>
        <w:t xml:space="preserve">5.3. Dirençlilik öznitelikleri</w:t>
      </w:r>
    </w:p>
    <w:p>
      <w:pPr>
        <w:spacing w:after="160" w:line="360"/>
        <w:jc w:val="both"/>
      </w:pPr>
      <w:r>
        <w:rPr>
          <w:rFonts w:ascii="Times New Roman" w:cs="Times New Roman" w:eastAsia="Times New Roman" w:hAnsi="Times New Roman"/>
          <w:sz w:val="24"/>
          <w:szCs w:val="24"/>
        </w:rPr>
        <w:t xml:space="preserve">Kavram kümesinin tasarım özelliklerine çevrilebilmesi için ekolojik dirençlilik araştırmaları bir dayanak sunar. Biggs ve diğ. (2012), ekosistem hizmetlerinin dirençliliğini güçlendirmeye yönelik yedi genel ilke tanımlar. İlk üçü çeşitlilik ile yedekliliğin korunması, bağlantısallığın yönetilmesi ve yavaş değişkenler ile geri besleme ilişkilerinin yönetilmesidir. Söz konusu ilkeler ekosistem yönetimi için geliştirilmiştir. Aşağıda, Walker ve diğ.’nin (2004) dirençlilik, uyarlanabilirlik ve dönüşebilirlik ayrımıyla birlikte okunarak iç mimarlık bağlamına uyarlanmakta ve dört tasarım özniteliği altında yeniden yorumlanmaktadır. Yorumlama bu bölümün kendi sentezidir, anılan kaynakların doğrudan önerisi değildir.</w:t>
      </w:r>
    </w:p>
    <w:p>
      <w:pPr>
        <w:spacing w:after="160" w:line="360"/>
        <w:jc w:val="both"/>
      </w:pPr>
      <w:r>
        <w:rPr>
          <w:rFonts w:ascii="Times New Roman" w:cs="Times New Roman" w:eastAsia="Times New Roman" w:hAnsi="Times New Roman"/>
          <w:sz w:val="24"/>
          <w:szCs w:val="24"/>
        </w:rPr>
        <w:t xml:space="preserve">Birinci öznitelik çeşitlilik ve yedekliliktir. Tek bir malzemeye ve tek bir birleşim türüne dayanan bir kurguda yerel bir bozulma bütüne yayılır. Birden çok malzemenin ve birbirinin işlevini üstlenebilecek bileşenlerin bulunduğu bir kurguda ise bozulma yerel kalır. Yedeklilik burada fazlalık değildir, bozulmanın yayılmasını engelleyen bir örgütlenme biçimidir. İkinci öznitelik bağlantısallıktır. Biggs ve diğ.’nin (2012) formülasyonu bağlantısallığın artırılmasını değil yönetilmesini önerir. Tasarımdaki karşılığı, bileşenlerin birbirine nasıl bağlandığı sorusudur. Tersinir birleşimler bir bileşenin ötekini bozmadan değiştirilmesine izin verir, kalıcı birleşimler ise bütün kurguyu tek bir karara bağlar.</w:t>
      </w:r>
    </w:p>
    <w:p>
      <w:pPr>
        <w:spacing w:after="160" w:line="360"/>
        <w:jc w:val="both"/>
      </w:pPr>
      <w:r>
        <w:rPr>
          <w:rFonts w:ascii="Times New Roman" w:cs="Times New Roman" w:eastAsia="Times New Roman" w:hAnsi="Times New Roman"/>
          <w:sz w:val="24"/>
          <w:szCs w:val="24"/>
        </w:rPr>
        <w:t xml:space="preserve">Üçüncü öznitelik bakım ve onarılabilirliktir. Önceki alt başlıkta kurulan bakım ilişkisi burada somut sorulara dönüşür. Bileşen onarılabiliyor mu, onarım izleri kabul ediliyor mu, bakımı kim yapabilir? Dördüncü öznitelik uyarlanabilirlik ve dönüşebilirliktir. Walker ve diğ. (2004), uyarlanabilirliği sistemdeki insan aktörlerin dirençliliği yönetme konusundaki ortak kapasitesi olarak tanımlar. Dönüşebilirlik ise koşullar mevcut sistemi sürdürülemez kıldığında temelden yeni bir sistem yaratma kapasitesidir. Kavramın yapı araştırmalarındaki karşılığının yerleşmediğini de eklemek gerekir. Askar ve diğ. (2021), uyarlanabilirlik kavramına ilişkin yorumların ve bunlara bağlı paradigmaların zaman içinde değiştiğini derler.</w:t>
      </w:r>
    </w:p>
    <w:p>
      <w:pPr>
        <w:spacing w:after="160" w:line="360"/>
        <w:jc w:val="both"/>
      </w:pPr>
      <w:r>
        <w:rPr>
          <w:rFonts w:ascii="Times New Roman" w:cs="Times New Roman" w:eastAsia="Times New Roman" w:hAnsi="Times New Roman"/>
          <w:sz w:val="24"/>
          <w:szCs w:val="24"/>
        </w:rPr>
        <w:t xml:space="preserve">Dört öznitelik ancak ölçekler arası okunduğunda anlam kazanır. Goidea ve diğ. (2022), değişken ölçekler, sistemler ve malzemeler arasındaki karşılıklı bağımlılığın doğrusal olmayan etkileşimler ürettiğine dikkat çeker. Bir bileşenin dirençliliği, bağlı olduğu sistemin dirençliliğinden ayrı değerlendirilemez. Döngüsellik ile dirençlilik eş anlamlı değildir, ancak çeşitlilik, tersinir bağlantı, onarılabilirlik ve uyarlanabilirlik gibi ortak özellikler üzerinden birbirini destekler. Dört öznitelik de ancak kullanıldıkları, bakıldıkları ve değiştirildikleri ölçekte sınanabilir. İzleyen başlıkta gösterileceği gibi bu ölçek büyük ölçüde iç mekândır.</w:t>
      </w:r>
    </w:p>
    <w:p>
      <w:pPr>
        <w:pStyle w:val="Heading1"/>
        <w:spacing w:after="220" w:before="440" w:line="360"/>
      </w:pPr>
      <w:r>
        <w:rPr>
          <w:rFonts w:ascii="Times New Roman" w:cs="Times New Roman" w:eastAsia="Times New Roman" w:hAnsi="Times New Roman"/>
          <w:b/>
          <w:bCs/>
          <w:color w:val="000000"/>
          <w:sz w:val="26"/>
          <w:szCs w:val="26"/>
        </w:rPr>
        <w:t xml:space="preserve">6. İÇ MEKÂN ÖLÇEĞİ</w:t>
      </w:r>
    </w:p>
    <w:p>
      <w:pPr>
        <w:spacing w:after="160" w:line="360"/>
        <w:jc w:val="both"/>
      </w:pPr>
      <w:r>
        <w:rPr>
          <w:rFonts w:ascii="Times New Roman" w:cs="Times New Roman" w:eastAsia="Times New Roman" w:hAnsi="Times New Roman"/>
          <w:sz w:val="24"/>
          <w:szCs w:val="24"/>
        </w:rPr>
        <w:t xml:space="preserve">Buraya kadar her başlık sonunda iç mimarlık karşılığına değinildi. Altıncı başlık tartışmayı doğrudan mekân ölçeğinde sürdürüyor. Bu malzemeler iç mimarlık pratiğinde hangi konumu alır ve bu konum tasarım kararlarını nasıl değiştirir?</w:t>
      </w:r>
    </w:p>
    <w:p>
      <w:pPr>
        <w:pStyle w:val="Heading2"/>
        <w:spacing w:after="170" w:before="320" w:line="360"/>
      </w:pPr>
      <w:r>
        <w:rPr>
          <w:rFonts w:ascii="Times New Roman" w:cs="Times New Roman" w:eastAsia="Times New Roman" w:hAnsi="Times New Roman"/>
          <w:b/>
          <w:bCs/>
          <w:color w:val="000000"/>
          <w:sz w:val="24"/>
          <w:szCs w:val="24"/>
        </w:rPr>
        <w:t xml:space="preserve">6.1. İç mekânın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tanımlanmıştır. Edalat (2026), ahşap dışı biyolojik temelli yapı malzemelerinin iç ve dış yüzey kaplamaları, ısıl ve akustik yalıtım ile mobilya üretiminde kullanıldığını aktarır. Ahşap esaslı malzemeler ise ağırlıklı olarak yapısal bileşenlerde yer alır ve ahşap dışı malzemeler sınırlı mekanik dayanımları nedeniyle taşıyıcı elemanlarda nadiren kullanılır. İki saptama bir arada okunduğunda, bu malzemelerin mevcut uygulamalarında iç mekân bileşenlerinin önemli bir yer tuttuğu görülür. Durumu bir sınırlılık olarak değil, bir konumlanma olarak okumak daha verimlidir. Taşıyıcı olmayan bileşenler, bu malzemelerin yapısal risk eşiğinin görece düşük olduğu, dolayısıyla denenebilir oldukları alanı oluşturur.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destekler. Ölçek ve katmanlılık bakımından mimari bütünle ürün ölçeği arasında yer aldıkları için iç mekân bileşenleri aradaki eşiği oluşturur (Chayaamor-Heil ve diğ., 2024). İç mimarlığın buradaki konumu yalnızca ölçekten kaynaklanmaz. Malzemenin kullanıcıyla temas ettiği, yaşlandığı ve değiştirildiği ölçek de aynıdır.</w:t>
      </w:r>
    </w:p>
    <w:p>
      <w:pPr>
        <w:pStyle w:val="Heading2"/>
        <w:spacing w:after="170" w:before="320" w:line="360"/>
      </w:pPr>
      <w:r>
        <w:rPr>
          <w:rFonts w:ascii="Times New Roman" w:cs="Times New Roman" w:eastAsia="Times New Roman" w:hAnsi="Times New Roman"/>
          <w:b/>
          <w:bCs/>
          <w:color w:val="000000"/>
          <w:sz w:val="24"/>
          <w:szCs w:val="24"/>
        </w:rPr>
        <w:t xml:space="preserve">6.2. İkame, bağlayıcı ve iç hava</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eğilimi doğrudan saptar ve bunun malzemenin kendi niteliklerinin değerlendirilmeden kalması anlamına geldiğini belirtir. Malzeme Odaklı Tasarım yöntemi tam da bu nedenle önerilir ve malzemenin kendine özgü teknik ile deneyimsel niteliklerini öne çıkarır (Karana ve diğ., 2015). Camere ve Karana’nın (2018) malzeme seçiminden malzeme tasarımına doğru bir kayma olarak adlandırdığı dönüşüm, iç mimarlık ölçeğinde somut bir ölçüt üretir. Bir miselyum panelini alçıpanın yerine koymak biyolojik temelli bir malzeme kullanmaktır, ancak tek başına biyotasarım yaklaşımının bütün kapsamını karşılamaz.</w:t>
      </w:r>
    </w:p>
    <w:p>
      <w:pPr>
        <w:spacing w:after="160" w:line="360"/>
        <w:jc w:val="both"/>
      </w:pPr>
      <w:r>
        <w:rPr>
          <w:rFonts w:ascii="Times New Roman" w:cs="Times New Roman" w:eastAsia="Times New Roman" w:hAnsi="Times New Roman"/>
          <w:sz w:val="24"/>
          <w:szCs w:val="24"/>
        </w:rPr>
        <w:t xml:space="preserve">Döngüselliğin bileşim ve birleşimde şekillendiği sav da iç mekân ölçeğinde somut biçimde gözlenir. Edalat (2026), yirmi çalışmayı döngüsellik ölçütleri üzerinden değerlendirdiği incelemesinde kahve atığı ile üre-formaldehit reçinesi kullanılarak üretilen bir iç mekân duvar panelini ele alır. Değerlendirmede atık kökenli tedarik bakımından çalışma tam puan alır. Buna karşılık geri dönüştürülebilirlik, biyobozunurluk ve ömür sonu ölçütü hiç dikkate alınmamış olarak puanlanır. Örnek savı iç mimarlığın kendi nesnesi üzerinden gösterir. Bir duvar paneli atıktan üretilmiş olabilir. Sentetik bir reçineyle bağlandığında ve ömür sonu senaryosu kurgulanmadığında yine de döngüsel bir bileşen hâline gelmez.</w:t>
      </w:r>
    </w:p>
    <w:p>
      <w:pPr>
        <w:spacing w:after="160" w:line="360"/>
        <w:jc w:val="both"/>
      </w:pPr>
      <w:r>
        <w:rPr>
          <w:rFonts w:ascii="Times New Roman" w:cs="Times New Roman" w:eastAsia="Times New Roman" w:hAnsi="Times New Roman"/>
          <w:sz w:val="24"/>
          <w:szCs w:val="24"/>
        </w:rPr>
        <w:t xml:space="preserve">Aynı örnek, iç mimarlığın tartışmaya eklediği ikinci bir ölçütü de görünür kılar. Bağlayıcı seçimi yalnızca ömür sonunu değil, kullanım süresi boyunca iç hava kalitesini de etkiler. Salthammer ve diğ. (2010), formaldehit esaslı reçinelerin yonga levha, kontrplak ve yalıtım köpüğü üretiminde yaygın kullanıldığını ve bu ürünlerin iç ortamdaki başlıca formaldehit kaynakları arasında yer aldığını derler. Kahve atıklı panelde üre-formaldehit reçinesinin seçilmiş olması bu nedenle çifte bir sorundur. Bu bölümde savunulan konuma göre iç mimarlıkta bağlayıcı kararı bir detay tercihi değil, döngüsellik ile sağlık boyutunu aynı anda etkileyen kurucu bir karardır. Miselyum gibi kendi kendine bağlanan malzemelerin ilgi görmesinin nedeni de kısmen budur (Attias ve diğ., 2020).</w:t>
      </w:r>
    </w:p>
    <w:p>
      <w:pPr>
        <w:spacing w:after="160" w:line="360"/>
        <w:jc w:val="both"/>
      </w:pPr>
      <w:r>
        <w:rPr>
          <w:rFonts w:ascii="Times New Roman" w:cs="Times New Roman" w:eastAsia="Times New Roman" w:hAnsi="Times New Roman"/>
          <w:sz w:val="24"/>
          <w:szCs w:val="24"/>
        </w:rPr>
        <w:t xml:space="preserve">Beşinci başlıkta tanımlanan tersinir bağlantı özniteliğinin iç mekândaki karşılığı da buradadır. Bileşen bağımsız bir nesne olarak değil, sökülüp yeniden kurulabilen bir sistemin parçası olarak tasarlandığında ömür sonu senaryosu bir varsayım olmaktan çıkar.</w:t>
      </w:r>
    </w:p>
    <w:p>
      <w:pPr>
        <w:pStyle w:val="Heading2"/>
        <w:spacing w:after="170" w:before="320" w:line="360"/>
      </w:pPr>
      <w:r>
        <w:rPr>
          <w:rFonts w:ascii="Times New Roman" w:cs="Times New Roman" w:eastAsia="Times New Roman" w:hAnsi="Times New Roman"/>
          <w:b/>
          <w:bCs/>
          <w:color w:val="000000"/>
          <w:sz w:val="24"/>
          <w:szCs w:val="24"/>
        </w:rPr>
        <w:t xml:space="preserve">6.3. Deneyim ve bir uygulama örneği</w:t>
      </w:r>
    </w:p>
    <w:p>
      <w:pPr>
        <w:spacing w:after="160" w:line="360"/>
        <w:jc w:val="both"/>
      </w:pPr>
      <w:r>
        <w:rPr>
          <w:rFonts w:ascii="Times New Roman" w:cs="Times New Roman" w:eastAsia="Times New Roman" w:hAnsi="Times New Roman"/>
          <w:sz w:val="24"/>
          <w:szCs w:val="24"/>
        </w:rPr>
        <w:t xml:space="preserve">Kullanıcı ile malzeme arasındaki temas yalnızca teknik bir mesele değildir. Beşinci başlıkta anılan üç belirsizlik kaynağından üçüncüsü, yani malzemenin toplum tarafından kabulü (Karana ve diğ., 2018), iç mimarlık açısından özellikle belirleyicidir. Rognoli ve Ayala García’nın (2018) hatırlattığı gibi malzeme deneyimimiz koşullanmış bir deneyimdir, çünkü çevremizi saran nesnelerin neredeyse tamamı endüstriyel seri üretimden gelir. Koşullanma tekdüzeliği kalite ile, değişkenliği kusur ile özdeşleştiren bir beklenti üretir. Oysa biyolojik temelli malzemelerde değişkenlik malzemenin kimliğinin parçasıdır. İç mekân, kullanıcının malzemeye dokunduğu ve yaşlanmasını izlediği ölçek olduğundan,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Başlıkta tartışılan üç ilişki, yani ikame yerine malzemenin kendi niteliklerinden yola çıkılması, ömür sonu ve iç hava kaygısının bağlayıcı kararına yansıtılması ve bileşenin yeniden kurgulanabilir bir sistemin parçası olarak ele alınması, atık yumurta kabuğu ile doğal polimer esaslı bir bağlayıcı sistemden geliştirilen bir biyokompozit üzerinden tek bir örnekte birleşmiştir (Ünal, 2025). Söz konusu çalışmada malzeme bir ürün önerisi olarak değil tasarım aracı olarak ele alınmıştır. Teknik ve deneyimsel nitelikleri Malzeme Odaklı Tasarım yöntemiyle birlikte değerlendirilmiş, malzeme değişkenliği ise sökülüp yeniden kurulabilir modüler bir iç mekân sistemine aktarılmıştır.</w:t>
      </w:r>
    </w:p>
    <w:p>
      <w:pPr>
        <w:pStyle w:val="Heading1"/>
        <w:spacing w:after="220" w:before="440" w:line="360"/>
      </w:pPr>
      <w:r>
        <w:rPr>
          <w:rFonts w:ascii="Times New Roman" w:cs="Times New Roman" w:eastAsia="Times New Roman" w:hAnsi="Times New Roman"/>
          <w:b/>
          <w:bCs/>
          <w:color w:val="000000"/>
          <w:sz w:val="26"/>
          <w:szCs w:val="26"/>
        </w:rPr>
        <w:t xml:space="preserve">7. DEĞERLENDİRME ÇERÇEVESİ</w:t>
      </w:r>
    </w:p>
    <w:p>
      <w:pPr>
        <w:spacing w:after="160" w:line="360"/>
        <w:jc w:val="both"/>
      </w:pPr>
      <w:r>
        <w:rPr>
          <w:rFonts w:ascii="Times New Roman" w:cs="Times New Roman" w:eastAsia="Times New Roman" w:hAnsi="Times New Roman"/>
          <w:sz w:val="24"/>
          <w:szCs w:val="24"/>
        </w:rPr>
        <w:t xml:space="preserve">Önceki başlıklar kavramsal çerçeveyi, dirençlilik özniteliklerini ve iç mekândaki konumu ortaya koydu. Yedinci başlık tartışmayı değerlendirme düzlemine taşıyor.</w:t>
      </w:r>
    </w:p>
    <w:p>
      <w:pPr>
        <w:pStyle w:val="Heading2"/>
        <w:spacing w:after="170" w:before="320" w:line="360"/>
      </w:pPr>
      <w:r>
        <w:rPr>
          <w:rFonts w:ascii="Times New Roman" w:cs="Times New Roman" w:eastAsia="Times New Roman" w:hAnsi="Times New Roman"/>
          <w:b/>
          <w:bCs/>
          <w:color w:val="000000"/>
          <w:sz w:val="24"/>
          <w:szCs w:val="24"/>
        </w:rPr>
        <w:t xml:space="preserve">7.1. Potansiyeller ve gerilimler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kalıcı sınırlılıklar bildirir. İki tarafı ayrı ayrı sıralamak yanıltıcıdır, çünkü çoğu durumda potansiyel ile sınırlılık aynı özelliğin iki yüzüdür. Tablo 3 bu karşıtlıkları sekiz boyutta gösterir.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888"/>
        <w:gridCol w:w="3888"/>
      </w:tblGrid>
      <w:tr>
        <w:trPr>
          <w:cantSplit/>
          <w:tblHeader/>
        </w:trPr>
        <w:tc>
          <w:tcPr>
            <w:tcW w:type="dxa" w:w="12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 (Lee ve diğ., 2022). Atık alt tabaka ile organizma bileşiminin tasarlanabilmesi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 ve mineral yalıtkanlarla karşılaştırılabilir ısıl performans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 (Edalat, 2026). Uzun süreli dayanıklılık bilgisinin sınırlılığı (Chang ve diğ., 2020)</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ve ISO 19624 (Edalat, 2026)</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 (Edalat, 2026). Yönetsel boyutun araştırmada zayıf kalması (Pomponi ve Moncaster, 2017)</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 (Rios ve diğ., 2015). Ömür sonu planlaması ve toplama altyapısındaki boşluklar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 (Andréen ve Goidea, 2022)</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 (Kirchherr ve diğ., 2017)</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hava</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Sentetik bağlayıcı kullanılmayan bileşimlerde salım kaynağının ortadan kalkması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Formaldehit esaslı reçinelerin yonga levha, kontrplak ve yalıtım köpüğü üretiminde yaygın kullanımı (Salthammer ve diğ., 2010)</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 (Karana ve diğ., 2015). Öz üretimin tasarımcıya açtığı deney alanı (Rognoli ve diğ., 2015)</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 (Karana ve diğ., 2018). Endüstriyel üretimle koşullanmış tekdüzelik beklentisi (Rognoli ve Ayala García, 2018)</w:t>
            </w:r>
          </w:p>
        </w:tc>
      </w:tr>
    </w:tbl>
    <w:p>
      <w:pPr>
        <w:spacing w:after="160" w:line="360"/>
        <w:jc w:val="both"/>
      </w:pPr>
      <w:r>
        <w:rPr>
          <w:rFonts w:ascii="Times New Roman" w:cs="Times New Roman" w:eastAsia="Times New Roman" w:hAnsi="Times New Roman"/>
          <w:sz w:val="24"/>
          <w:szCs w:val="24"/>
        </w:rPr>
        <w:t xml:space="preserve">Tablodaki karşıtlıklar üç gerilimde toplanabilir. İlki değişkenlik ile standartlaşma arasındadır. Malzemenin tasarım açısından en değerli niteliği, kurumsal kabul açısından en büyük engelidir. İkinci gerilim yerellik ile ölçeklenebilirlik arasındadır. Yerel kaynaklara dayanabilmek önemli bir avantajdır, ancak aynı özellik merkezsiz tedarik zincirleri biçiminde pazar ölçeğinde bir dezavantaja dönüşür. Buna karşılık Rognoli ve diğ. (2015), kişisel üretim teknolojilerinin dağıtık üretim süreçleriyle deney yapmayı olanaklı kıldığını savunur. Merkezsizlik sanayi ölçeğinde bir engel, tasarım pratiği ölçeğinde ise bir olanaktır ve iç mimarlık görece küçük üretim adetleriyle çalıştığı için ikinci tarafa daha yakın durur.</w:t>
      </w:r>
    </w:p>
    <w:p>
      <w:pPr>
        <w:spacing w:after="160" w:line="360"/>
        <w:jc w:val="both"/>
      </w:pPr>
      <w:r>
        <w:rPr>
          <w:rFonts w:ascii="Times New Roman" w:cs="Times New Roman" w:eastAsia="Times New Roman" w:hAnsi="Times New Roman"/>
          <w:sz w:val="24"/>
          <w:szCs w:val="24"/>
        </w:rPr>
        <w:t xml:space="preserve">Üçüncü gerilim biyolojik dönüşebilirlik ile dayanıklılık arasındadır ve bölümün savını en açık biçimde sınar. Edalat (2026), koyun ve kenevir yünü gibi ham biyolojik yalıtkanların geri dönüştürülebilirlikleri nedeniyle ilgi gördüğünü, ancak zayıf yangın dayanımı ve yüksek maliyetle karşılaştığını aktarır. Mineral yünler ise tümüyle ve sınırsız biçimde yeni ürünlere geri dönüştürülebilir. Bu özgül karşılaştırmada biyolojik kökenli olmayan bir malzeme, biyolojik kökenli alternatifinden daha döngüsel davranır. Samanın tümüyle biyobozunur olması da kademeli bozunmaya açıklık demektir ve geri kazanımını güçleştirir. Biyobozunurluk kendi başına döngüsellik üretmez. Üç gerilimin hiçbiri kolay çözülür türden değildir ve bölüm bunları çözmeyi değil, karar sürecinde görünür kılmayı amaçlar.</w:t>
      </w:r>
    </w:p>
    <w:p>
      <w:pPr>
        <w:pStyle w:val="Heading2"/>
        <w:spacing w:after="170" w:before="320" w:line="360"/>
      </w:pPr>
      <w:r>
        <w:rPr>
          <w:rFonts w:ascii="Times New Roman" w:cs="Times New Roman" w:eastAsia="Times New Roman" w:hAnsi="Times New Roman"/>
          <w:b/>
          <w:bCs/>
          <w:color w:val="000000"/>
          <w:sz w:val="24"/>
          <w:szCs w:val="24"/>
        </w:rPr>
        <w:t xml:space="preserve">7.2. Altı boyutlu çerçeve</w:t>
      </w:r>
    </w:p>
    <w:p>
      <w:pPr>
        <w:spacing w:after="160" w:line="360"/>
        <w:jc w:val="both"/>
      </w:pPr>
      <w:r>
        <w:rPr>
          <w:rFonts w:ascii="Times New Roman" w:cs="Times New Roman" w:eastAsia="Times New Roman" w:hAnsi="Times New Roman"/>
          <w:sz w:val="24"/>
          <w:szCs w:val="24"/>
        </w:rPr>
        <w:t xml:space="preserve">Üç gerilim, bir malzemenin tek bir ölçüt kümesiyle değerlendirilemeyeceğini gösterir. Kirchherr ve diğ. (2017) döngüsellik tanımlarının çoğunun sistemsel değişimi vurgulamadığını saptar. Pomponi ve Moncaster (2017) yapılı çevrede döngüselliğin altı boyutta kurulduğunu ortaya koyar. Edalat (2026) ise yaşam döngüsü değerlendirmesine ve sera gazı azaltımına orantısız odaklanmanın tedarik zinciri dirençliliğini ve malzeme döngüselliğini ihmal ettiğine dikkat çeker. Üç saptama aynı yere varır. Eksik olan daha iyi bir malzeme listesi değildir,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çerçeve önerir. Çerçevenin kaynağı tek bir çalışma değildir, her boyut bölüm boyunca tartışılan farklı kaynak kümelerine dayanır. İlk üç boyut malzemenin maddi örgütlenmesini, son üç boyut ise malzemenin kullanıcıyla, zamanla ve kurumsal çevreyle ilişkisini kapsar. Çerçeve, literatürde doğrudan tanımlanmış mevcut bir modelin aktarımı değil, bu bölüm kapsamında geliştirilen kavramsal bir sentezdir.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300"/>
        <w:gridCol w:w="3276"/>
      </w:tblGrid>
      <w:tr>
        <w:trPr>
          <w:cantSplit/>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2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 Toklu (2017)</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Kullanım ve iç hava</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kullanım süresi boyunca iç ortama salım yapıyor mu? Nem ve biyolojik bozunmaya karşı davranışı biliniyor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Salthammer ve diğ. (2010); Chang ve diğ. (2020)</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ve kurumsal çerçeve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Bileşen onarılabiliyor mu? Malzemeyi destekleyen standart ve uzman ağı var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Pomponi ve Moncaster (2017)</w:t>
            </w:r>
          </w:p>
        </w:tc>
      </w:tr>
    </w:tbl>
    <w:p>
      <w:pPr>
        <w:spacing w:after="340" w:before="130" w:line="240"/>
      </w:pPr>
      <w:r>
        <w:rPr>
          <w:rFonts w:ascii="Times New Roman" w:cs="Times New Roman" w:eastAsia="Times New Roman" w:hAnsi="Times New Roman"/>
          <w:i/>
          <w:iCs/>
          <w:sz w:val="18"/>
          <w:szCs w:val="18"/>
        </w:rPr>
        <w:t xml:space="preserve">Çerçeve bu bölüm kapsamında geliştirilmiş kavramsal bir sentezdir.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Kahve atıklı duvar paneli örneği bunu açıkça gösterir. Bileşen atık kökenli tedarik boyutunu tümüyle karşılar, ömür sonu ve iç hava boyutlarını ise hiç karşılamaz. Deneyimsel performansı güçlü olmakla birlikte onarılamayan bir bileşen de son boyutu karşılamaz.</w:t>
      </w:r>
    </w:p>
    <w:p>
      <w:pPr>
        <w:pStyle w:val="Heading1"/>
        <w:spacing w:after="220" w:before="440" w:line="360"/>
      </w:pPr>
      <w:r>
        <w:rPr>
          <w:rFonts w:ascii="Times New Roman" w:cs="Times New Roman" w:eastAsia="Times New Roman" w:hAnsi="Times New Roman"/>
          <w:b/>
          <w:bCs/>
          <w:color w:val="000000"/>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 döngüsellik ve dirençlilik ölçütlerini birlikte ele alan bir tasarım yaklaşımı olarak nasıl kavramsallaştırılabileceğini tartıştı. Yürütülen inceleme, bu üç kavramın birbirinin yerine geçen eşanlamlılar olmadığını gösterdi. Birbirini kapsayan ve birbirine ölçüt ekleyen üç ayrı düzlem oluştururlar. Sürdürülebilirlik malzemenin çevresel etkisini azaltmayı hedefler. Döngüsellik malzemenin yaşam döngüsünü ve ömür sonu senaryosunu karar sürecine katar. Dirençlilik ise değerlendirmeye zamanı ve değişimi ekler. Şekil 1 üç düzlemi, her birinin sorduğu soruyu ve tek başına yetersiz kaldığı noktayı bir arada gösterir.</w:t>
      </w:r>
    </w:p>
    <w:p>
      <w:pPr>
        <w:spacing w:after="160" w:before="120"/>
        <w:jc w:val="center"/>
      </w:pPr>
      <w:r>
        <w:drawing>
          <wp:inline distT="0" distB="0" distL="0" distR="0">
            <wp:extent cx="47244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24400" cy="2524125"/>
                    </a:xfrm>
                    <a:prstGeom prst="rect">
                      <a:avLst/>
                    </a:prstGeom>
                  </pic:spPr>
                </pic:pic>
              </a:graphicData>
            </a:graphic>
          </wp:inline>
        </w:drawing>
      </w:r>
    </w:p>
    <w:p>
      <w:pPr>
        <w:keepNext/>
        <w:spacing w:after="140" w:before="400" w:line="240"/>
      </w:pPr>
      <w:r>
        <w:rPr>
          <w:rFonts w:ascii="Times New Roman" w:cs="Times New Roman" w:eastAsia="Times New Roman" w:hAnsi="Times New Roman"/>
          <w:sz w:val="22"/>
          <w:szCs w:val="22"/>
        </w:rPr>
        <w:t xml:space="preserve">Şekil 1. </w:t>
      </w:r>
      <w:r>
        <w:rPr>
          <w:rFonts w:ascii="Times New Roman" w:cs="Times New Roman" w:eastAsia="Times New Roman" w:hAnsi="Times New Roman"/>
          <w:i/>
          <w:iCs/>
          <w:sz w:val="22"/>
          <w:szCs w:val="22"/>
        </w:rPr>
        <w:t xml:space="preserve">Sürdürülebilirlik, döngüsellik ve dirençlilik: üç değerlendirme düzlemi</w:t>
      </w:r>
    </w:p>
    <w:p>
      <w:pPr>
        <w:spacing w:after="340" w:before="130" w:line="240"/>
      </w:pPr>
      <w:r>
        <w:rPr>
          <w:rFonts w:ascii="Times New Roman" w:cs="Times New Roman" w:eastAsia="Times New Roman" w:hAnsi="Times New Roman"/>
          <w:i/>
          <w:iCs/>
          <w:sz w:val="18"/>
          <w:szCs w:val="18"/>
        </w:rPr>
        <w:t xml:space="preserve">Sınır ifadeleri sırasıyla O’Rourke ve Seepersad (2015), Rios ve diğ. (2015) ile Chang ve diğ. (2020) çalışmalarına dayanmaktadır.</w:t>
      </w:r>
    </w:p>
    <w:p>
      <w:pPr>
        <w:spacing w:after="160" w:line="360"/>
        <w:jc w:val="both"/>
      </w:pPr>
      <w:r>
        <w:rPr>
          <w:rFonts w:ascii="Times New Roman" w:cs="Times New Roman" w:eastAsia="Times New Roman" w:hAnsi="Times New Roman"/>
          <w:sz w:val="24"/>
          <w:szCs w:val="24"/>
        </w:rPr>
        <w:t xml:space="preserve">Şekil 1 ile Tablo 4 arasındaki ilişki bölümün katkısını özetler. Şekil 1 neyin değerlendirildiğini, yani sürdürülebilirlikten dirençliliğe uzanan üç düzlemi gösterir. Tablo 4 ise bu düzlemlerin iç mekânda hangi somut sorularla sınanacağını verir. Kaynak, tedarik ve bileşim boyutları ilk iki düzleme, ömür sonu ile iç hava boyutları ikinci düzleme, deneyimsel performans ve dirençlilik boyutları üçüncü düzleme karşılık gelir.</w:t>
      </w:r>
    </w:p>
    <w:p>
      <w:pPr>
        <w:spacing w:after="160" w:line="360"/>
        <w:jc w:val="both"/>
      </w:pPr>
      <w:r>
        <w:rPr>
          <w:rFonts w:ascii="Times New Roman" w:cs="Times New Roman" w:eastAsia="Times New Roman" w:hAnsi="Times New Roman"/>
          <w:sz w:val="24"/>
          <w:szCs w:val="24"/>
        </w:rPr>
        <w:t xml:space="preserve">Bölümün ikinci saptaması üç düzlemin iç mimarlıkta kesiştiği noktadadır. Bu malzemelerin mevcut uygulamalarında iç mekân bileşenleri önemli bir yer tutar (Edalat, 2026) ve kullanım, bakım, onarım ile değiştirme de aynı ölçekte gerçekleşir. İç mimarlık bu nedenle söz konusu malzemeler için önemli bir uygulama ölçeğidir.</w:t>
      </w:r>
    </w:p>
    <w:p>
      <w:pPr>
        <w:spacing w:after="160" w:line="360"/>
        <w:jc w:val="both"/>
      </w:pPr>
      <w:r>
        <w:rPr>
          <w:rFonts w:ascii="Times New Roman" w:cs="Times New Roman" w:eastAsia="Times New Roman" w:hAnsi="Times New Roman"/>
          <w:sz w:val="24"/>
          <w:szCs w:val="24"/>
        </w:rPr>
        <w:t xml:space="preserve">Önerilen çerçevenin sınırlılıklarını açıkça belirtmek gerekir. Öneri kuramsal düzeyde kalmakta ve tasarım pratiğinde sınanmamıştır. Deneyimsel performans ile dirençlilik boyutları için yerleşik bir ölçüm yaklaşımı yoktur. Daha önemlisi, bölümün iç mimarlığa ilişkin savı büyük ölçüde çıkarımsaldır. İç mekân ölçeğine özgü doğrudan ampirik literatür sınırlıdır ve buradaki sav, yapı ölçeği ile ürün tasarımı literatüründen türetilmiştir. Savın sınanması iç mekân bileşenleri üzerinde alan çalışmaları gerektirir.</w:t>
      </w:r>
    </w:p>
    <w:p>
      <w:pPr>
        <w:spacing w:after="160" w:line="360"/>
        <w:jc w:val="both"/>
      </w:pPr>
      <w:r>
        <w:rPr>
          <w:rFonts w:ascii="Times New Roman" w:cs="Times New Roman" w:eastAsia="Times New Roman" w:hAnsi="Times New Roman"/>
          <w:sz w:val="24"/>
          <w:szCs w:val="24"/>
        </w:rPr>
        <w:t xml:space="preserve">Buradan bir araştırma gündemi doğar. Deneyimsel performans ve dirençlilik boyutları için ölçülebilir yaklaşımlar geliştirilmeli, iç mekân bileşenlerinde tersinir birleşim detayları araştırılmalıdır (Rios ve diğ., 2015). Biyolojik temelli bileşenlerin uzun süreli davranışı izlenmelidir (Chang ve diğ., 2020). Türkiye özelinde ise tarımsal artıkların iç mekân bileşenine dönüştürülmesi öncelikli bir araştırma alanıdır (Toklu, 2017).</w:t>
      </w:r>
    </w:p>
    <w:p>
      <w:pPr>
        <w:spacing w:after="160" w:line="360"/>
        <w:jc w:val="both"/>
      </w:pPr>
      <w:r>
        <w:rPr>
          <w:rFonts w:ascii="Times New Roman" w:cs="Times New Roman" w:eastAsia="Times New Roman" w:hAnsi="Times New Roman"/>
          <w:sz w:val="24"/>
          <w:szCs w:val="24"/>
        </w:rPr>
        <w:t xml:space="preserve">Son olarak, bu yaklaşımın ima ettiği değişim malzeme listelerinin yenilenmesinden daha kapsamlıdır. Malzeme seçiminden malzeme tasarımına kayma, tasarımcının malzemeyle kurduğu ilişkinin yeniden tanımlanması demektir (Camere ve Karana, 2018). Heymans ve diğ. (2019) dönüşümün yönünü de gösterir. Sistemin sürdürülebilirliği dirençlilik kapasitesine bağlıdır ve bu kapasite kentlerin insan ve insan-dışı tüm sakinlerini kapsamak durumundadır. İç mekân bu ilişkinin gündelik ölçekte kurulduğu yerdir ve dönüşümün hem sınanacağı hem görünür olacağı alandır.</w:t>
      </w:r>
    </w:p>
    <w:p>
      <w:pPr>
        <w:pStyle w:val="Heading1"/>
        <w:spacing w:after="220" w:before="440" w:line="360"/>
      </w:pPr>
      <w:r>
        <w:rPr>
          <w:rFonts w:ascii="Times New Roman" w:cs="Times New Roman" w:eastAsia="Times New Roman" w:hAnsi="Times New Roman"/>
          <w:b/>
          <w:bCs/>
          <w:color w:val="000000"/>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Askar, R., Bragança, L. ve Gervásio, H. (2021). Adaptability of buildings: A critical review on the concept evolution. </w:t>
      </w:r>
      <w:r>
        <w:rPr>
          <w:rFonts w:ascii="Times New Roman" w:cs="Times New Roman" w:eastAsia="Times New Roman" w:hAnsi="Times New Roman"/>
          <w:i/>
          <w:iCs/>
          <w:sz w:val="24"/>
          <w:szCs w:val="24"/>
        </w:rPr>
        <w:t xml:space="preserve">Applied Sciences, 11</w:t>
      </w:r>
      <w:r>
        <w:rPr>
          <w:rFonts w:ascii="Times New Roman" w:cs="Times New Roman" w:eastAsia="Times New Roman" w:hAnsi="Times New Roman"/>
          <w:i w:val="false"/>
          <w:iCs w:val="false"/>
          <w:sz w:val="24"/>
          <w:szCs w:val="24"/>
        </w:rPr>
        <w:t xml:space="preserve">(10), 4483. https://doi.org/10.3390/app11104483</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Salthammer, T., Mentese, S. ve Marutzky, R. (2010). Formaldehyde in the indoor environment. </w:t>
      </w:r>
      <w:r>
        <w:rPr>
          <w:rFonts w:ascii="Times New Roman" w:cs="Times New Roman" w:eastAsia="Times New Roman" w:hAnsi="Times New Roman"/>
          <w:i/>
          <w:iCs/>
          <w:sz w:val="24"/>
          <w:szCs w:val="24"/>
        </w:rPr>
        <w:t xml:space="preserve">Chemical Reviews, 110</w:t>
      </w:r>
      <w:r>
        <w:rPr>
          <w:rFonts w:ascii="Times New Roman" w:cs="Times New Roman" w:eastAsia="Times New Roman" w:hAnsi="Times New Roman"/>
          <w:i w:val="false"/>
          <w:iCs w:val="false"/>
          <w:sz w:val="24"/>
          <w:szCs w:val="24"/>
        </w:rPr>
        <w:t xml:space="preserve">(4), 2536–2572. https://doi.org/10.1021/cr800399g</w:t>
      </w:r>
    </w:p>
    <w:p>
      <w:pPr>
        <w:spacing w:after="140" w:line="360"/>
        <w:ind w:left="567" w:hanging="567"/>
        <w:jc w:val="left"/>
      </w:pPr>
      <w:r>
        <w:rPr>
          <w:rFonts w:ascii="Times New Roman" w:cs="Times New Roman" w:eastAsia="Times New Roman" w:hAnsi="Times New Roman"/>
          <w:i w:val="false"/>
          <w:iCs w:val="false"/>
          <w:sz w:val="24"/>
          <w:szCs w:val="24"/>
        </w:rPr>
        <w:t xml:space="preserve">Toklu, E. (2017). Biomass energy potential and utilization in Turkey. </w:t>
      </w:r>
      <w:r>
        <w:rPr>
          <w:rFonts w:ascii="Times New Roman" w:cs="Times New Roman" w:eastAsia="Times New Roman" w:hAnsi="Times New Roman"/>
          <w:i/>
          <w:iCs/>
          <w:sz w:val="24"/>
          <w:szCs w:val="24"/>
        </w:rPr>
        <w:t xml:space="preserve">Renewable Energy, 107</w:t>
      </w:r>
      <w:r>
        <w:rPr>
          <w:rFonts w:ascii="Times New Roman" w:cs="Times New Roman" w:eastAsia="Times New Roman" w:hAnsi="Times New Roman"/>
          <w:i w:val="false"/>
          <w:iCs w:val="false"/>
          <w:sz w:val="24"/>
          <w:szCs w:val="24"/>
        </w:rPr>
        <w:t xml:space="preserve">, 235–244. https://doi.org/10.1016/j.renene.2017.01.044</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93b8a594cdc4eb34e5bc72411b61ef1072ada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2026-10-04T09:52:26.911Z</dcterms:created>
  <dcterms:modified xsi:type="dcterms:W3CDTF">2026-10-04T09:52:26.911Z</dcterms:modified>
</cp:coreProperties>
</file>

<file path=docProps/custom.xml><?xml version="1.0" encoding="utf-8"?>
<Properties xmlns="http://schemas.openxmlformats.org/officeDocument/2006/custom-properties" xmlns:vt="http://schemas.openxmlformats.org/officeDocument/2006/docPropsVTypes"/>
</file>