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Adaptasyon, değişkenlik ve zamansallık özellikleri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İkincisi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i/>
          <w:iCs/>
          <w:sz w:val="24"/>
          <w:szCs w:val="24"/>
        </w:rPr>
        <w:t xml:space="preserve">Araştırma sorusu: </w:t>
      </w:r>
      <w:r>
        <w:rPr>
          <w:rFonts w:ascii="Times New Roman" w:cs="Times New Roman" w:eastAsia="Times New Roman" w:hAnsi="Times New Roman"/>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i/>
          <w:iCs/>
          <w:sz w:val="24"/>
          <w:szCs w:val="24"/>
        </w:rPr>
        <w:t xml:space="preserve">Hipotez: </w:t>
      </w:r>
      <w:r>
        <w:rPr>
          <w:rFonts w:ascii="Times New Roman" w:cs="Times New Roman" w:eastAsia="Times New Roman" w:hAnsi="Times New Roman"/>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 Buna bağlı olarak bir malzemenin döngüselliği ve dirençliliği biyolojik kökeninde değil, tasarım aşamasında verilen bileşim, birleşim ve ömür sonu kararlarında belirlenmektedir.</w:t>
      </w:r>
    </w:p>
    <w:p>
      <w:pPr>
        <w:spacing w:after="160" w:line="360"/>
        <w:jc w:val="both"/>
      </w:pPr>
      <w:r>
        <w:rPr>
          <w:rFonts w:ascii="Times New Roman" w:cs="Times New Roman" w:eastAsia="Times New Roman" w:hAnsi="Times New Roman"/>
          <w:sz w:val="24"/>
          <w:szCs w:val="24"/>
        </w:rPr>
        <w:t xml:space="preserve">Bölüm bu soruyu altı adımda ele almaktadır: biyotasarım kavramının komşu kavramlardan ayrımı (Tablo 1), biyolojik temelli malzemelerin sınıflandırılması (Tablo 2), döngüsel malzeme sistemleri, dirençlilik tartışması, iç mekân ölçeğine geçiş ve bir değerlendirme çerçevesi önerisi (Tablo 3 ve Tablo 4). Sekizinci başlık bulguları üç düzlemde toparlar (Tablo 5).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Tespit, Türkçe literatür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 Ayrım kavramsal olarak belirleyicidir: biyotasarım tasarımcının pratiğini, biyolojik tasarım ise doğanın kendi sürecini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sz w:val="24"/>
          <w:szCs w:val="24"/>
        </w:rPr>
        <w:t xml:space="preserve">Andréen ve Goidea (2022), biyolojik tasarımı bir model olarak alarak dört tasarım ilkesi türetmektedir. Birincisi çeşitlilik, ikincisi biçimin karmaşıklığı ve özgüllüğü, üçüncüsü dirençlilik yoluyla dayanıklılık, dördüncüsü geri besleme ve uyarlanmadır. Yazarlar bu ilkelerin kendi başlarına yeni olmadığını özellikle vurgulamaktadır: modern inşaat sanayisinin doğuşundan önce mimarlık uzun süre bu stratejilerle üretilmiş; hem tarihsel hem güncel vernaküler mimarlık bu stratejileri büyük ölçüde içermiştir (Andréen ve Goidea, 2022). İlkelerden üçüncüsü, beşinci başlıkta ayrıntılandırılacağı üzere, biyomalzemelerle çalışmanın kuramsal gerekçesini oluşturmaktadır.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gelmektedir. Kırbaş Akyürek ve diğ.’nin (2020) belirttiği gibi biyomimikrinin temel amacı biyolojik süreçleri teknolojilere çevirmektir; bu yaklaşımda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 bu ayrım, izleyen başlıkta malzemelerin sınıflandırılmasında da belirleyici olacaktır.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biyolojide tasarımcılar yeni biyolojik organizmalar tasarlamak üzere hücrelerin yeniden mühendisliğini amaçlar; biyotasarım kurgusunda biyoteknolojik geleceklerin sonuçları spekülatif senaryolar ve deneyimsel prototiplerle tartışmaya açılır; dijital biyofabrikasyonda biyolojik araçlar ileri hesaplama teknolojileriyle birleştirilir; büyüyen tasarım ise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biyomimikri, biyolojik temelli, canlı</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biyomimikri temelli, biyolojik temelli ve canlı malzeme tasarımları. Birinci kategori, ikinci başlıkta ele alınan biyomimikri yaklaşımının malzeme ölçeğindeki karşılığıdır. Ayrımın belirleyici ölçütü, doğanın tasarım sürecine hangi düzeyde dahil olduğudur. Biyomimikri temelli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Attias ve diğ. (2020) · ³ Tyagi ve Jain (2026) · ⁴ Rios ve diğ. (2015);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malzemelerin düşük etkili iç mekân uygulamalarında merkezî konumunu koruduğunu; buna karşılık miselyum, bakteriyel selüloz ve alg gibi biyofabrike malzemelerin deneysel araştırmalara hâkim olduğunu ortaya koymaktadır. Alan, bir yanda köklü bir yapı kültürüne, diğer yanda henüz laboratuvar aşamasındaki bir araştırma gündemine yaslanmaktadır. 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her organizma için birer vaka incelemesi seçmiş ve çok disiplinli uzmanlarla görüşmeler yürütmüşlerdir. En dikkat çekici bulguları şudur: canlı organizmalardan yeni malzeme ya da tasarım bileşeni geliştirilmesi, ölçek, çok katmanlılık ve gereksinimlerden kaynaklanan kısıtlar nedeniyle mimarlık ve inşaatta, tekstil ve ürün tasarımına kıyasla daha güç gerçekleşmektedir. Ölçek, canlı malzemelerin yapılı çevreye girişinde belirleyici bir eşiktir; taşıyıcı olmayan, görece küçük ölçekli iç mekân bileşenleri bu nedenle öncelikli bir uygulama alanı oluşturabilir.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almaktadır: malzeme deneyimimiz, çevremizi saran nesnelerin neredeyse tamamının endüstriyel seri üretimden gelmesi nedeniyle koşullanmış bir deneyimdir; malzeme geliştirme ise büyük ölçüde stratejik sektörlerdeki teknik sorunların çözümü ile ölçeklenebilir uygun maliyetli çözüm arayışının denetimindedir.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 114 tanımı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w:t>
      </w:r>
    </w:p>
    <w:p>
      <w:pPr>
        <w:spacing w:after="160" w:line="360"/>
        <w:jc w:val="both"/>
      </w:pPr>
      <w:r>
        <w:rPr>
          <w:rFonts w:ascii="Times New Roman" w:cs="Times New Roman" w:eastAsia="Times New Roman" w:hAnsi="Times New Roman"/>
          <w:sz w:val="24"/>
          <w:szCs w:val="24"/>
        </w:rPr>
        <w:t xml:space="preserve">Yapılı çevre özelinde Pomponi ve Moncaster (2017), yapı araştırmalarında döngüsel ekonomiyi tanımlayan altı temel boyut belirlemektedir: çevresel, teknolojik, ekonomik, toplumsal, yönetsel ve davranışsal. Yazarlara göre bu boyutları bir araya getiren başvuru çerçevesi, mevcut girişimleri kümelemek ve disiplinler arası çalışmalar için eksik bağlantıları görünür kılmak bakımından değerli bir araçtır.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 akımlarının kaynağa dönüşmesi</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Ahşabın erişilebilirliği bölgesel olarak kısıtlıyken ahşap dışı tarımsal kaynaklar çok daha yaygındır; bu dağılım, ahşap kaynakları sınırlı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Döngüselliğin tasarım aşamasında kararlaşması</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Yazarların amacı, söz konusu kuram ile uygulama arasındaki boşluğu ortaya koymaktır. Boşluğun kaynağı tasarım aşamasıdır: Edalat (2026) de malzeme tedariki, sökülebilirlik için tasarım ve bağlayıcı türünün — doğal, sentetik ya da hiç kullanılmamış olması —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Edalat, 2026). Buna karşılık aynı atık, sentetik bir reçineyle bağlandığında döngüsellik iddiası ortadan kalkar; altıncı başlıkta aktarılan iç mekân duvar paneli örneği bu durumu göstermektedir.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bulunmaktadır (O’Rourke ve Seepersad, 2015) ve biyokompozitlerin uzun süreli dayanıklılığına ilişkin bilgi sınırlıdır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 iki grubun tamamlayıcı güçlerinin bütünleştirilmesi döngüselliğe daha dirençli bir yol sunmaktadır (Edalat, 2026). Tartışmanın malzeme ölçeğinden mekân ölçeğine taşınmasını gerektiren nokta da burasıdır.</w:t>
      </w:r>
    </w:p>
    <w:p>
      <w:pPr>
        <w:pStyle w:val="Heading1"/>
        <w:spacing w:after="220" w:before="440" w:line="360"/>
      </w:pPr>
      <w:r>
        <w:rPr>
          <w:rFonts w:ascii="Times New Roman" w:cs="Times New Roman" w:eastAsia="Times New Roman" w:hAnsi="Times New Roman"/>
          <w:b/>
          <w:bCs/>
          <w:sz w:val="26"/>
          <w:szCs w:val="26"/>
        </w:rPr>
        <w:t xml:space="preserve">5. ADAPTASYON, DEĞİŞKENLİK VE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taşıdığı üç özellik — adaptasyon, değişkenlik ve zamansallık —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Dirençliliğin iki tanımı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57 makale üzerinden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 Andréen ve Goidea (2022) aynı ayrımı malzeme ölçeğinde kurmakta; mühendislik dirençliliği olarak adlandırılan birinci tanımın daha çok doğrusal sistemler ile değişime direnmenin amaçlandığı bağlamlar için geçerli olduğunu belirtmektedir.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Biyomalzemeden dirençli mekâna</w:t>
      </w:r>
    </w:p>
    <w:p>
      <w:pPr>
        <w:spacing w:after="160" w:line="360"/>
        <w:jc w:val="both"/>
      </w:pPr>
      <w:r>
        <w:rPr>
          <w:rFonts w:ascii="Times New Roman" w:cs="Times New Roman" w:eastAsia="Times New Roman" w:hAnsi="Times New Roman"/>
          <w:sz w:val="24"/>
          <w:szCs w:val="24"/>
        </w:rPr>
        <w:t xml:space="preserve">Dirençliliğin ne anlama geldiği belirlendikten sonra sorulması gereken soru şudur: biyolojik temelli malzemeler tasarım sürecine girdiğinde bu süreçte ne değişir? Değişimin ilk durağı tasarımcının konumudur. Barati ve Karana (2019), tasarımcı ile malzeme bilimcisi arasındaki erken aşama ortak projelerini inceledikleri çalışmalarında yaratıcılığın tasarımcının zihnine ait bir yeti olmadığını, tasarımcı ile maddi dünya arasında dağılmış bir süreç olduğunu ileri sürmekte; geliştirdikleri malzeme potansiyeli olarak olanaklar kavramıyla odağı tasarımcının yapma ve üretme edimlerine kaydırmaktadır. Tasarımcının işi böylece bir listeden seçim yapmak değil, malzemenin neye olanak tanıdığını üretim yoluyla keşfetmek hâline gelir; keşfedilen şey ise çoğu zaman değişkenliktir. Goidea ve diğ. (2022), miselyum biyokompozitlerde tür seçiminin hem üretim sürecini hem nesnenin performansını değiştirdiğini göstermektedir; değişkenlik burada bir kusur değil, tasarımcının üzerinde çalıştığı parametre kümesidir. Değişkenliğin ikizi ise zamandır: Karana ve diğ. (2018), malzemenin kendine özgü zamansallığını tasarımcının baş etmek zorunda olduğu üç belirsizlikten biri olarak saymakta; Chang ve diğ. (2020) bu zamanın nasıl işlediğine ilişkin bilginin oldukça sınırlı kaldığını ortaya koymaktadır. Zamanın tasarıma girmesinin doğrudan sonucu, bakımın bir tasarım kararına dönüşmesidir; Graham ve Thrift (2007), yerleşik kültürel kurguların onarım ve bakımı dikkat alanının dışına ittiğini belirtmektedir, oysa biyolojik temelli malzemelerde bakım kullanımın kesintiye uğraması değil koşuludur.</w:t>
      </w:r>
    </w:p>
    <w:p>
      <w:pPr>
        <w:spacing w:after="160" w:line="360"/>
        <w:jc w:val="both"/>
      </w:pPr>
      <w:r>
        <w:rPr>
          <w:rFonts w:ascii="Times New Roman" w:cs="Times New Roman" w:eastAsia="Times New Roman" w:hAnsi="Times New Roman"/>
          <w:sz w:val="24"/>
          <w:szCs w:val="24"/>
        </w:rPr>
        <w:t xml:space="preserve">Bu kavramların mekân ölçeğindeki karşılığı için önce bir ayrım gerekir. Walker ve diğ. (2004), dirençliliği sistemin bozulmayı soğurma ve yeniden örgütlenerek esasen aynı işlevi, yapıyı ve kimliği koruma kapasitesi; uyarlanabilirliği sistemdeki insan aktörlerin dirençliliği yönetme konusundaki ortak kapasitesi; dönüşebilirliği ise koşullar mevcut sistemi sürdürülemez kıldığında temelden yeni bir sistem yaratma kapasitesi olarak ayırt etmektedir. İç mimarlıkta bunlar sırasıyla mekânsal sistemin özelliği, kullanıcı ile tasarımcının kapasitesi ve mekânın bütünüyle başka bir kurguya geçebilme olanağıdır. Dirençliliğin hangi özelliklerle kurulduğu sorusuna ise Biggs ve diğ. (2012) yanıt vermektedir; yazarların ekosistem hizmetlerinin dirençliliğini güçlendirmek üzere tanımladığı yedi ilkenin ilk ikisi çeşitlilik ile yedekliliğin korunması ve bağlantısallığın yönetilmesidir. İç mekân ölçeğine aktarıldığında dört tasarım özelliği ortaya çıkar. Çeşitlilik ve yedeklilik, yerel bir bozulmanın bütüne yayılmasını engeller. Tersinir birleşimler bir bileşenin ötekini bozmadan değiştirilmesine olanak tanır; Rios ve diğ. (2015), sökülebilirlik için tasarım ilkelerine ilişkin kapsamlı kılavuzlar bulunmasına karşın bu alanda geliştirilmiş yapı sayısının çok az kaldığını belirtmektedir. Onarılabilirlik, bakımı kullanıcının yapabileceği bir işe dönüştürür. Uyarlanabilirlik ve dönüşebilirlik ise kurgunun yeniden düzenlenebilmesini ve gerektiğinde başka bir işleve geçebilmesini sağlar.</w:t>
      </w:r>
    </w:p>
    <w:p>
      <w:pPr>
        <w:spacing w:after="160" w:line="360"/>
        <w:jc w:val="both"/>
      </w:pPr>
      <w:r>
        <w:rPr>
          <w:rFonts w:ascii="Times New Roman" w:cs="Times New Roman" w:eastAsia="Times New Roman" w:hAnsi="Times New Roman"/>
          <w:sz w:val="24"/>
          <w:szCs w:val="24"/>
        </w:rPr>
        <w:t xml:space="preserve">Dört özellik ancak ölçekler arası okunduğunda anlam kazanır. Goidea ve diğ. (2022), değişken ölçekler, sistemler ve malzemeler arasındaki karşılıklı bağımlılığın doğrusal olmayan etkileşimler ve hızla artan karmaşıklık ürettiğini belirtmektedir; dolayısıyla bir bileşenin dirençliliği, bağlı olduğu sistemin dirençliliğinden ayrı değerlendirilemez. Buradan çıkan sonuç, döngüsellik ile dirençliliğin eş anlamlı olmadığı; ancak çeşitlilik, tersinir bağlantı, onarılabilirlik ve uyarlanabilirlik gibi ortak tasarım özellikleri üzerinden birbirini destekleyen iki yaklaşım oluşturduğudur. Yedinci başlıkta önerilen değerlendirme çerçevesinin dirençlilik boyutu bu dört özellik üzerine kurulmaktadır.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sanıldığından daha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iç mekân tasarımında biyolojik temelli ve yenileyici malzemeler üzerine yürüttüğü sistematik derleme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 Rios ve diğ.’nin (2015) sökülebilirlik için tasarım ilkelerinin kuramda yerleşmiş olmasına karşın uygulamada çok az karşılık bulduğuna ilişkin saptaması, bu boşluğun yapı ölçeğinde de geçerli olduğunu göstermektedir.</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döngüsel ekonominin kullanım, onarım ve yeniden kullanım aşamaları yeterince araştırılmamış ve büyük ölçüde bağlama bağlıdır.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sz w:val="24"/>
          <w:szCs w:val="24"/>
        </w:rPr>
        <w:t xml:space="preserve">Bu temas yalnızca teknik bir mesele değildir. Beşinci başlıkta anılan üç belirsizlik kaynağından üçüncüsü — malzemenin toplum tarafından kabulü (Karana ve diğ., 2018) —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 Teknik performans değerleri bu bölümün kapsamı dışındadır.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dönüşmesi¹; atık alt tabaka ile organizma bileşiminin tasarlanabilmesi²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kapasitesi⁴; mineral yalıtkanlarla karşılaştırılabilir ısıl performans³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dayanımı³; uzun süreli dayanıklılık bilgisinin sınırlılığı⁵</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ISO 19624)³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eksikliği³; yönetsel boyutun araştırmada zayıf kalması⁶</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olması⁷; ömür sonu planlaması ve toplama altyapısındaki boşluklar³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olması⁸</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oluşturması¹⁰; öz üretimin tasarımcıya açtığı deney alanı¹¹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belirsizlik¹²; endüstriyel üretimle koşullanmış tekdüzelik beklentisi¹³</w:t>
            </w:r>
          </w:p>
        </w:tc>
      </w:tr>
    </w:tbl>
    <w:p>
      <w:pPr>
        <w:spacing w:after="340" w:before="130" w:line="240"/>
      </w:pPr>
      <w:r>
        <w:rPr>
          <w:rFonts w:ascii="Times New Roman" w:cs="Times New Roman" w:eastAsia="Times New Roman" w:hAnsi="Times New Roman"/>
          <w:i/>
          <w:iCs/>
          <w:sz w:val="18"/>
          <w:szCs w:val="18"/>
        </w:rPr>
        <w:t xml:space="preserve">¹ Lee ve diğ. (2022) · ² Attias ve diğ. (2020) · ³ Edalat (2026) · ⁴ Bourbia ve diğ. (2023) · ⁵ Chang ve diğ. (2020) · ⁶ Pomponi ve Moncaster (2017) · ⁷ Rios ve diğ. (2015) · ⁸ Andréen ve Goidea (2022) · ⁹ Kirchherr ve diğ. (2017) · ¹⁰ Karana ve diğ. (2015) · ¹¹ Rognoli ve diğ. (2015) · ¹² Karana ve diğ. (2018) · ¹³ Rognoli ve Ayala García (2018)</w:t>
      </w:r>
    </w:p>
    <w:p>
      <w:pPr>
        <w:spacing w:after="160" w:line="360"/>
        <w:jc w:val="both"/>
      </w:pPr>
      <w:r>
        <w:rPr>
          <w:rFonts w:ascii="Times New Roman" w:cs="Times New Roman" w:eastAsia="Times New Roman" w:hAnsi="Times New Roman"/>
          <w:sz w:val="24"/>
          <w:szCs w:val="24"/>
        </w:rPr>
        <w:t xml:space="preserve">Tablo 3’ün okunma biçimi, çerçeve önerisinin de gerekçesini vermektedir. Yedi boyutun beşi malzemenin kendisine, kaynağına ve kurumsal çevresine ilişkindir; yalnızca son boyut kullanıcıyla kurulan ilişkiyi kapsar. Buna karşılık iç mimarlıkta malzeme kararını belirleyen etkenlerin önemli bir bölümü bu son boyutta toplanmaktadır.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sz w:val="24"/>
          <w:szCs w:val="24"/>
        </w:rPr>
        <w:t xml:space="preserve">Birincisi değişkenlik ile standartlaşma arasındadır. Biyolojik temelli malzemelerin tasarım açısından en değerli niteliği olan değişkenlik, kurumsal kabul açısından en büyük engelini oluşturmaktadır. Edalat (2026), ahşap dışı malzemelerin çoğunun standartlaşmış kodlardan, kamusal farkındalıktan ve uzmanlaşmış yüklenici ağından yoksun olduğunu; tek belirgin istisnanın yapısal standartların getirilmesiyle uluslararası tanınırlık kazanan bambu olduğunu, ahşabın ise kodlar ve nitelikli işgücüyle desteklenen yerleşik konumu sayesinde daha fazla yeniden kullanım ve geri dönüşüme olanak tanıdığını belirtmektedir. Pomponi ve Moncaster’ın (2017) çerçevesi bu durumu açıklamaktadır: döngüsellik yönetsel ve davranışsal boyutları da kapsar;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İkincisi yerellik ile ölçeklenebilirlik arasındadır. Biyolojik temelli üretimin yerel kaynaklara dayanabilmesi önemli bir avantajdır; ancak bu avantaj pazar ölçeğinde bir dezavantaja dönüşebilmektedir. Edalat (2026), üretim ve dağıtım aşamalarında yüksek maliyetler, sınırlı pazar payı, merkezsiz ve parçalı tedarik zincirleri, düşük pazar şeffaflığı ve uzmanlaşmış işgücü kıtlığı gibi kalıcı güçlükler saptamaktadır. Buna karşılık Rognoli ve diğ. (2015), kişisel üretim teknolojilerinin yaygınlaşmasının dağıtık ve paylaşımlı üretim süreçleriyle deney yapmayı olanaklı kıldığını göstermektedir. İki saptama birlikte okunduğunda, merkezsizliğin sanayi ölçeğinde bir engel, tasarım pratiği ölçeğinde ise bir olanak oluşturduğu görülmektedir.</w:t>
      </w:r>
    </w:p>
    <w:p>
      <w:pPr>
        <w:spacing w:after="160" w:line="360"/>
        <w:jc w:val="both"/>
      </w:pPr>
      <w:r>
        <w:rPr>
          <w:rFonts w:ascii="Times New Roman" w:cs="Times New Roman" w:eastAsia="Times New Roman" w:hAnsi="Times New Roman"/>
          <w:sz w:val="24"/>
          <w:szCs w:val="24"/>
        </w:rPr>
        <w:t xml:space="preserve">Üçüncüsü biyolojik dönüşebilirlik ile dayanıklılık arasındadır ve bölümün hipotezini en açık biçimde sınayan gerilimdir. Edalat (2026), koyun ve kenevir yünü gibi ham biyolojik yalıtkanların geri dönüştürülebilirlik ve mineral esaslı yalıtkanlarla karşılaştırılabilir ısıl performans nedeniyle ilgi görmesine karşın zayıf yangın dayanımı ve yüksek maliyetle karşılaştığını; buna karşılık mineral yünlerin tümüyle ve sınırsız biçimde yeni ürünlere geri dönüştürülebildiğini ve bu nedenle kapalı döngü uygulamalarıyla daha etkili biçimde örtüştüğünü aktarmaktadır. Yani bu özgül karşılaştırmada, biyolojik kökenli olmayan bir malzeme, biyolojik kökenli alternatifinden daha döngüsel davranmaktadır. Samanın tümüyle biyobozunur olması da zamanla kademeli bozunmaya açıklık anlamına gelmekte ve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Altı boyutlu bir değerlendirme çerçevesi</w:t>
      </w:r>
    </w:p>
    <w:p>
      <w:pPr>
        <w:spacing w:after="160" w:line="360"/>
        <w:jc w:val="both"/>
      </w:pPr>
      <w:r>
        <w:rPr>
          <w:rFonts w:ascii="Times New Roman" w:cs="Times New Roman" w:eastAsia="Times New Roman" w:hAnsi="Times New Roman"/>
          <w:sz w:val="24"/>
          <w:szCs w:val="24"/>
        </w:rPr>
        <w:t xml:space="preserve">Yukarıdaki üç gerilim, bir malzemenin tek bir ölçüt kümesiyle değerlendirilemeyeceğini göstermektedir. Kirchherr ve diğ. (2017), döngüsellik tanımlarının çoğunun sistemsel değişimi vurgulamadığını; Pomponi ve Moncaster (2017) ise yapılı çevrede döngüselliğin altı boyutta kurulduğunu ortaya koymaktadır. Edalat (2026) de malzeme tasarımcılarının yaşam döngüsü değerlendirmesine ve sera gazı azaltımına orantısız biçimde odaklanmasının tedarik zinciri dirençliliği ve malzeme döngüselliği gibi en az onun kadar hayati yönleri ihmal ettiğini belirtmektedir.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400"/>
        <w:gridCol w:w="31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1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Birleşimler tersinir mi? Bileşen onarılabiliyor mu? Mekân uyarlanabilir ve dönüşebilir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Rios ve diğ. (2015)</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340" w:before="130" w:line="240"/>
      </w:pPr>
      <w:r>
        <w:rPr>
          <w:rFonts w:ascii="Times New Roman" w:cs="Times New Roman" w:eastAsia="Times New Roman" w:hAnsi="Times New Roman"/>
          <w:i/>
          <w:iCs/>
          <w:sz w:val="18"/>
          <w:szCs w:val="18"/>
        </w:rPr>
        <w:t xml:space="preserve">Çerçeve bu bölümün önerisidir; boyutların dayandığı saptamalar belirtilen kaynaklardan alınmıştır.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altıncı başlıkta aktarılan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sökülebilirlik ilkeleri uygulamaya geçmemiştir²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Çeşitlilik ve yedeklilik, tersinir bağlantı, onarılabilirlik, uyarlanabilirlik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Kirchherr ve diğ. (2017); Rios ve diğ. (2015) · ³ Walker ve diğ. (2004); Biggs ve diğ. (2012); Chang ve diğ. (2020)</w:t>
      </w:r>
    </w:p>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Boyutların her biri için ölçülebilir bir değerlendirme yöntemi henüz bulunmamakta; özellikle deneyimsel performans ve dirençlilik kapasitesi için yerleşik bir ölçüm yaklaşımı yoktur.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Deneyimsel performans ve dirençlilik kapasitesi boyutları için ölçülebilir değerlendirme yaklaşımları geliştirilmeli; Biggs ve diğ.’nin (2012) ekolojik ölçekte tanımladığı ilkelerin iç mekân bileşenlerine nasıl uyarlanacağı ayrıca çalışılmalı; iç mekân bileşenlerinde bağlayıcı sistemleri ve tersinir birleşim detayları araştırılmalıdır, çünkü Rios ve diğ. (2015) sökülebilirlik için tasarımda kuram ile uygulama arasındaki boşluğu açıkça ortaya koymaktadır. Biyolojik temelli iç mekân bileşenlerinin uzun süreli davranışı izlenmeli (Chang ve diğ., 2020); döngüselliğin yönetsel ve davranışsal boyutları ise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2026-10-02T08:51:50.877Z</dcterms:created>
  <dcterms:modified xsi:type="dcterms:W3CDTF">2026-10-02T08:51:50.883Z</dcterms:modified>
</cp:coreProperties>
</file>

<file path=docProps/custom.xml><?xml version="1.0" encoding="utf-8"?>
<Properties xmlns="http://schemas.openxmlformats.org/officeDocument/2006/custom-properties" xmlns:vt="http://schemas.openxmlformats.org/officeDocument/2006/docPropsVTypes"/>
</file>