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Andréen ve Goidea (2022), biyolojik tasarımı bir model olarak alarak dört tasarım ilkesi türetmektedir. Birincisi çeşitlilik, ikincisi biçimin karmaşıklığı ve özgüllüğü, üçüncüsü dirençlilik yoluyla dayanıklılık, dördüncüsü geri besleme ve uyarlanmadır. Yazarlar bu ilkelerin kendi başlarına yeni olmadığını özellikle vurgulamaktadır: modern inşaat sanayisinin doğuşundan önce mimarlık uzun süre bu stratejilerle üretilmiş; hem tarihsel hem güncel vernaküler mimarlık bu stratejileri büyük ölçüde içermiştir (Andréen ve Goidea, 2022). İlkelerden üçüncüsü, beşinci başlıkta ayrıntılandırılacağı üzere, biyomalzemelerle çalışmanın kuramsal gerekçesini oluşturmaktadır.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gelmektedir. Kırbaş Akyürek ve diğ.’nin (2020) belirttiği gibi biyomimikrinin temel amacı biyolojik süreçleri teknolojilere çevirmektir; bu yaklaşımda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 bu ayrım, izleyen başlıkta malzemelerin sınıflandırılmasında da belirleyici olacaktır.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 Andréen ve Goidea (2022) aynı ayrımı malzeme ölçeğinde kurmakta; mühendislik dirençliliği olarak adlandırılan birinci tanımın daha çok doğrusal sistemler ile değişime direnmenin amaçlandığı bağlamlar için geçerli olduğunu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Biyomalzemenin tasarım sürecine kattıkları</w:t>
      </w:r>
    </w:p>
    <w:p>
      <w:pPr>
        <w:spacing w:after="160" w:line="360"/>
        <w:jc w:val="both"/>
      </w:pPr>
      <w:r>
        <w:rPr>
          <w:rFonts w:ascii="Times New Roman" w:cs="Times New Roman" w:eastAsia="Times New Roman" w:hAnsi="Times New Roman"/>
          <w:sz w:val="24"/>
          <w:szCs w:val="24"/>
        </w:rPr>
        <w:t xml:space="preserve">Önceki alt başlıkta dirençliliğin iki tanımı ayırt edilmişti. Burada sorulan soru farklıdır: biyotasarım ve biyolojik temelli malzemeler tasarım sürecine girdiğinde bu süreçte ne değişir ve hangi yeni kavramlar ortaya çıkar? Birinci değişiklik, tasarımcının malzeme geliştirmedeki konumuyla ilgilidir. Barati ve Karana (2019), tasarımcılar ile malzeme bilimcileri arasındaki erken aşama ortak projelerinde tasarımcıların yaratıcı katkısını inceledikleri çalışmalarında, yaratıcılığı tasarımcının zihnine ait bir yeti olarak gören bakıştan uzaklaşmayı; onu tasarımcı ile maddi dünya arasında dağılmış bir süreç olarak ele almayı önermektedir. Yazarların geliştirdiği malzeme potansiyeli olarak olanaklar kavramı, odağı tasarımcının yapma ve üretme edimlerine kaydırmakta; bu edimler hem yerleşik hem yeni malzemelerde daha önce görülmemiş olanakların açığa çıkarılması olarak tanımlanmaktadır. Biyolojik temelli malzemelerde tasarımcının işi böylece bir listeden seçim yapmak değil, malzemenin neye olanak tanıdığını üretim yoluyla keşfetmek hâline gelir.</w:t>
      </w:r>
    </w:p>
    <w:p>
      <w:pPr>
        <w:spacing w:after="160" w:line="360"/>
        <w:jc w:val="both"/>
      </w:pPr>
      <w:r>
        <w:rPr>
          <w:rFonts w:ascii="Times New Roman" w:cs="Times New Roman" w:eastAsia="Times New Roman" w:hAnsi="Times New Roman"/>
          <w:sz w:val="24"/>
          <w:szCs w:val="24"/>
        </w:rPr>
        <w:t xml:space="preserve">İkinci değişiklik, değişkenliğin tasarım girdisine dönüşmesidir. Goidea ve diğ. (2022), biyofabrikasyonun en umut verici yönlerinden birinin adaptasyon ve değişkenlik potansiyeli olduğunu belirtmektedir. Yazarlara göre miselyum biyokompozitlerde farklı mantar türleri hem üretim süreci hem de mimari nesnenin performansı bakımından farklı sonuçlara yol açar; tür seçiminde büyüme hızı ve genetik kararlılığın yanı sıra dayanım, ısı iletkenliği ve görünüm gibi etkenler devreye girer. Değişkenlik bu çerçevede bir kusur değil, tasarımcının üzerinde çalıştığı parametre kümesidir: mimarlar biçim çizmek yerine, ancak bir bağlama yerleştirildiğinde anlam kazanan süreçleri tanımlayabilir. İkinci başlıkta anılan dirençlilik yoluyla dayanıklılık ilkesi de burada karşılığını bulur; Andréen ve Goidea (2022), biyomalzemelerin mühendislik ürünü malzemelere kıyasla daha az dayanıklılık sergiliyorlarsa aynı zamanda daha esnek, daha dinamik ve daha geri dönüştürülebilir olduklarını belirtmektedir.</w:t>
      </w:r>
    </w:p>
    <w:p>
      <w:pPr>
        <w:spacing w:after="160" w:line="360"/>
        <w:jc w:val="both"/>
      </w:pPr>
      <w:r>
        <w:rPr>
          <w:rFonts w:ascii="Times New Roman" w:cs="Times New Roman" w:eastAsia="Times New Roman" w:hAnsi="Times New Roman"/>
          <w:sz w:val="24"/>
          <w:szCs w:val="24"/>
        </w:rPr>
        <w:t xml:space="preserve">Üçüncü değişiklik zamana ilişkindir. Karana ve diğ. (2018), miselyum esaslı bir malzemeyle yürütülen tasarım sürecinde tasarımcının üç belirsizlik kaynağıyla baş etmek durumunda kaldığını ortaya koymaktadır: mikroorganizmanın failliği, malzemenin kendine özgü zamansallığı ve malzemenin toplum tarafından kabulü. Bunlardan ikincisi, malzemenin tasarımcının takviminden bağımsız bir zamanı olduğu anlamına gelir; büyüme, kuruma ve yaşlanma süreleri tasarım kararının dışında değil, içindedir. Ancak bu zamanın nasıl işlediği henüz büyük ölçüde bilinmemektedir: Chang ve diğ. (2020), biyokompozitlerin uzun süreli dayanıklılık performansına ilişkin bilimsel bilginin erişilebilir literatürde oldukça sınırlı kaldığını ortaya koymaktadır.</w:t>
      </w:r>
    </w:p>
    <w:p>
      <w:pPr>
        <w:spacing w:after="160" w:line="360"/>
        <w:jc w:val="both"/>
      </w:pPr>
      <w:r>
        <w:rPr>
          <w:rFonts w:ascii="Times New Roman" w:cs="Times New Roman" w:eastAsia="Times New Roman" w:hAnsi="Times New Roman"/>
          <w:sz w:val="24"/>
          <w:szCs w:val="24"/>
        </w:rPr>
        <w:t xml:space="preserve">Dördüncü değişiklik, bakımın bir tasarım kararına dönüşmesidir. Graham ve Thrift (2007), teknik nesne ve sistemlerde bozulma ve işlev kaybına odaklanmanın onarım ve bakım pratiklerinin hayatî katkısını görünür kıldığını; buna karşılık modern toplumları ayakta tutan altyapıya ilişkin yerleşik kültürel kurgu ve tahayyüllerin onarım ve bakım etkinliklerini dikkat alanının dışına ittiğini ileri sürmektedir. Biyolojik temelli malzemelerde bu dışarıda bırakma sürdürülemez; bakım, kullanımın kesintiye uğraması değil koşuludur. Dolayısıyla biyotasarımın tasarım sürecine kattığı dört kavram şöyle özetlenebilir: malzeme potansiyeli, parametre olarak değişkenlik, malzemenin kendi zamanı ve tasarım kararı olarak bakım.</w:t>
      </w:r>
    </w:p>
    <w:p>
      <w:pPr>
        <w:pStyle w:val="Heading2"/>
        <w:spacing w:after="170" w:before="320" w:line="360"/>
      </w:pPr>
      <w:r>
        <w:rPr>
          <w:rFonts w:ascii="Times New Roman" w:cs="Times New Roman" w:eastAsia="Times New Roman" w:hAnsi="Times New Roman"/>
          <w:b/>
          <w:bCs/>
          <w:sz w:val="24"/>
          <w:szCs w:val="24"/>
        </w:rPr>
        <w:t xml:space="preserve">5.3. Dirençli iç mekânın tasarım özellikleri</w:t>
      </w:r>
    </w:p>
    <w:p>
      <w:pPr>
        <w:spacing w:after="160" w:line="360"/>
        <w:jc w:val="both"/>
      </w:pPr>
      <w:r>
        <w:rPr>
          <w:rFonts w:ascii="Times New Roman" w:cs="Times New Roman" w:eastAsia="Times New Roman" w:hAnsi="Times New Roman"/>
          <w:sz w:val="24"/>
          <w:szCs w:val="24"/>
        </w:rPr>
        <w:t xml:space="preserve">Bu kavramların mekân ölçeğindeki karşılığı, dirençliliğin bir sistem özelliği olarak nasıl kurulacağı sorusudur. Soruyu yanıtlamadan önce bir kavram ayrımı gerekir. Walker ve diğ. (2004), sosyo-ekolojik sistemlerin geleceğini belirleyen üç ilişkili özelliği birbirinden ayırmaktadır: dirençlilik, bir sistemin bozulmayı soğurma ve değişim geçirirken yeniden örgütlenerek esasen aynı işlevi, yapıyı, kimliği ve geri besleme ilişkilerini koruma kapasitesidir; uyarlanabilirlik, sistemdeki insan aktörlerin dirençliliği yönetme konusundaki ortak kapasitesidir; dönüşebilirlik ise ekolojik, ekonomik ya da toplumsal koşullar mevcut sistemi sürdürülemez kıldığında temelden yeni bir sistem yaratma kapasitesidir. Ayrım iç mimarlık açısından doğrudan karşılık bulur: dirençlilik mekânsal sistemin bir özelliği, uyarlanabilirlik kullanıcı ve tasarımcının kapasitesi, dönüşebilirlik ise mekânın bütünüyle başka bir kurguya geçebilme olanağıdır.</w:t>
      </w:r>
    </w:p>
    <w:p>
      <w:pPr>
        <w:spacing w:after="160" w:line="360"/>
        <w:jc w:val="both"/>
      </w:pPr>
      <w:r>
        <w:rPr>
          <w:rFonts w:ascii="Times New Roman" w:cs="Times New Roman" w:eastAsia="Times New Roman" w:hAnsi="Times New Roman"/>
          <w:sz w:val="24"/>
          <w:szCs w:val="24"/>
        </w:rPr>
        <w:t xml:space="preserve">Dirençliliğin hangi tasarım özellikleriyle kurulduğu sorusuna ekolojik sistem araştırmaları kaynaklı bir yanıt vardır. Biggs ve diğ. (2012), ekosistem hizmetlerinin dirençliliğini güçlendirmeye yönelik yedi genel ilke tanımlamaktadır; bunların ilk üçü çeşitlilik ile yedekliliğin korunması, bağlantısallığın yönetilmesi ve yavaş değişkenler ile geri besleme ilişkilerinin yönetilmesidir. Yazarlara göre ilkeler pratikte çoğu kez birlikte görülür ve birbirine yüksek düzeyde bağımlıdır. Bu ilkeler iç mekân ölçeğine aktarıldığında dört tasarım özelliği ortaya çıkmaktadır.</w:t>
      </w:r>
    </w:p>
    <w:p>
      <w:pPr>
        <w:spacing w:after="160" w:line="360"/>
        <w:jc w:val="both"/>
      </w:pPr>
      <w:r>
        <w:rPr>
          <w:rFonts w:ascii="Times New Roman" w:cs="Times New Roman" w:eastAsia="Times New Roman" w:hAnsi="Times New Roman"/>
          <w:sz w:val="24"/>
          <w:szCs w:val="24"/>
        </w:rPr>
        <w:t xml:space="preserve">Birincisi çeşitlilik ve yedekliliktir. Tek bir malzemeye ve tek bir birleşim türüne dayanan bir iç mekân kurgusunda yerel bir bozulma bütüne yayılır; birden çok malzemenin ve birbirinin işlevini üstlenebilecek bileşenlerin bulunduğu bir kurguda ise bozulma yerel kalır. Yedeklilik burada fazlalık değil, bozulmanın yayılmasını engelleyen bir örgütlenme biçimidir. İkincisi bağlantısallıktır; ancak Biggs ve diğ.’nin (2012) formülasyonu bağlantısallığın artırılmasını değil yönetilmesini önermektedir. İç mekânda bu, bileşenlerin birbirine nasıl bağlandığı sorusudur: tersinir birleşimler bir bileşenin ötekini bozmadan değiştirilmesine olanak tanırken, kalıcı birleşimler bütün kurguyu tek bir karara bağlar. Rios ve diğ. (2015), sökülebilirlik için tasarım ilkelerine ilişkin kapsamlı kılavuzlar bulunmasına karşın bu alanda geliştirilmiş yapı sayısının çok az kaldığını belirtmektedir; boşluk, iç mekân ölçeğinde kapatılabilecek bir boşluktur.</w:t>
      </w:r>
    </w:p>
    <w:p>
      <w:pPr>
        <w:spacing w:after="160" w:line="360"/>
        <w:jc w:val="both"/>
      </w:pPr>
      <w:r>
        <w:rPr>
          <w:rFonts w:ascii="Times New Roman" w:cs="Times New Roman" w:eastAsia="Times New Roman" w:hAnsi="Times New Roman"/>
          <w:sz w:val="24"/>
          <w:szCs w:val="24"/>
        </w:rPr>
        <w:t xml:space="preserve">Üçüncüsü bakım ve onarılabilirliktir. Graham ve Thrift’in (2007) onarım ve bakımın görünmez kılınmasına ilişkin saptaması, iç mekânda doğrudan bir tasarım sorusuna dönüşür: bir bileşen onarılabilir mi, onarım izleri kabul edilebilir mi, bakım kullanıcının yapabileceği bir iş midir? Edalat (2026), döngüsel ekonominin kullanım, onarım ve yeniden kullanım aşamalarının yeterince araştırılmadığını ve büyük ölçüde bağlama bağlı olduğunu belirtmektedir. Dördüncüsü uyarlanabilirlik ve dönüşebilirliktir; Walker ve diğ.’nin (2004) ayrımı burada ölçüt üretir: bir iç mekân kurgusu kullanıcının onu yeniden düzenlemesine olanak tanıyorsa uyarlanabilir, bütünüyle başka bir işleve ve kurguya geçebiliyorsa dönüşebilirdir.</w:t>
      </w:r>
    </w:p>
    <w:p>
      <w:pPr>
        <w:spacing w:after="160" w:line="360"/>
        <w:jc w:val="both"/>
      </w:pPr>
      <w:r>
        <w:rPr>
          <w:rFonts w:ascii="Times New Roman" w:cs="Times New Roman" w:eastAsia="Times New Roman" w:hAnsi="Times New Roman"/>
          <w:sz w:val="24"/>
          <w:szCs w:val="24"/>
        </w:rPr>
        <w:t xml:space="preserve">Dört özelliğin tamamı, ölçekler arası bir okumayı gerektirmektedir. Goidea ve diğ. (2022), değişken ölçekler, sistemler ve malzemeler arasındaki karşılıklı bağımlılığın doğrusal olmayan etkileşimler ve hızla artan karmaşıklık ürettiğini belirtmektedir; bir bileşenin dirençliliği, bağlı olduğu sistemin dirençliliğinden ayrı değerlendirilemez. Buradan çıkan sonuç, döngüsellik ile dirençliliğin eş anlamlı olmadığı; ancak çeşitlilik, tersinir bağlantı, onarılabilirlik ve uyarlanabilirlik gibi ortak tasarım özellikleri üzerinden birbirini destekleyen iki yaklaşım oluşturduğudur. Yedinci başlıkta önerilen değerlendirme çerçevesinin dirençlilik boyutu bu dört özellik üzerine kurulmaktadır.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Beşinci başlıkta anılan üç belirsizlik kaynağından üçüncüsü — malzemenin toplum tarafından kabulü (Karana ve diğ., 2018) —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Birleşimler tersinir mi? Bileşen onarılabiliyor mu? Mekân uyarlanabilir ve dönüşebilir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Rios ve diğ. (2015)</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Walker ve diğ. (2004); Biggs ve diğ. (2012); Chang ve diğ. (2020)</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Biggs ve diğ.’nin (2012) ekolojik ölçekte tanımladığı ilkelerin iç mekân bileşenlerine nasıl uyarlanacağı ayrıca çalışılmalı;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2026-10-02T08:37:33.404Z</dcterms:created>
  <dcterms:modified xsi:type="dcterms:W3CDTF">2026-10-02T08:37:33.404Z</dcterms:modified>
</cp:coreProperties>
</file>

<file path=docProps/custom.xml><?xml version="1.0" encoding="utf-8"?>
<Properties xmlns="http://schemas.openxmlformats.org/officeDocument/2006/custom-properties" xmlns:vt="http://schemas.openxmlformats.org/officeDocument/2006/docPropsVTypes"/>
</file>