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5. ADAPTASYON, DEĞİŞKENLİK VE DİRENÇLİLİK</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1.370 kelime</w:t>
      </w:r>
    </w:p>
    <w:p>
      <w:pPr>
        <w:spacing w:after="160" w:line="360"/>
        <w:jc w:val="both"/>
      </w:pPr>
      <w:r>
        <w:rPr>
          <w:rFonts w:ascii="Times New Roman" w:cs="Times New Roman" w:eastAsia="Times New Roman" w:hAnsi="Times New Roman"/>
          <w:sz w:val="24"/>
          <w:szCs w:val="24"/>
        </w:rPr>
        <w:t xml:space="preserve">Önceki başlıkta döngüselliğin biyolojik kökenle güvence altına alınamayacağı ortaya konmuştu. Bu başlıkta tartışma bir adım ileri taşınarak, biyolojik temelli malzemelerin tasarım sürecine taşıdığı üç özellik — adaptasyon, değişkenlik ve zamansallık — dirençlilik kavramı üzerinden ele alınmaktadır.</w:t>
      </w:r>
    </w:p>
    <w:p>
      <w:pPr>
        <w:pStyle w:val="Heading2"/>
        <w:spacing w:after="180" w:before="320" w:line="360"/>
      </w:pPr>
      <w:r>
        <w:rPr>
          <w:rFonts w:ascii="Times New Roman" w:cs="Times New Roman" w:eastAsia="Times New Roman" w:hAnsi="Times New Roman"/>
          <w:b/>
          <w:bCs/>
          <w:sz w:val="26"/>
          <w:szCs w:val="26"/>
        </w:rPr>
        <w:t xml:space="preserve">5.1. Dirençliliğin İki Tanımı</w:t>
      </w:r>
    </w:p>
    <w:p>
      <w:pPr>
        <w:spacing w:after="160" w:line="360"/>
        <w:jc w:val="both"/>
      </w:pPr>
      <w:r>
        <w:rPr>
          <w:rFonts w:ascii="Times New Roman" w:cs="Times New Roman" w:eastAsia="Times New Roman" w:hAnsi="Times New Roman"/>
          <w:sz w:val="24"/>
          <w:szCs w:val="24"/>
        </w:rPr>
        <w:t xml:space="preserve">Dirençlilik kavramı yapılı çevre alanyazınında birbirinden önemli ölçüde farklı iki anlamda kullanılmaktadır. Heymans, Breadsell, Morrison, Byrne ve Eon (2019), ekolojik kentsel planlama ve tasarım alanyazınını 57 makale üzerinden sistematik olarak inceledikleri çalışmalarında bu iki tanımı ayırt etmektedir. Eski tanım, bir sistemin bozulmanın ardından dengeye dönme yeteneğine işaret eder ve yazarlara göre sistemlerin verimliliğine ve öngörülebilirliğine odaklanması bakımından modernist paradigmayla tutarlıdır. Daha yeni tanım ise denge dışı karmaşık uyarlanabilir sistemlerle ilişkilidir ve dirençliliği, bir sistemin temel yapısını ve işlevini sürdürürken değişimi soğurma ve değişime uyarlanma yeteneği olarak vurgular. Yazarlar, dinamik, karmaşık ve uyarlanabilir sistemler açısından geçerli olanın bu ikinci tanım olduğunu belirtmektedir.</w:t>
      </w:r>
    </w:p>
    <w:p>
      <w:pPr>
        <w:spacing w:after="160" w:line="360"/>
        <w:jc w:val="both"/>
      </w:pPr>
      <w:r>
        <w:rPr>
          <w:rFonts w:ascii="Times New Roman" w:cs="Times New Roman" w:eastAsia="Times New Roman" w:hAnsi="Times New Roman"/>
          <w:b w:val="false"/>
          <w:bCs w:val="false"/>
          <w:i w:val="false"/>
          <w:iCs w:val="false"/>
          <w:sz w:val="24"/>
          <w:szCs w:val="24"/>
        </w:rPr>
        <w:t xml:space="preserve">Andréen ve Goidea (2022) aynı ayrımı malzeme ölçeğinde kurmaktadır. Yazarlara göre ekoloji çalışmalarında dirençlilik anlayışı, bozulmanın ardından başlangıç durumuna dönmek için geçen süre olarak tanımlanan mühendislik dirençliliğinden uzaklaşmıştır; bu tanım daha çok doğrusal sistemler ile değişime direnmenin ve mevcut yapıları korumanın amaçlandığı bağlamlar için geçerlidir. Karmaşık uyarlanabilir sistemlerde dirençlilik ise bozulmaları soğurma ve </w:t>
      </w:r>
      <w:r>
        <w:rPr>
          <w:rFonts w:ascii="Times New Roman" w:cs="Times New Roman" w:eastAsia="Times New Roman" w:hAnsi="Times New Roman"/>
          <w:b w:val="false"/>
          <w:bCs w:val="false"/>
          <w:i w:val="false"/>
          <w:iCs w:val="false"/>
          <w:sz w:val="24"/>
          <w:szCs w:val="24"/>
        </w:rPr>
        <w:t xml:space="preserve">“değişim geçirirken yeniden örgütlenerek esasen aynı işlevi, yapıyı, kimliği ve geri besleme ilişkilerini koruma”</w:t>
      </w:r>
      <w:r>
        <w:rPr>
          <w:rFonts w:ascii="Times New Roman" w:cs="Times New Roman" w:eastAsia="Times New Roman" w:hAnsi="Times New Roman"/>
          <w:b w:val="false"/>
          <w:bCs w:val="false"/>
          <w:i w:val="false"/>
          <w:iCs w:val="false"/>
          <w:sz w:val="24"/>
          <w:szCs w:val="24"/>
        </w:rPr>
        <w:t xml:space="preserve"> yeteneği olarak tanımlanmaktadır (Folke, 2006; akt. Andréen ve Goidea, 2022). Bu çerçevede uyarlanabilir sistemler değişimi bir tehdit değil, “bozulmanın ardından yenilenme, rejenerasyon ve yeniden örgütlenme” için bir olanak olarak kullanır.</w:t>
      </w:r>
    </w:p>
    <w:p>
      <w:pPr>
        <w:spacing w:after="160" w:line="360"/>
        <w:jc w:val="both"/>
      </w:pPr>
      <w:r>
        <w:rPr>
          <w:rFonts w:ascii="Times New Roman" w:cs="Times New Roman" w:eastAsia="Times New Roman" w:hAnsi="Times New Roman"/>
          <w:sz w:val="24"/>
          <w:szCs w:val="24"/>
        </w:rPr>
        <w:t xml:space="preserve">Bu ayrımın tasarım açısından sonucu şudur: Heymans ve arkadaşlarının (2019) belirttiği gibi, sistemler öngörülemez olduğunda sistemin sürdürülebilirliği onun dirençlilik kapasitesine bağlı hâle gelir. Yazarlar bunun planlamacı ve tasarımcılar için, idealleştirilmiş bir sürdürülebilir mekânsal biçim geliştirmekten, sistemin uyarlanma kapasitesinden doğan dirençliliğini kurmak üzere nasıl örgütlenebileceğini düşünmeye geçmek anlamına geldiğini vurgulamaktadır. Sürdürülebilirlik bir biçim hedefi olmaktan çıkıp bir örgütlenme sorusuna dönüşmektedir.</w:t>
      </w:r>
    </w:p>
    <w:p>
      <w:pPr>
        <w:pStyle w:val="Heading2"/>
        <w:spacing w:after="180" w:before="320" w:line="360"/>
      </w:pPr>
      <w:r>
        <w:rPr>
          <w:rFonts w:ascii="Times New Roman" w:cs="Times New Roman" w:eastAsia="Times New Roman" w:hAnsi="Times New Roman"/>
          <w:b/>
          <w:bCs/>
          <w:sz w:val="26"/>
          <w:szCs w:val="26"/>
        </w:rPr>
        <w:t xml:space="preserve">5.2. Dirençlilik Yoluyla Dayanıklılık</w:t>
      </w:r>
    </w:p>
    <w:p>
      <w:pPr>
        <w:spacing w:after="160" w:line="360"/>
        <w:jc w:val="both"/>
      </w:pPr>
      <w:r>
        <w:rPr>
          <w:rFonts w:ascii="Times New Roman" w:cs="Times New Roman" w:eastAsia="Times New Roman" w:hAnsi="Times New Roman"/>
          <w:sz w:val="24"/>
          <w:szCs w:val="24"/>
        </w:rPr>
        <w:t xml:space="preserve">Andréen ve Goidea (2022), biyolojik tasarım ilkeleri arasında saydıkları “dirençlilik yoluyla dayanıklılık” ilkesini modern mimarlık kültürünün kalıcı ve durağan malzeme ve biçimlere olan eğilimiyle karşıtlık içinde kurmaktadır. Yazarlara göre bu eğilim, tek tek hücrelerin ölümlü olmasına karşın bütünsel biçimin sürdüğü biyolojik bedenlerin işleyişine aykırıdır; biyolojik tasarım sistemi ise doğası gereği döngüseldir ve malzeme kullanımı için ikna edici bir perspektif sunmaktadır.</w:t>
      </w:r>
    </w:p>
    <w:p>
      <w:pPr>
        <w:spacing w:after="160" w:line="360"/>
        <w:jc w:val="both"/>
      </w:pPr>
      <w:r>
        <w:rPr>
          <w:rFonts w:ascii="Times New Roman" w:cs="Times New Roman" w:eastAsia="Times New Roman" w:hAnsi="Times New Roman"/>
          <w:sz w:val="24"/>
          <w:szCs w:val="24"/>
        </w:rPr>
        <w:t xml:space="preserve">Yazarlar buradan güncel sürdürülebilirlik söylemine yönelik açık bir eleştiri türetmektedir: ekolojik ve iklimsel bir acil durum döneminde, sürdürülebilirlik niteliğini başlangıçtaki kaynak tüketiminin uzun bir süreye yayıldığı varsayımından elde eden yapılar inşa etmek savunulabilir değildir. Bu eleştiri, toplumun, kentlerin ve doğanın teknolojik gelişme, nüfus artışı, göç ve iklim değişikliği nedeniyle giderek hızlanan bir tempoda değiştiği koşullarda özellikle geçerlidir.</w:t>
      </w:r>
    </w:p>
    <w:p>
      <w:pPr>
        <w:spacing w:after="160" w:line="360"/>
        <w:jc w:val="both"/>
      </w:pPr>
      <w:r>
        <w:rPr>
          <w:rFonts w:ascii="Times New Roman" w:cs="Times New Roman" w:eastAsia="Times New Roman" w:hAnsi="Times New Roman"/>
          <w:sz w:val="24"/>
          <w:szCs w:val="24"/>
        </w:rPr>
        <w:t xml:space="preserve">Bu akıl yürütmenin biyomalzemeler açısından sonucu, alanyazındaki en keskin saptamalardan biridir: biyomalzemeler endüstriyel olarak mühendislik ürünü malzemelere kıyasla daha az dayanıklılık sergiliyorlarsa, aynı zamanda daha esnek, daha dinamik ve daha geri dönüştürülebilirdir; sürekli yeniden biçimlendirme ve bakım ilkeleri üzerine kurulu bir yapı ise doğası gereği uyarlanabilirdir (Andréen ve Goidea, 2022). Dayanıklılık, bu çerçevede malzemenin bozulmaması değil, sistemin değişim karşısında sürekliliğini koruyabilmesi anlamına gelmektedir.</w:t>
      </w:r>
    </w:p>
    <w:p>
      <w:pPr>
        <w:spacing w:after="160" w:line="360"/>
        <w:jc w:val="both"/>
      </w:pPr>
      <w:r>
        <w:rPr>
          <w:rFonts w:ascii="Times New Roman" w:cs="Times New Roman" w:eastAsia="Times New Roman" w:hAnsi="Times New Roman"/>
          <w:sz w:val="24"/>
          <w:szCs w:val="24"/>
        </w:rPr>
        <w:t xml:space="preserve">Yazarlar bu ilkenin örneğini dünyanın çeşitli yerlerinde hâlâ varlığını sürdüren vernaküler toprak köylerinde bulmaktadır. Kil esaslı bu yapılar kullanılabilir durumda kalmak için sürekli bakım gerektirir; bakım sürdürüldüğünde yapılar dirençliliğini korur ve bakım gereksinimi düşük düzeyde kalır. Sürdürülmediğinde ise yapılar yavaşça doğal bir hâle dönerek peyzaja geri karışır ya da yeni yapılar için hammaddeye dönüşür. Malzemeler kimyasal olarak ya da ısıyla işlenmemiş olduğundan yapılı çevre tümüyle tersinirdir; ekleme ve değişiklikler az çabayla yapılabilir, enerji kullanımı ve taşıma asgari düzeydedir. Yazarlar ayrıca, bakım yükünün geçmişte vernaküler malzemelerden endüstriyel malzemelere yönelişin başlıca itici güçlerinden biri olduğunu ve robotik, üç boyutlu baskı, benzetim ve biyomalzeme bilimindeki gelişmelerin bu yükü azaltma potansiyeli taşıdığını belirtmektedir.</w:t>
      </w:r>
    </w:p>
    <w:p>
      <w:pPr>
        <w:pStyle w:val="Heading2"/>
        <w:spacing w:after="180" w:before="320" w:line="360"/>
      </w:pPr>
      <w:r>
        <w:rPr>
          <w:rFonts w:ascii="Times New Roman" w:cs="Times New Roman" w:eastAsia="Times New Roman" w:hAnsi="Times New Roman"/>
          <w:b/>
          <w:bCs/>
          <w:sz w:val="26"/>
          <w:szCs w:val="26"/>
        </w:rPr>
        <w:t xml:space="preserve">5.3. Değişkenlik: Kusur mu, Kapasite mi?</w:t>
      </w:r>
    </w:p>
    <w:p>
      <w:pPr>
        <w:spacing w:after="160" w:line="360"/>
        <w:jc w:val="both"/>
      </w:pPr>
      <w:r>
        <w:rPr>
          <w:rFonts w:ascii="Times New Roman" w:cs="Times New Roman" w:eastAsia="Times New Roman" w:hAnsi="Times New Roman"/>
          <w:sz w:val="24"/>
          <w:szCs w:val="24"/>
        </w:rPr>
        <w:t xml:space="preserve">Goidea, Floudas ve Andréen (2022), biyofabrikasyonun yapı üretiminde kullanılmasının en umut verici yönlerinden birinin adaptasyon ve değişkenlik potansiyeli olduğunu belirtmektedir. Yazarlara göre miselyum biyokompozitlerde farklı mantar türleri, hem üretim süreci hem de mimari nesnenin performansı bakımından farklı sonuçlara yol açar; tür seçiminde biyolojik açıdan büyüme hızı, dallanma örüntüleri, genetik kararlılık ve rekabet gücü gibi etkenler, mimari açıdan ise çekme ve basma dayanımı, lif yapışkanlığı, ısı iletkenliği, su iticilik, görünüm ve dayanıklılık gibi etkenler devreye girmektedir.</w:t>
      </w:r>
    </w:p>
    <w:p>
      <w:pPr>
        <w:spacing w:after="160" w:line="360"/>
        <w:jc w:val="both"/>
      </w:pPr>
      <w:r>
        <w:rPr>
          <w:rFonts w:ascii="Times New Roman" w:cs="Times New Roman" w:eastAsia="Times New Roman" w:hAnsi="Times New Roman"/>
          <w:sz w:val="24"/>
          <w:szCs w:val="24"/>
        </w:rPr>
        <w:t xml:space="preserve">Değişkenlik bu çerçevede bir kusur değil, tasarımın çalıştığı parametre kümesine dönüşmektedir. Yazarlar bunun tasarım pratiğindeki karşılığını şöyle tanımlamaktadır: mimarlar biçim çizmek yerine, ancak bir bağlama yerleştirildiğinde anlam kazanan süreçleri tanımlayabilir; bu bağlama karşılık veren biçim çok ölçekli olarak yerele uyarlanır ve içsel ile dışsal mantığında tutarlılığı korurken ilkesel olarak sınırsız değişkenlik sergileyebilir.</w:t>
      </w:r>
    </w:p>
    <w:p>
      <w:pPr>
        <w:spacing w:after="160" w:line="360"/>
        <w:jc w:val="both"/>
      </w:pPr>
      <w:r>
        <w:rPr>
          <w:rFonts w:ascii="Times New Roman" w:cs="Times New Roman" w:eastAsia="Times New Roman" w:hAnsi="Times New Roman"/>
          <w:sz w:val="24"/>
          <w:szCs w:val="24"/>
        </w:rPr>
        <w:t xml:space="preserve">Ancak değişkenliğin yalnızca bir olanak olmadığı da belirtilmelidir. Chang, Mohanty ve Misra (2020), biyokompozitlerin mekanik performansını geliştirmeye yönelik çalışmaların çokluğuna karşın, bu malzemelerin uzun süreli dayanıklılık performansına ilişkin bilimsel bilginin erişilebilir alanyazında oldukça sınırlı kaldığını ortaya koymaktadır. Dolayısıyla değişkenliği bir kapasiteye dönüştürmek, malzemenin zaman içindeki davranışının bilinmesini gerektirir; bu bilgi henüz büyük ölçüde eksiktir.</w:t>
      </w:r>
    </w:p>
    <w:p>
      <w:pPr>
        <w:pStyle w:val="Heading2"/>
        <w:spacing w:after="180" w:before="320" w:line="360"/>
      </w:pPr>
      <w:r>
        <w:rPr>
          <w:rFonts w:ascii="Times New Roman" w:cs="Times New Roman" w:eastAsia="Times New Roman" w:hAnsi="Times New Roman"/>
          <w:b/>
          <w:bCs/>
          <w:sz w:val="26"/>
          <w:szCs w:val="26"/>
        </w:rPr>
        <w:t xml:space="preserve">5.4. Zamansallık: Üretim ile Kullanımın Koşutluğu</w:t>
      </w:r>
    </w:p>
    <w:p>
      <w:pPr>
        <w:spacing w:after="160" w:line="360"/>
        <w:jc w:val="both"/>
      </w:pPr>
      <w:r>
        <w:rPr>
          <w:rFonts w:ascii="Times New Roman" w:cs="Times New Roman" w:eastAsia="Times New Roman" w:hAnsi="Times New Roman"/>
          <w:sz w:val="24"/>
          <w:szCs w:val="24"/>
        </w:rPr>
        <w:t xml:space="preserve">Biyolojik temelli üretimin zamansal örgütlenmesi de dirençlilik tartışmasının bir parçasıdır. Andréen ve Goidea (2022), biyofabrikasyonun zaman çizelgesinin — miselyum esaslı malzemelerde günler ile haftalar aralığında — diğer yapı malzemelerine kıyasla bir dezavantaj oluşturabileceğini, ancak beton yapıların da tam kürlenme için sıklıkla benzer süreler gerektirdiğini hatırlatmaktadır. Yazarlara göre belirleyici olan süre değil, üretim ile kullanım arasındaki ilişkinin kurgulanma biçimidir: inşa ile iskân ilişkisi doğrusal değil koşut olarak yeniden düşünüldüğünde ivedilik anlamını yitirir ve yapının iskânı, yapının büyümesi ve yeniden yapılmasıyla sürekli biçimde birlikte var olur.</w:t>
      </w:r>
    </w:p>
    <w:p>
      <w:pPr>
        <w:spacing w:after="160" w:line="360"/>
        <w:jc w:val="both"/>
      </w:pPr>
      <w:r>
        <w:rPr>
          <w:rFonts w:ascii="Times New Roman" w:cs="Times New Roman" w:eastAsia="Times New Roman" w:hAnsi="Times New Roman"/>
          <w:b w:val="false"/>
          <w:bCs w:val="false"/>
          <w:i w:val="false"/>
          <w:iCs w:val="false"/>
          <w:sz w:val="24"/>
          <w:szCs w:val="24"/>
        </w:rPr>
        <w:t xml:space="preserve">Yazarlar bu kurgunun yapı kültüründe karşılığı bulunduğunu iki örnekle göstermektedir. İran’daki Esfahak köyü, neredeyse tümüyle yerel kil bakımından zengin topraktan; kazı, kerpiç duvar ve tonoz birleşimiyle inşa edilmiş bir ile üç katlı bir yerleşmedir. İsveçli sanatçı Lars Vilks’in </w:t>
      </w:r>
      <w:r>
        <w:rPr>
          <w:rFonts w:ascii="Times New Roman" w:cs="Times New Roman" w:eastAsia="Times New Roman" w:hAnsi="Times New Roman"/>
          <w:b w:val="false"/>
          <w:bCs w:val="false"/>
          <w:i/>
          <w:iCs/>
          <w:sz w:val="24"/>
          <w:szCs w:val="24"/>
        </w:rPr>
        <w:t xml:space="preserve">Nimis</w:t>
      </w:r>
      <w:r>
        <w:rPr>
          <w:rFonts w:ascii="Times New Roman" w:cs="Times New Roman" w:eastAsia="Times New Roman" w:hAnsi="Times New Roman"/>
          <w:b w:val="false"/>
          <w:bCs w:val="false"/>
          <w:i w:val="false"/>
          <w:iCs w:val="false"/>
          <w:sz w:val="24"/>
          <w:szCs w:val="24"/>
        </w:rPr>
        <w:t xml:space="preserve"> adlı yapıtı ise 1980’den sanatçının 2021’deki ölümüne kadar sürekli inşa hâlinde kalmış; sürüklenmiş odun ve çividen üretilmiş, bütüncül bir plana veya belirlenmiş bir biçime dayanmayan, yeni taşıyıcı ögelerin zaman ve mekânda yerel algılama ve karar verme süreçleriyle eklendiği bir yapıdır. Bu yavaş ve etkileşimli sürecin iki belirgin avantajı vardır: hammaddenin yerel güneş ve yağıştan üretilebilmesi ve uyarlanabilirlik ile değişime olanak tanınması.</w:t>
      </w:r>
    </w:p>
    <w:p>
      <w:pPr>
        <w:spacing w:after="160" w:line="360"/>
        <w:jc w:val="both"/>
      </w:pPr>
      <w:r>
        <w:rPr>
          <w:rFonts w:ascii="Times New Roman" w:cs="Times New Roman" w:eastAsia="Times New Roman" w:hAnsi="Times New Roman"/>
          <w:sz w:val="24"/>
          <w:szCs w:val="24"/>
        </w:rPr>
        <w:t xml:space="preserve">Aynı çalışma, endüstriyel standartlaşmanın nedenine ilişkin açıklayıcı bir nedensellik zinciri de kurmaktadır. İskân ile inşa birbirinden ayrıldığında, yapının kullanımını azami kılmak için inşa aşamasının olabildiğince kısa olması gerekir; bu senaryoda geniş bir alandan gelen kaynakların sınırlı bir odakta yoğun biçimde kullanılmasına olanak tanıdığı için merkezî bir sistem büyük yarar sağlar. Burada ölçek ekonomileri belirleyici hâle gelir ve malzemelerin standartlaşması bunu izler. Buna karşılık daha organik bir büyüme modeli olanaklı kılındığında malzeme tedariki yerel olarak çözülebilir; kil ve toprak gibi malzemeler artık yapı parçalarından veya kazıdan elde edilebilir, biyolojik hammaddeler ise yapının üzerinde ya da yakınında yetiştirilerek yerel atık ve kompostla birlikte kullanılabilir.</w:t>
      </w:r>
    </w:p>
    <w:p>
      <w:pPr>
        <w:pStyle w:val="Heading2"/>
        <w:spacing w:after="180" w:before="320" w:line="360"/>
      </w:pPr>
      <w:r>
        <w:rPr>
          <w:rFonts w:ascii="Times New Roman" w:cs="Times New Roman" w:eastAsia="Times New Roman" w:hAnsi="Times New Roman"/>
          <w:b/>
          <w:bCs/>
          <w:sz w:val="26"/>
          <w:szCs w:val="26"/>
        </w:rPr>
        <w:t xml:space="preserve">5.5. Yedeklilik ve Ölçekler Arası Bağımlılık</w:t>
      </w:r>
    </w:p>
    <w:p>
      <w:pPr>
        <w:spacing w:after="160" w:line="360"/>
        <w:jc w:val="both"/>
      </w:pPr>
      <w:r>
        <w:rPr>
          <w:rFonts w:ascii="Times New Roman" w:cs="Times New Roman" w:eastAsia="Times New Roman" w:hAnsi="Times New Roman"/>
          <w:b w:val="false"/>
          <w:bCs w:val="false"/>
          <w:i w:val="false"/>
          <w:iCs w:val="false"/>
          <w:sz w:val="24"/>
          <w:szCs w:val="24"/>
        </w:rPr>
        <w:t xml:space="preserve">Dirençlilik tartışmasının yapısal karşılığı yedeklilik kavramında belirginleşir. Andréen ve Goidea (2022), ekolojik sistemlerin büyük ölçüde yedekliliğe ve etkileşime dayandığını belirtmekte ve yedekliliği, Wildavsky’den aktararak, </w:t>
      </w:r>
      <w:r>
        <w:rPr>
          <w:rFonts w:ascii="Times New Roman" w:cs="Times New Roman" w:eastAsia="Times New Roman" w:hAnsi="Times New Roman"/>
          <w:b w:val="false"/>
          <w:bCs w:val="false"/>
          <w:i w:val="false"/>
          <w:iCs w:val="false"/>
          <w:sz w:val="24"/>
          <w:szCs w:val="24"/>
        </w:rPr>
        <w:t xml:space="preserve">“bir sistemdeki işlev örtüşmesinin, hayati işlevlerin sürmesine ve daha önce yedek konumundaki ögelerin yeni işlevler üstlenmesine olanak tanıyarak sistemin değişmesine izin verme derecesi”</w:t>
      </w:r>
      <w:r>
        <w:rPr>
          <w:rFonts w:ascii="Times New Roman" w:cs="Times New Roman" w:eastAsia="Times New Roman" w:hAnsi="Times New Roman"/>
          <w:b w:val="false"/>
          <w:bCs w:val="false"/>
          <w:i w:val="false"/>
          <w:iCs w:val="false"/>
          <w:sz w:val="24"/>
          <w:szCs w:val="24"/>
        </w:rPr>
        <w:t xml:space="preserve"> olarak tanımlamaktadır (Wildavsky, Hassler ve Kohler içinde; akt. Andréen ve Goidea, 2022).</w:t>
      </w:r>
    </w:p>
    <w:p>
      <w:pPr>
        <w:spacing w:after="160" w:line="360"/>
        <w:jc w:val="both"/>
      </w:pPr>
      <w:r>
        <w:rPr>
          <w:rFonts w:ascii="Times New Roman" w:cs="Times New Roman" w:eastAsia="Times New Roman" w:hAnsi="Times New Roman"/>
          <w:b w:val="false"/>
          <w:bCs w:val="false"/>
          <w:i w:val="false"/>
          <w:iCs w:val="false"/>
          <w:sz w:val="24"/>
          <w:szCs w:val="24"/>
        </w:rPr>
        <w:t xml:space="preserve">Yazarlar bu ilkeyi örümcek ağları üzerinden örneklendirmektedir: özellikle üç boyutlu karışık ağlar her yönde yüksek sağlamlık ve dirençlilik gösterir; %100 gerinimde bile ağın bütünlüğü ve işlevselliği korunur, çünkü karmaşık örgü içindeki lif yedekliliği, bütünsel çöküşü önleyerek art arda kopmaya olanak tanır. Aynı ilkenin mimari karşılığı olarak </w:t>
      </w:r>
      <w:r>
        <w:rPr>
          <w:rFonts w:ascii="Times New Roman" w:cs="Times New Roman" w:eastAsia="Times New Roman" w:hAnsi="Times New Roman"/>
          <w:b w:val="false"/>
          <w:bCs w:val="false"/>
          <w:i/>
          <w:iCs/>
          <w:sz w:val="24"/>
          <w:szCs w:val="24"/>
        </w:rPr>
        <w:t xml:space="preserve">Nimis</w:t>
      </w:r>
      <w:r>
        <w:rPr>
          <w:rFonts w:ascii="Times New Roman" w:cs="Times New Roman" w:eastAsia="Times New Roman" w:hAnsi="Times New Roman"/>
          <w:b w:val="false"/>
          <w:bCs w:val="false"/>
          <w:i w:val="false"/>
          <w:iCs w:val="false"/>
          <w:sz w:val="24"/>
          <w:szCs w:val="24"/>
        </w:rPr>
        <w:t xml:space="preserve"> yapıtı anılmaktadır: hem sürecinde hem strüktüründe yedekliliğe dayanarak bütünlüğünü koruyan uç bir mimarlık biçimi. Yedeklilik bu çerçevede fazlalık değil, yerel bir bozulmanın sistemin tamamına yayılmasını engelleyen bir örgütlenme biçimidir.</w:t>
      </w:r>
    </w:p>
    <w:p>
      <w:pPr>
        <w:spacing w:after="160" w:line="360"/>
        <w:jc w:val="both"/>
      </w:pPr>
      <w:r>
        <w:rPr>
          <w:rFonts w:ascii="Times New Roman" w:cs="Times New Roman" w:eastAsia="Times New Roman" w:hAnsi="Times New Roman"/>
          <w:sz w:val="24"/>
          <w:szCs w:val="24"/>
        </w:rPr>
        <w:t xml:space="preserve">Goidea ve arkadaşları (2022) ise biyotasarımı “canlı maddeyle, canlı madde olarak ya da canlı madde için tasarlamak” biçiminde tanımlamakta ve önerdikleri ölçekler arası (transkalar) yaklaşımın merkezine değişken ölçekler, sistemler ve malzemeler arasındaki karşılıklı bağımlılığı yerleştirmektedir. Yazarlara göre bu bağımlılık doğrusal olmayan etkileşimler ve hızla artan karmaşıklık üretir; biyolojik sistemlerde kural olan bu koşullar, biçimsel ve işlevsel karmaşıklığın katlanarak artması nedeniyle geleneksel mühendislik yaklaşımlarına katı bir sınır koymaktadır. Yazarlar burada Bentley’e dayanarak, doğanın ve biyolojik süreçlerin karmaşık ve birbirine bağlı sorunlara daha uygun, temelden farklı bir “tasarım” mantığına dayandığını ve bunun söz konusu “karmaşıklık tavanını” aşmayı olanaklı kıldığını aktarmaktadır.</w:t>
      </w:r>
    </w:p>
    <w:p>
      <w:pPr>
        <w:spacing w:after="160" w:line="360"/>
        <w:jc w:val="both"/>
      </w:pPr>
      <w:r>
        <w:rPr>
          <w:rFonts w:ascii="Times New Roman" w:cs="Times New Roman" w:eastAsia="Times New Roman" w:hAnsi="Times New Roman"/>
          <w:sz w:val="24"/>
          <w:szCs w:val="24"/>
        </w:rPr>
        <w:t xml:space="preserve">Bu nokta, dirençliliğin yalnızca malzeme ölçeğinde ele alınamayacağını göstermektedir. Heymans ve arkadaşları (2019), dirençlilik düşüncesinin kentlerin insan ve insan-dışı tüm sakinlerini kapsaması gerektiği; yalnızca insan toplumunun dirençliliğine odaklanmanın sosyo-ekolojik sistemin dirençliliğini aşındırabileceği uyarısını aktarmaktadır. Yazarlara göre insanların kendilerini ekosistemlerin bir parçası olarak anlaması, ekosistem hizmetlerini ve diğer olumlu toplumsal ve ekolojik sonuçları üreten ya da güçlendiren erdemli döngüleri veya geri besleme ilişkilerini teşvik etmek açısından gereklidir.</w:t>
      </w:r>
    </w:p>
    <w:p>
      <w:pPr>
        <w:spacing w:after="160" w:line="360"/>
        <w:jc w:val="both"/>
      </w:pPr>
      <w:r>
        <w:rPr>
          <w:rFonts w:ascii="Times New Roman" w:cs="Times New Roman" w:eastAsia="Times New Roman" w:hAnsi="Times New Roman"/>
          <w:sz w:val="24"/>
          <w:szCs w:val="24"/>
        </w:rPr>
        <w:t xml:space="preserve">Bu değerlendirmeler, döngüsellik ile dirençliliğin eş anlamlı olmadığını, ancak uyarlanabilirlik, modülerlik, tersinirlik, kaynak çeşitliliği ve onarılabilirlik gibi ortak tasarım özellikleri üzerinden birbirini destekleyen iki yaklaşım olarak değerlendirilebileceğini göstermektedir.</w:t>
      </w:r>
    </w:p>
    <w:p>
      <w:pPr>
        <w:pStyle w:val="Heading1"/>
        <w:spacing w:after="180" w:before="480" w:line="360"/>
      </w:pPr>
      <w:r>
        <w:rPr>
          <w:rFonts w:ascii="Times New Roman" w:cs="Times New Roman" w:eastAsia="Times New Roman" w:hAnsi="Times New Roman"/>
          <w:b/>
          <w:bCs/>
          <w:sz w:val="26"/>
          <w:szCs w:val="26"/>
        </w:rPr>
        <w:t xml:space="preserve">KAYNAKÇA</w:t>
      </w:r>
    </w:p>
    <w:p>
      <w:pPr>
        <w:spacing w:after="180" w:line="360"/>
        <w:jc w:val="both"/>
      </w:pPr>
      <w:r>
        <w:rPr>
          <w:rFonts w:ascii="Times New Roman" w:cs="Times New Roman" w:eastAsia="Times New Roman" w:hAnsi="Times New Roman"/>
          <w:i/>
          <w:iCs/>
          <w:sz w:val="24"/>
          <w:szCs w:val="24"/>
        </w:rPr>
        <w:t xml:space="preserve">Bu alt bölümde doğrudan atıf yapılan kaynaklar:</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&amp;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Goidea, A., Floudas, D., &amp; Andréen, D. (2022). Transcalar design: An approach to biodesign in the built environment. </w:t>
      </w:r>
      <w:r>
        <w:rPr>
          <w:rFonts w:ascii="Times New Roman" w:cs="Times New Roman" w:eastAsia="Times New Roman" w:hAnsi="Times New Roman"/>
          <w:i/>
          <w:iCs/>
          <w:sz w:val="24"/>
          <w:szCs w:val="24"/>
        </w:rPr>
        <w:t xml:space="preserve">Infrastructures, 7</w:t>
      </w:r>
      <w:r>
        <w:rPr>
          <w:rFonts w:ascii="Times New Roman" w:cs="Times New Roman" w:eastAsia="Times New Roman" w:hAnsi="Times New Roman"/>
          <w:i w:val="false"/>
          <w:iCs w:val="false"/>
          <w:sz w:val="24"/>
          <w:szCs w:val="24"/>
        </w:rPr>
        <w:t xml:space="preserve">(4), 50. https://doi.org/10.3390/infrastructures7040050</w:t>
      </w:r>
    </w:p>
    <w:p>
      <w:pPr>
        <w:spacing w:after="140" w:line="360"/>
        <w:ind w:left="567" w:hanging="567"/>
        <w:jc w:val="left"/>
      </w:pPr>
      <w:r>
        <w:rPr>
          <w:rFonts w:ascii="Times New Roman" w:cs="Times New Roman" w:eastAsia="Times New Roman" w:hAnsi="Times New Roman"/>
          <w:i w:val="false"/>
          <w:iCs w:val="false"/>
          <w:sz w:val="24"/>
          <w:szCs w:val="24"/>
        </w:rPr>
        <w:t xml:space="preserve">Heymans, A., Breadsell, J., Morrison, G. M., Byrne, J. J., &amp; Eon, C. (2019). Ecological urban planning and design: A systematic literature review. </w:t>
      </w:r>
      <w:r>
        <w:rPr>
          <w:rFonts w:ascii="Times New Roman" w:cs="Times New Roman" w:eastAsia="Times New Roman" w:hAnsi="Times New Roman"/>
          <w:i/>
          <w:iCs/>
          <w:sz w:val="24"/>
          <w:szCs w:val="24"/>
        </w:rPr>
        <w:t xml:space="preserve">Sustainability, 11</w:t>
      </w:r>
      <w:r>
        <w:rPr>
          <w:rFonts w:ascii="Times New Roman" w:cs="Times New Roman" w:eastAsia="Times New Roman" w:hAnsi="Times New Roman"/>
          <w:i w:val="false"/>
          <w:iCs w:val="false"/>
          <w:sz w:val="24"/>
          <w:szCs w:val="24"/>
        </w:rPr>
        <w:t xml:space="preserve">(13), 3723. https://doi.org/10.3390/su11133723</w:t>
      </w:r>
    </w:p>
    <w:p>
      <w:pPr>
        <w:pStyle w:val="Heading1"/>
        <w:spacing w:after="180" w:before="480" w:line="360"/>
      </w:pPr>
      <w:r>
        <w:rPr>
          <w:rFonts w:ascii="Times New Roman" w:cs="Times New Roman" w:eastAsia="Times New Roman" w:hAnsi="Times New Roman"/>
          <w:b/>
          <w:bCs/>
          <w:sz w:val="24"/>
          <w:szCs w:val="24"/>
        </w:rPr>
        <w:t xml:space="preserve">EK A. İkincil Atıfların Birincil Künyeleri (temin edilecek)</w:t>
      </w:r>
    </w:p>
    <w:p>
      <w:pPr>
        <w:spacing w:after="160" w:line="360"/>
        <w:jc w:val="both"/>
      </w:pPr>
      <w:r>
        <w:rPr>
          <w:rFonts w:ascii="Times New Roman" w:cs="Times New Roman" w:eastAsia="Times New Roman" w:hAnsi="Times New Roman"/>
          <w:i/>
          <w:iCs/>
          <w:sz w:val="24"/>
          <w:szCs w:val="24"/>
        </w:rPr>
        <w:t xml:space="preserve">Metinde “akt.” ile verilen ikincil atıfların birincil kaynakları aşağıda tam künyeleriyle listelenmiştir. Bu kaynaklar temin edildiğinde ilgili atıflar doğrudan atfa çevrilebilir ve kaynakçaya eklenebilir. Künyeler, Andréen ve Goidea (2022) ile Goidea vd. (2022) çalışmalarının kaynakçalarından alınmıştır.</w:t>
      </w:r>
    </w:p>
    <w:p>
      <w:pPr>
        <w:spacing w:after="140" w:line="360"/>
        <w:ind w:left="567" w:hanging="567"/>
        <w:jc w:val="left"/>
      </w:pPr>
      <w:r>
        <w:rPr>
          <w:rFonts w:ascii="Times New Roman" w:cs="Times New Roman" w:eastAsia="Times New Roman" w:hAnsi="Times New Roman"/>
          <w:i w:val="false"/>
          <w:iCs w:val="false"/>
          <w:sz w:val="20"/>
          <w:szCs w:val="20"/>
        </w:rPr>
        <w:t xml:space="preserve">Folke, C. (2006). Resilience: The emergence of a perspective for social–ecological systems analyses. </w:t>
      </w:r>
      <w:r>
        <w:rPr>
          <w:rFonts w:ascii="Times New Roman" w:cs="Times New Roman" w:eastAsia="Times New Roman" w:hAnsi="Times New Roman"/>
          <w:i/>
          <w:iCs/>
          <w:sz w:val="20"/>
          <w:szCs w:val="20"/>
        </w:rPr>
        <w:t xml:space="preserve">Global Environmental Change, 16</w:t>
      </w:r>
      <w:r>
        <w:rPr>
          <w:rFonts w:ascii="Times New Roman" w:cs="Times New Roman" w:eastAsia="Times New Roman" w:hAnsi="Times New Roman"/>
          <w:i w:val="false"/>
          <w:iCs w:val="false"/>
          <w:sz w:val="20"/>
          <w:szCs w:val="20"/>
        </w:rPr>
        <w:t xml:space="preserve">(3), 253–267. https://doi.org/10.1016/j.gloenvcha.2006.04.002  → §5.1’deki dirençlilik tanımı</w:t>
      </w:r>
    </w:p>
    <w:p>
      <w:pPr>
        <w:spacing w:after="140" w:line="360"/>
        <w:ind w:left="567" w:hanging="567"/>
        <w:jc w:val="left"/>
      </w:pPr>
      <w:r>
        <w:rPr>
          <w:rFonts w:ascii="Times New Roman" w:cs="Times New Roman" w:eastAsia="Times New Roman" w:hAnsi="Times New Roman"/>
          <w:i w:val="false"/>
          <w:iCs w:val="false"/>
          <w:sz w:val="20"/>
          <w:szCs w:val="20"/>
        </w:rPr>
        <w:t xml:space="preserve">Hassler, U., &amp; Kohler, N. (2014). Resilience in the built environment. </w:t>
      </w:r>
      <w:r>
        <w:rPr>
          <w:rFonts w:ascii="Times New Roman" w:cs="Times New Roman" w:eastAsia="Times New Roman" w:hAnsi="Times New Roman"/>
          <w:i/>
          <w:iCs/>
          <w:sz w:val="20"/>
          <w:szCs w:val="20"/>
        </w:rPr>
        <w:t xml:space="preserve">Building Research &amp; Information, 42</w:t>
      </w:r>
      <w:r>
        <w:rPr>
          <w:rFonts w:ascii="Times New Roman" w:cs="Times New Roman" w:eastAsia="Times New Roman" w:hAnsi="Times New Roman"/>
          <w:i w:val="false"/>
          <w:iCs w:val="false"/>
          <w:sz w:val="20"/>
          <w:szCs w:val="20"/>
        </w:rPr>
        <w:t xml:space="preserve">(2), 119–129. https://doi.org/10.1080/09613218.2014.873593  → §5.5’teki yedeklilik tanımı (Wildavsky bu çalışma içinde aktarılmaktadır). ÖNCELİK: BİRİNCİ</w:t>
      </w:r>
    </w:p>
    <w:p>
      <w:pPr>
        <w:spacing w:after="140" w:line="360"/>
        <w:ind w:left="567" w:hanging="567"/>
        <w:jc w:val="left"/>
      </w:pPr>
      <w:r>
        <w:rPr>
          <w:rFonts w:ascii="Times New Roman" w:cs="Times New Roman" w:eastAsia="Times New Roman" w:hAnsi="Times New Roman"/>
          <w:i w:val="false"/>
          <w:iCs w:val="false"/>
          <w:sz w:val="20"/>
          <w:szCs w:val="20"/>
        </w:rPr>
        <w:t xml:space="preserve">Walker, B. H. (1992). Biodiversity and ecological redundancy. </w:t>
      </w:r>
      <w:r>
        <w:rPr>
          <w:rFonts w:ascii="Times New Roman" w:cs="Times New Roman" w:eastAsia="Times New Roman" w:hAnsi="Times New Roman"/>
          <w:i/>
          <w:iCs/>
          <w:sz w:val="20"/>
          <w:szCs w:val="20"/>
        </w:rPr>
        <w:t xml:space="preserve">Conservation Biology, 6</w:t>
      </w:r>
      <w:r>
        <w:rPr>
          <w:rFonts w:ascii="Times New Roman" w:cs="Times New Roman" w:eastAsia="Times New Roman" w:hAnsi="Times New Roman"/>
          <w:i w:val="false"/>
          <w:iCs w:val="false"/>
          <w:sz w:val="20"/>
          <w:szCs w:val="20"/>
        </w:rPr>
        <w:t xml:space="preserve">(1), 18–23.  → ekolojik sistemlerin yedekliliğe ve etkileşime dayanması; §5.5 kapanışındaki çeşitlilik ve yedeklilik öznitelikleri</w:t>
      </w:r>
    </w:p>
    <w:p>
      <w:pPr>
        <w:spacing w:after="140" w:line="360"/>
        <w:ind w:left="567" w:hanging="567"/>
        <w:jc w:val="left"/>
      </w:pPr>
      <w:r>
        <w:rPr>
          <w:rFonts w:ascii="Times New Roman" w:cs="Times New Roman" w:eastAsia="Times New Roman" w:hAnsi="Times New Roman"/>
          <w:i w:val="false"/>
          <w:iCs w:val="false"/>
          <w:sz w:val="20"/>
          <w:szCs w:val="20"/>
        </w:rPr>
        <w:t xml:space="preserve">Su, I., &amp; Buehler, M. J. (2020). Mesomechanics of a three-dimensional spider web. </w:t>
      </w:r>
      <w:r>
        <w:rPr>
          <w:rFonts w:ascii="Times New Roman" w:cs="Times New Roman" w:eastAsia="Times New Roman" w:hAnsi="Times New Roman"/>
          <w:i/>
          <w:iCs/>
          <w:sz w:val="20"/>
          <w:szCs w:val="20"/>
        </w:rPr>
        <w:t xml:space="preserve">Journal of the Mechanics and Physics of Solids, 144</w:t>
      </w:r>
      <w:r>
        <w:rPr>
          <w:rFonts w:ascii="Times New Roman" w:cs="Times New Roman" w:eastAsia="Times New Roman" w:hAnsi="Times New Roman"/>
          <w:i w:val="false"/>
          <w:iCs w:val="false"/>
          <w:sz w:val="20"/>
          <w:szCs w:val="20"/>
        </w:rPr>
        <w:t xml:space="preserve">, 104096. https://doi.org/10.1016/j.jmps.2020.104096  → §5.5’teki örümcek ağı verileri</w:t>
      </w:r>
    </w:p>
    <w:p>
      <w:pPr>
        <w:spacing w:after="140" w:line="360"/>
        <w:ind w:left="567" w:hanging="567"/>
        <w:jc w:val="left"/>
      </w:pPr>
      <w:r>
        <w:rPr>
          <w:rFonts w:ascii="Times New Roman" w:cs="Times New Roman" w:eastAsia="Times New Roman" w:hAnsi="Times New Roman"/>
          <w:i w:val="false"/>
          <w:iCs w:val="false"/>
          <w:sz w:val="20"/>
          <w:szCs w:val="20"/>
        </w:rPr>
        <w:t xml:space="preserve">Ferrari, E. P. (2021). From soil to domes: Vernacular architecture and construction techniques in Esfahak, South Khorasan. </w:t>
      </w:r>
      <w:r>
        <w:rPr>
          <w:rFonts w:ascii="Times New Roman" w:cs="Times New Roman" w:eastAsia="Times New Roman" w:hAnsi="Times New Roman"/>
          <w:i/>
          <w:iCs/>
          <w:sz w:val="20"/>
          <w:szCs w:val="20"/>
        </w:rPr>
        <w:t xml:space="preserve">Journal of the British Institute of Persian Studies</w:t>
      </w:r>
      <w:r>
        <w:rPr>
          <w:rFonts w:ascii="Times New Roman" w:cs="Times New Roman" w:eastAsia="Times New Roman" w:hAnsi="Times New Roman"/>
          <w:i w:val="false"/>
          <w:iCs w:val="false"/>
          <w:sz w:val="20"/>
          <w:szCs w:val="20"/>
        </w:rPr>
        <w:t xml:space="preserve">. https://doi.org/10.1080/05786967.2021.1960883  → §5.4’teki Esfahak örneği</w:t>
      </w:r>
    </w:p>
    <w:p>
      <w:pPr>
        <w:pStyle w:val="Heading1"/>
        <w:spacing w:after="180" w:before="440" w:line="360"/>
      </w:pPr>
      <w:r>
        <w:rPr>
          <w:rFonts w:ascii="Times New Roman" w:cs="Times New Roman" w:eastAsia="Times New Roman" w:hAnsi="Times New Roman"/>
          <w:b/>
          <w:bCs/>
          <w:sz w:val="24"/>
          <w:szCs w:val="24"/>
        </w:rPr>
        <w:t xml:space="preserve">EK B.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Bu alt bölümün dört ana kaynağının (Andréen &amp; Goidea, 2022; Goidea vd., 2022; Heymans vd., 2019; Chang vd., 2020) tam metinleri incelenmiş ve metindeki tüm iddialar birincil kaynaklardan doğrulanmıştır. Dört kaynağın tamamı ve DOI bilgileri makale metinlerinden teyit edilmiştir.</w:t>
      </w:r>
    </w:p>
    <w:p>
      <w:pPr>
        <w:spacing w:after="120" w:line="300"/>
        <w:ind w:left="400" w:hanging="400"/>
        <w:jc w:val="both"/>
      </w:pPr>
      <w:r>
        <w:rPr>
          <w:rFonts w:ascii="Times New Roman" w:cs="Times New Roman" w:eastAsia="Times New Roman" w:hAnsi="Times New Roman"/>
          <w:sz w:val="20"/>
          <w:szCs w:val="20"/>
        </w:rPr>
        <w:t xml:space="preserve">2. ÖNEMLİ DÜZELTME — Heymans vd. (2019) hakkında: Bu kaynak sıklıkla “dirençlilik öznitelikleri: çeşitlilik, bağlantısallık, modülerlik, bolluk” kaynağı olarak anılmaktadır. Tam metin kontrolünde bu doğrulanmamıştır. Heymans vd. yedi ana tema belirlemektedir: ekosistem hizmetleri, sosyo-ekolojik sistemler, dirençlilik, biyoçeşitlilik, peyzaj, yeşil altyapı ve bütünleşik/bütüncül yaklaşımlar. Dirençlilik bu temalardan biridir; çalışma ölçülebilir bir öznitelik seti önermemektedir. Dolayısıyla §5.5 kapanışındaki öznitelik listesi bu kaynağa atfedilmemiştir ve atfedilmemelidir.</w:t>
      </w:r>
    </w:p>
    <w:p>
      <w:pPr>
        <w:spacing w:after="120" w:line="300"/>
        <w:ind w:left="400" w:hanging="400"/>
        <w:jc w:val="both"/>
      </w:pPr>
      <w:r>
        <w:rPr>
          <w:rFonts w:ascii="Times New Roman" w:cs="Times New Roman" w:eastAsia="Times New Roman" w:hAnsi="Times New Roman"/>
          <w:sz w:val="20"/>
          <w:szCs w:val="20"/>
        </w:rPr>
        <w:t xml:space="preserve">3. §5.5’teki öznitelik listesi bölümün kendi sentezi olarak sunulmaktadır. Listedeki yedeklilik için metinde kaynaklı bir temel kurulmuştur (Wildavsky → Hassler &amp; Kohler → Andréen &amp; Goidea zinciri). Diğer dört öznitelik için doğrudan kaynak gösterilecekse Ek A’daki Walker (1992) ve Hassler &amp; Kohler (2014) temin edilmelidir.</w:t>
      </w:r>
    </w:p>
    <w:p>
      <w:pPr>
        <w:spacing w:after="120" w:line="300"/>
        <w:ind w:left="400" w:hanging="400"/>
        <w:jc w:val="both"/>
      </w:pPr>
      <w:r>
        <w:rPr>
          <w:rFonts w:ascii="Times New Roman" w:cs="Times New Roman" w:eastAsia="Times New Roman" w:hAnsi="Times New Roman"/>
          <w:sz w:val="20"/>
          <w:szCs w:val="20"/>
        </w:rPr>
        <w:t xml:space="preserve">4. İkincil atıf sayısı üçtür ve hepsi metinde “akt.” ya da “aktarmaktadır” ile açıkça işaretlenmiştir: Folke (2006) dirençlilik tanımı için; Wildavsky/Hassler &amp; Kohler yedeklilik tanımı için; Bentley karmaşıklık tavanı kavramı için. Bentley’in künyesi Goidea vd.’nin (2022) kaynakçasından (kaynak 24) alınmalıdır.</w:t>
      </w:r>
    </w:p>
    <w:p>
      <w:pPr>
        <w:spacing w:after="120" w:line="300"/>
        <w:ind w:left="400" w:hanging="400"/>
        <w:jc w:val="both"/>
      </w:pPr>
      <w:r>
        <w:rPr>
          <w:rFonts w:ascii="Times New Roman" w:cs="Times New Roman" w:eastAsia="Times New Roman" w:hAnsi="Times New Roman"/>
          <w:sz w:val="20"/>
          <w:szCs w:val="20"/>
        </w:rPr>
        <w:t xml:space="preserve">5. Heymans vd. (2019) metninde, dirençliliğin insan ve insan-dışı sakinleri kapsaması gerektiği uyarısı yazarların kendi kaynak [20]’sinden aktarılmaktadır; metinde bu nedenle “aktarmaktadır” ifadesi kullanılmıştır.</w:t>
      </w:r>
    </w:p>
    <w:p>
      <w:pPr>
        <w:spacing w:after="120" w:line="300"/>
        <w:ind w:left="400" w:hanging="400"/>
        <w:jc w:val="both"/>
      </w:pPr>
      <w:r>
        <w:rPr>
          <w:rFonts w:ascii="Times New Roman" w:cs="Times New Roman" w:eastAsia="Times New Roman" w:hAnsi="Times New Roman"/>
          <w:sz w:val="20"/>
          <w:szCs w:val="20"/>
        </w:rPr>
        <w:t xml:space="preserve">6. Esfahak köyünün İran’da bulunduğu bilgisi Andréen ve Goidea (2022) çalışmasının Şekil 4 altyazısından doğrulanmıştır; ayrıca aynı çalışmanın kaynak [20]’si (Ferrari, 2021) köyün Güney Horasan’da olduğunu belirtmektedir.</w:t>
      </w:r>
    </w:p>
    <w:p>
      <w:pPr>
        <w:spacing w:after="120" w:line="300"/>
        <w:ind w:left="400" w:hanging="400"/>
        <w:jc w:val="both"/>
      </w:pPr>
      <w:r>
        <w:rPr>
          <w:rFonts w:ascii="Times New Roman" w:cs="Times New Roman" w:eastAsia="Times New Roman" w:hAnsi="Times New Roman"/>
          <w:sz w:val="20"/>
          <w:szCs w:val="20"/>
        </w:rPr>
        <w:t xml:space="preserve">7. HACİM NOTU: Alt bölümün gövdesi yaklaşık 1.370 kelimedir; plandaki hedef 950 kelimeydi. Kısaltma gerekirse en uygun yer §5.1’in ikinci paragrafıdır — Heymans vd. ile Andréen ve Goidea aynı ayrımı iki kez kurmaktadır; biri özetlenerek yaklaşık 150 kelime kazanılabilir. İkinci seçenek §5.4’teki standartlaşma zincirinin sıkıştırılmasıdır.</w:t>
      </w:r>
    </w:p>
    <w:p>
      <w:pPr>
        <w:spacing w:after="120" w:line="300"/>
        <w:ind w:left="400" w:hanging="400"/>
        <w:jc w:val="both"/>
      </w:pPr>
      <w:r>
        <w:rPr>
          <w:rFonts w:ascii="Times New Roman" w:cs="Times New Roman" w:eastAsia="Times New Roman" w:hAnsi="Times New Roman"/>
          <w:sz w:val="20"/>
          <w:szCs w:val="20"/>
        </w:rPr>
        <w:t xml:space="preserve">8. Bu alt bölümde yazarın kendi doktora tezinden hiçbir veri veya atıf kullanılmamıştır.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Adaptasyon, Değişkenlik ve Dirençlilik</dc:title>
  <dc:creator>Betül Ünal</dc:creator>
  <dc:description>İç Mimarlıkta Sürdürülebilir Malzeme Seçimi ve Döngüsel Tasarım — 5. bölüm taslağı</dc:description>
  <cp:lastModifiedBy>Un-named</cp:lastModifiedBy>
  <cp:revision>1</cp:revision>
  <dcterms:created xsi:type="dcterms:W3CDTF">2026-10-01T08:04:06.003Z</dcterms:created>
  <dcterms:modified xsi:type="dcterms:W3CDTF">2026-10-01T08:04:06.007Z</dcterms:modified>
</cp:coreProperties>
</file>

<file path=docProps/custom.xml><?xml version="1.0" encoding="utf-8"?>
<Properties xmlns="http://schemas.openxmlformats.org/officeDocument/2006/custom-properties" xmlns:vt="http://schemas.openxmlformats.org/officeDocument/2006/docPropsVTypes"/>
</file>