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Adaptasyon, değişkenlik ve zamansallık özellikleri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İkincisi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i/>
          <w:iCs/>
          <w:sz w:val="24"/>
          <w:szCs w:val="24"/>
        </w:rPr>
        <w:t xml:space="preserve">Araştırma sorusu: </w:t>
      </w:r>
      <w:r>
        <w:rPr>
          <w:rFonts w:ascii="Times New Roman" w:cs="Times New Roman" w:eastAsia="Times New Roman" w:hAnsi="Times New Roman"/>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i/>
          <w:iCs/>
          <w:sz w:val="24"/>
          <w:szCs w:val="24"/>
        </w:rPr>
        <w:t xml:space="preserve">Hipotez: </w:t>
      </w:r>
      <w:r>
        <w:rPr>
          <w:rFonts w:ascii="Times New Roman" w:cs="Times New Roman" w:eastAsia="Times New Roman" w:hAnsi="Times New Roman"/>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 Buna bağlı olarak bir malzemenin döngüselliği ve dirençliliği biyolojik kökeninde değil, tasarım aşamasında verilen bileşim, birleşim ve ömür sonu kararlarında belirlenmektedir.</w:t>
      </w:r>
    </w:p>
    <w:p>
      <w:pPr>
        <w:spacing w:after="160" w:line="360"/>
        <w:jc w:val="both"/>
      </w:pPr>
      <w:r>
        <w:rPr>
          <w:rFonts w:ascii="Times New Roman" w:cs="Times New Roman" w:eastAsia="Times New Roman" w:hAnsi="Times New Roman"/>
          <w:sz w:val="24"/>
          <w:szCs w:val="24"/>
        </w:rPr>
        <w:t xml:space="preserve">Bölüm bu soruyu altı adımda ele almaktadır: biyotasarım kavramının komşu kavramlardan ayrımı (Tablo 1), biyolojik temelli malzemelerin sınıflandırılması (Tablo 2), döngüsel malzeme sistemleri, dirençlilik tartışması, iç mekân ölçeğine geçiş ve bir değerlendirme çerçevesi önerisi (Tablo 3 ve Tablo 4). Sekizinci başlık bulguları üç düzlemde toparlar (Tablo 5).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Tespit, Türkçe literatür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 Ayrım kavramsal olarak belirleyicidir: biyotasarım tasarımcının pratiğini, biyolojik tasarım ise doğanın kendi sürecini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sz w:val="24"/>
          <w:szCs w:val="24"/>
        </w:rPr>
        <w:t xml:space="preserve">Andréen ve Goidea (2022), biyolojik tasarımı bir model olarak alarak dört tasarım ilkesi türetmektedir. Birincisi çeşitlilik, ikincisi biçimin karmaşıklığı ve özgüllüğü, üçüncüsü dirençlilik yoluyla dayanıklılık, dördüncüsü geri besleme ve uyarlanmadır. Yazarlar bu ilkelerin kendi başlarına yeni olmadığını özellikle vurgulamaktadır: modern inşaat sanayisinin doğuşundan önce mimarlık uzun süre bu stratejilerle üretilmiş; hem tarihsel hem güncel vernaküler mimarlık bu stratejileri büyük ölçüde içermiştir (Andréen ve Goidea, 2022). İlkelerden üçüncüsü, beşinci başlıkta ayrıntılandırılacağı üzere, biyomalzemelerle çalışmanın kuramsal gerekçesini oluşturmaktadır.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gelmektedir. Kırbaş Akyürek ve diğ.’nin (2020) belirttiği gibi biyomimikrinin temel amacı biyolojik süreçleri teknolojilere çevirmektir; bu yaklaşımda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 bu ayrım, izleyen başlıkta malzemelerin sınıflandırılmasında da belirleyici olacaktır.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biyolojide tasarımcılar yeni biyolojik organizmalar tasarlamak üzere hücrelerin yeniden mühendisliğini amaçlar; biyotasarım kurgusunda biyoteknolojik geleceklerin sonuçları spekülatif senaryolar ve deneyimsel prototiplerle tartışmaya açılır; dijital biyofabrikasyonda biyolojik araçlar ileri hesaplama teknolojileriyle birleştirilir; büyüyen tasarım ise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biyomimikri, biyolojik temelli, canlı</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biyomimikri temelli, biyolojik temelli ve canlı malzeme tasarımları. Birinci kategori, ikinci başlıkta ele alınan biyomimikri yaklaşımının malzeme ölçeğindeki karşılığıdır. Ayrımın belirleyici ölçütü, doğanın tasarım sürecine hangi düzeyde dahil olduğudur. Biyomimikri temelli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Attias ve diğ. (2020) · ³ Tyagi ve Jain (2026) · ⁴ Rios ve diğ. (2015);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malzemelerin düşük etkili iç mekân uygulamalarında merkezî konumunu koruduğunu; buna karşılık miselyum, bakteriyel selüloz ve alg gibi biyofabrike malzemelerin deneysel araştırmalara hâkim olduğunu ortaya koymaktadır. Alan, bir yanda köklü bir yapı kültürüne, diğer yanda henüz laboratuvar aşamasındaki bir araştırma gündemine yaslanmaktadır. 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her organizma için birer vaka incelemesi seçmiş ve çok disiplinli uzmanlarla görüşmeler yürütmüşlerdir. En dikkat çekici bulguları şudur: canlı organizmalardan yeni malzeme ya da tasarım bileşeni geliştirilmesi, ölçek, çok katmanlılık ve gereksinimlerden kaynaklanan kısıtlar nedeniyle mimarlık ve inşaatta, tekstil ve ürün tasarımına kıyasla daha güç gerçekleşmektedir. Ölçek, canlı malzemelerin yapılı çevreye girişinde belirleyici bir eşiktir; taşıyıcı olmayan, görece küçük ölçekli iç mekân bileşenleri bu nedenle öncelikli bir uygulama alanı oluşturabilir.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almaktadır: malzeme deneyimimiz, çevremizi saran nesnelerin neredeyse tamamının endüstriyel seri üretimden gelmesi nedeniyle koşullanmış bir deneyimdir; malzeme geliştirme ise büyük ölçüde stratejik sektörlerdeki teknik sorunların çözümü ile ölçeklenebilir uygun maliyetli çözüm arayışının denetimindedir.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 114 tanımı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w:t>
      </w:r>
    </w:p>
    <w:p>
      <w:pPr>
        <w:spacing w:after="160" w:line="360"/>
        <w:jc w:val="both"/>
      </w:pPr>
      <w:r>
        <w:rPr>
          <w:rFonts w:ascii="Times New Roman" w:cs="Times New Roman" w:eastAsia="Times New Roman" w:hAnsi="Times New Roman"/>
          <w:sz w:val="24"/>
          <w:szCs w:val="24"/>
        </w:rPr>
        <w:t xml:space="preserve">Yapılı çevre özelinde Pomponi ve Moncaster (2017), yapı araştırmalarında döngüsel ekonomiyi tanımlayan altı temel boyut belirlemektedir: çevresel, teknolojik, ekonomik, toplumsal, yönetsel ve davranışsal. Yazarlara göre bu boyutları bir araya getiren başvuru çerçevesi, mevcut girişimleri kümelemek ve disiplinler arası çalışmalar için eksik bağlantıları görünür kılmak bakımından değerli bir araçtır.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 akımlarının kaynağa dönüşmesi</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Ahşabın erişilebilirliği bölgesel olarak kısıtlıyken ahşap dışı tarımsal kaynaklar çok daha yaygındır; bu dağılım, ahşap kaynakları sınırlı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Döngüselliğin tasarım aşamasında kararlaşması</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Yazarların amacı, söz konusu kuram ile uygulama arasındaki boşluğu ortaya koymaktır. Boşluğun kaynağı tasarım aşamasıdır: Edalat (2026) de malzeme tedariki, sökülebilirlik için tasarım ve bağlayıcı türünün — doğal, sentetik ya da hiç kullanılmamış olması —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Edalat, 2026). Buna karşılık aynı atık, sentetik bir reçineyle bağlandığında döngüsellik iddiası ortadan kalkar; altıncı başlıkta aktarılan iç mekân duvar paneli örneği bu durumu göstermektedir.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bulunmaktadır (O’Rourke ve Seepersad, 2015) ve biyokompozitlerin uzun süreli dayanıklılığına ilişkin bilgi sınırlıdır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 iki grubun tamamlayıcı güçlerinin bütünleştirilmesi döngüselliğe daha dirençli bir yol sunmaktadır (Edalat, 2026). Tartışmanın malzeme ölçeğinden mekân ölçeğine taşınmasını gerektiren nokta da burasıdır.</w:t>
      </w:r>
    </w:p>
    <w:p>
      <w:pPr>
        <w:pStyle w:val="Heading1"/>
        <w:spacing w:after="220" w:before="440" w:line="360"/>
      </w:pPr>
      <w:r>
        <w:rPr>
          <w:rFonts w:ascii="Times New Roman" w:cs="Times New Roman" w:eastAsia="Times New Roman" w:hAnsi="Times New Roman"/>
          <w:b/>
          <w:bCs/>
          <w:sz w:val="26"/>
          <w:szCs w:val="26"/>
        </w:rPr>
        <w:t xml:space="preserve">5. ADAPTASYON, DEĞİŞKENLİK VE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taşıdığı üç özellik — adaptasyon, değişkenlik ve zamansallık —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Dirençliliğin iki tanımı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57 makale üzerinden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 Andréen ve Goidea (2022) aynı ayrımı malzeme ölçeğinde kurmakta; mühendislik dirençliliği olarak adlandırılan birinci tanımın daha çok doğrusal sistemler ile değişime direnmenin amaçlandığı bağlamlar için geçerli olduğunu belirtmektedir.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Biyomalzemenin tasarım sürecine kattıkları</w:t>
      </w:r>
    </w:p>
    <w:p>
      <w:pPr>
        <w:spacing w:after="160" w:line="360"/>
        <w:jc w:val="both"/>
      </w:pPr>
      <w:r>
        <w:rPr>
          <w:rFonts w:ascii="Times New Roman" w:cs="Times New Roman" w:eastAsia="Times New Roman" w:hAnsi="Times New Roman"/>
          <w:sz w:val="24"/>
          <w:szCs w:val="24"/>
        </w:rPr>
        <w:t xml:space="preserve">Önceki alt başlıkta dirençliliğin iki tanımı ayırt edilmişti; burada sorulan soru farklıdır: biyolojik temelli malzemeler tasarım sürecine girdiğinde bu süreçte ne değişir? Değişimin ilk durağı tasarımcının konumudur. Barati ve Karana (2019), tasarımcılar ile malzeme bilimcileri arasındaki erken aşama ortak projelerini inceledikleri çalışmalarında yaratıcılığın tasarımcının zihnine ait bir yeti olmadığını, tasarımcı ile maddi dünya arasında dağılmış bir süreç olduğunu ileri sürmekte; geliştirdikleri malzeme potansiyeli olarak olanaklar kavramıyla odağı tasarımcının yapma ve üretme edimlerine kaydırmaktadır. Bu edimler, hem yerleşik hem yeni malzemelerde daha önce görülmemiş olanakların açığa çıkarılmasıdır. Tasarımcının işi böylece bir listeden seçim yapmak değil, malzemenin neye olanak tanıdığını üretim yoluyla keşfetmek hâline gelir; keşfedilen şey ise çoğu zaman malzemenin değişkenliğidir. Goidea ve diğ. (2022), miselyum biyokompozitlerde farklı mantar türlerinin hem üretim süreci hem de nesnenin performansı bakımından farklı sonuçlara yol açtığını; tür seçiminde büyüme hızı ve genetik kararlılığın yanı sıra dayanım, ısı iletkenliği ve görünüm gibi etkenlerin devreye girdiğini belirtmektedir. Değişkenlik bu çerçevede bir kusur değil, tasarımcının üzerinde çalıştığı parametre kümesidir; mimar biçim çizmek yerine, ancak bir bağlama yerleştirildiğinde anlam kazanan süreçleri tanımlar.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mikroorganizmanın failliği, malzemenin kendine özgü zamansallığı ve malzemenin toplum tarafından kabulü biçiminde üç belirsizlik kaynağıyla baş etmek durumunda kaldığını ortaya koymaktadır. Bunlardan ikincisi, büyüme, kuruma ve yaşlanma sürelerinin tasarım kararının dışında değil içinde olduğu anlamına gelir; ne var ki bu zamanın nasıl işlediği henüz büyük ölçüde bilinmemektedir (Chang ve diğ., 2020). Zamanı tasarıma dahil etmenin doğrudan sonucu, bakımın bir tasarım kararına dönüşmesidir. Graham ve Thrift (2007), modern toplumları ayakta tutan altyapıya ilişkin yerleşik kültürel kurguların onarım ve bakım etkinliklerini dikkat alanının dışına ittiğini ileri sürmektedir; biyolojik temelli malzemelerde bu dışarıda bırakma sürdürülemez, çünkü bakım kullanımın kesintiye uğraması değil koşuludur. Böylece biyotasarımın tasarım sürecine kattığı kavram kümesi belirginleşir: keşfedilecek bir malzeme potansiyeli, parametreye dönüşen bir değişkenlik, hesaba katılması gereken bir malzeme zamanı ve baştan kurgulanan bir bakım ilişkisi.</w:t>
      </w:r>
    </w:p>
    <w:p>
      <w:pPr>
        <w:pStyle w:val="Heading2"/>
        <w:spacing w:after="170" w:before="320" w:line="360"/>
      </w:pPr>
      <w:r>
        <w:rPr>
          <w:rFonts w:ascii="Times New Roman" w:cs="Times New Roman" w:eastAsia="Times New Roman" w:hAnsi="Times New Roman"/>
          <w:b/>
          <w:bCs/>
          <w:sz w:val="24"/>
          <w:szCs w:val="24"/>
        </w:rPr>
        <w:t xml:space="preserve">5.3. Dirençli iç mekânın tasarım özellikleri</w:t>
      </w:r>
    </w:p>
    <w:p>
      <w:pPr>
        <w:spacing w:after="160" w:line="360"/>
        <w:jc w:val="both"/>
      </w:pPr>
      <w:r>
        <w:rPr>
          <w:rFonts w:ascii="Times New Roman" w:cs="Times New Roman" w:eastAsia="Times New Roman" w:hAnsi="Times New Roman"/>
          <w:sz w:val="24"/>
          <w:szCs w:val="24"/>
        </w:rPr>
        <w:t xml:space="preserve">Bu kavramların mekân ölçeğindeki karşılığı, dirençliliğin bir sistem özelliği olarak nasıl kurulacağı sorusudur. Soruyu yanıtlamadan önce bir kavram ayrımı gerekir. Walker ve diğ. (2004), sosyo-ekolojik sistemlerin geleceğini belirleyen üç ilişkili özelliği birbirinden ayırmaktadır: dirençlilik, bir sistemin bozulmayı soğurma ve değişim geçirirken yeniden örgütlenerek esasen aynı işlevi, yapıyı, kimliği ve geri besleme ilişkilerini koruma kapasitesidir; uyarlanabilirlik, sistemdeki insan aktörlerin dirençliliği yönetme konusundaki ortak kapasitesidir; dönüşebilirlik ise ekolojik, ekonomik ya da toplumsal koşullar mevcut sistemi sürdürülemez kıldığında temelden yeni bir sistem yaratma kapasitesidir. Ayrım iç mimarlık açısından doğrudan karşılık bulur: dirençlilik mekânsal sistemin bir özelliği, uyarlanabilirlik kullanıcı ve tasarımcının kapasitesi, dönüşebilirlik ise mekânın bütünüyle başka bir kurguya geçebilme olanağıdır.</w:t>
      </w:r>
    </w:p>
    <w:p>
      <w:pPr>
        <w:spacing w:after="160" w:line="360"/>
        <w:jc w:val="both"/>
      </w:pPr>
      <w:r>
        <w:rPr>
          <w:rFonts w:ascii="Times New Roman" w:cs="Times New Roman" w:eastAsia="Times New Roman" w:hAnsi="Times New Roman"/>
          <w:sz w:val="24"/>
          <w:szCs w:val="24"/>
        </w:rPr>
        <w:t xml:space="preserve">Dirençliliğin hangi tasarım özellikleriyle kurulduğu sorusuna ekolojik sistem araştırmaları kaynaklı bir yanıt vardır. Biggs ve diğ. (2012), ekosistem hizmetlerinin dirençliliğini güçlendirmeye yönelik yedi genel ilke tanımlamaktadır; bunların ilk üçü çeşitlilik ile yedekliliğin korunması, bağlantısallığın yönetilmesi ve yavaş değişkenler ile geri besleme ilişkilerinin yönetilmesidir. Yazarlara göre ilkeler pratikte çoğu kez birlikte görülür ve birbirine yüksek düzeyde bağımlıdır. Bu ilkeler iç mekân ölçeğine aktarıldığında dört tasarım özelliği ortaya çıkmaktadır.</w:t>
      </w:r>
    </w:p>
    <w:p>
      <w:pPr>
        <w:spacing w:after="160" w:line="360"/>
        <w:jc w:val="both"/>
      </w:pPr>
      <w:r>
        <w:rPr>
          <w:rFonts w:ascii="Times New Roman" w:cs="Times New Roman" w:eastAsia="Times New Roman" w:hAnsi="Times New Roman"/>
          <w:sz w:val="24"/>
          <w:szCs w:val="24"/>
        </w:rPr>
        <w:t xml:space="preserve">Birincisi çeşitlilik ve yedekliliktir. Tek bir malzemeye ve tek bir birleşim türüne dayanan bir iç mekân kurgusunda yerel bir bozulma bütüne yayılır; birden çok malzemenin ve birbirinin işlevini üstlenebilecek bileşenlerin bulunduğu bir kurguda ise bozulma yerel kalır. Yedeklilik burada fazlalık değil, bozulmanın yayılmasını engelleyen bir örgütlenme biçimidir. İkincisi bağlantısallıktır; ancak Biggs ve diğ.’nin (2012) formülasyonu bağlantısallığın artırılmasını değil yönetilmesini önermektedir. İç mekânda bu, bileşenlerin birbirine nasıl bağlandığı sorusudur: tersinir birleşimler bir bileşenin ötekini bozmadan değiştirilmesine olanak tanırken, kalıcı birleşimler bütün kurguyu tek bir karara bağlar. Rios ve diğ. (2015), sökülebilirlik için tasarım ilkelerine ilişkin kapsamlı kılavuzlar bulunmasına karşın bu alanda geliştirilmiş yapı sayısının çok az kaldığını belirtmektedir; boşluk, iç mekân ölçeğinde kapatılabilecek bir boşluktur.</w:t>
      </w:r>
    </w:p>
    <w:p>
      <w:pPr>
        <w:spacing w:after="160" w:line="360"/>
        <w:jc w:val="both"/>
      </w:pPr>
      <w:r>
        <w:rPr>
          <w:rFonts w:ascii="Times New Roman" w:cs="Times New Roman" w:eastAsia="Times New Roman" w:hAnsi="Times New Roman"/>
          <w:sz w:val="24"/>
          <w:szCs w:val="24"/>
        </w:rPr>
        <w:t xml:space="preserve">Üçüncüsü bakım ve onarılabilirliktir. Graham ve Thrift’in (2007) onarım ve bakımın görünmez kılınmasına ilişkin saptaması, iç mekânda doğrudan bir tasarım sorusuna dönüşür: bir bileşen onarılabilir mi, onarım izleri kabul edilebilir mi, bakım kullanıcının yapabileceği bir iş midir? Edalat (2026), döngüsel ekonominin kullanım, onarım ve yeniden kullanım aşamalarının yeterince araştırılmadığını ve büyük ölçüde bağlama bağlı olduğunu belirtmektedir. Dördüncüsü uyarlanabilirlik ve dönüşebilirliktir; Walker ve diğ.’nin (2004) ayrımı burada ölçüt üretir: bir iç mekân kurgusu kullanıcının onu yeniden düzenlemesine olanak tanıyorsa uyarlanabilir, bütünüyle başka bir işleve ve kurguya geçebiliyorsa dönüşebilirdir.</w:t>
      </w:r>
    </w:p>
    <w:p>
      <w:pPr>
        <w:spacing w:after="160" w:line="360"/>
        <w:jc w:val="both"/>
      </w:pPr>
      <w:r>
        <w:rPr>
          <w:rFonts w:ascii="Times New Roman" w:cs="Times New Roman" w:eastAsia="Times New Roman" w:hAnsi="Times New Roman"/>
          <w:sz w:val="24"/>
          <w:szCs w:val="24"/>
        </w:rPr>
        <w:t xml:space="preserve">Dört özelliğin tamamı, ölçekler arası bir okumayı gerektirmektedir. Goidea ve diğ. (2022), değişken ölçekler, sistemler ve malzemeler arasındaki karşılıklı bağımlılığın doğrusal olmayan etkileşimler ve hızla artan karmaşıklık ürettiğini belirtmektedir; bir bileşenin dirençliliği, bağlı olduğu sistemin dirençliliğinden ayrı değerlendirilemez. Buradan çıkan sonuç, döngüsellik ile dirençliliğin eş anlamlı olmadığı; ancak çeşitlilik, tersinir bağlantı, onarılabilirlik ve uyarlanabilirlik gibi ortak tasarım özellikleri üzerinden birbirini destekleyen iki yaklaşım oluşturduğudur. Yedinci başlıkta önerilen değerlendirme çerçevesinin dirençlilik boyutu bu dört özellik üzerine kurulmaktadır.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sanıldığından daha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iç mekân tasarımında biyolojik temelli ve yenileyici malzemeler üzerine yürüttüğü sistematik derleme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 Rios ve diğ.’nin (2015) sökülebilirlik için tasarım ilkelerinin kuramda yerleşmiş olmasına karşın uygulamada çok az karşılık bulduğuna ilişkin saptaması, bu boşluğun yapı ölçeğinde de geçerli olduğunu göstermektedir.</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döngüsel ekonominin kullanım, onarım ve yeniden kullanım aşamaları yeterince araştırılmamış ve büyük ölçüde bağlama bağlıdır.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sz w:val="24"/>
          <w:szCs w:val="24"/>
        </w:rPr>
        <w:t xml:space="preserve">Bu temas yalnızca teknik bir mesele değildir. Beşinci başlıkta anılan üç belirsizlik kaynağından üçüncüsü — malzemenin toplum tarafından kabulü (Karana ve diğ., 2018) —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 Teknik performans değerleri bu bölümün kapsamı dışındadır.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dönüşmesi¹; atık alt tabaka ile organizma bileşiminin tasarlanabilmesi²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kapasitesi⁴; mineral yalıtkanlarla karşılaştırılabilir ısıl performans³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dayanımı³; uzun süreli dayanıklılık bilgisinin sınırlılığı⁵</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ISO 19624)³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eksikliği³; yönetsel boyutun araştırmada zayıf kalması⁶</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olması⁷; ömür sonu planlaması ve toplama altyapısındaki boşluklar³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olması⁸</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oluşturması¹⁰; öz üretimin tasarımcıya açtığı deney alanı¹¹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belirsizlik¹²; endüstriyel üretimle koşullanmış tekdüzelik beklentisi¹³</w:t>
            </w:r>
          </w:p>
        </w:tc>
      </w:tr>
    </w:tbl>
    <w:p>
      <w:pPr>
        <w:spacing w:after="340" w:before="130" w:line="240"/>
      </w:pPr>
      <w:r>
        <w:rPr>
          <w:rFonts w:ascii="Times New Roman" w:cs="Times New Roman" w:eastAsia="Times New Roman" w:hAnsi="Times New Roman"/>
          <w:i/>
          <w:iCs/>
          <w:sz w:val="18"/>
          <w:szCs w:val="18"/>
        </w:rPr>
        <w:t xml:space="preserve">¹ Lee ve diğ. (2022) · ² Attias ve diğ. (2020) · ³ Edalat (2026) · ⁴ Bourbia ve diğ. (2023) · ⁵ Chang ve diğ. (2020) · ⁶ Pomponi ve Moncaster (2017) · ⁷ Rios ve diğ. (2015) · ⁸ Andréen ve Goidea (2022) · ⁹ Kirchherr ve diğ. (2017) · ¹⁰ Karana ve diğ. (2015) · ¹¹ Rognoli ve diğ. (2015) · ¹² Karana ve diğ. (2018) · ¹³ Rognoli ve Ayala García (2018)</w:t>
      </w:r>
    </w:p>
    <w:p>
      <w:pPr>
        <w:spacing w:after="160" w:line="360"/>
        <w:jc w:val="both"/>
      </w:pPr>
      <w:r>
        <w:rPr>
          <w:rFonts w:ascii="Times New Roman" w:cs="Times New Roman" w:eastAsia="Times New Roman" w:hAnsi="Times New Roman"/>
          <w:sz w:val="24"/>
          <w:szCs w:val="24"/>
        </w:rPr>
        <w:t xml:space="preserve">Tablo 3’ün okunma biçimi, çerçeve önerisinin de gerekçesini vermektedir. Yedi boyutun beşi malzemenin kendisine, kaynağına ve kurumsal çevresine ilişkindir; yalnızca son boyut kullanıcıyla kurulan ilişkiyi kapsar. Buna karşılık iç mimarlıkta malzeme kararını belirleyen etkenlerin önemli bir bölümü bu son boyutta toplanmaktadır.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sz w:val="24"/>
          <w:szCs w:val="24"/>
        </w:rPr>
        <w:t xml:space="preserve">Birincisi değişkenlik ile standartlaşma arasındadır. Biyolojik temelli malzemelerin tasarım açısından en değerli niteliği olan değişkenlik, kurumsal kabul açısından en büyük engelini oluşturmaktadır. Edalat (2026), ahşap dışı malzemelerin çoğunun standartlaşmış kodlardan, kamusal farkındalıktan ve uzmanlaşmış yüklenici ağından yoksun olduğunu; tek belirgin istisnanın yapısal standartların getirilmesiyle uluslararası tanınırlık kazanan bambu olduğunu, ahşabın ise kodlar ve nitelikli işgücüyle desteklenen yerleşik konumu sayesinde daha fazla yeniden kullanım ve geri dönüşüme olanak tanıdığını belirtmektedir. Pomponi ve Moncaster’ın (2017) çerçevesi bu durumu açıklamaktadır: döngüsellik yönetsel ve davranışsal boyutları da kapsar;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İkincisi yerellik ile ölçeklenebilirlik arasındadır. Biyolojik temelli üretimin yerel kaynaklara dayanabilmesi önemli bir avantajdır; ancak bu avantaj pazar ölçeğinde bir dezavantaja dönüşebilmektedir. Edalat (2026), üretim ve dağıtım aşamalarında yüksek maliyetler, sınırlı pazar payı, merkezsiz ve parçalı tedarik zincirleri, düşük pazar şeffaflığı ve uzmanlaşmış işgücü kıtlığı gibi kalıcı güçlükler saptamaktadır. Buna karşılık Rognoli ve diğ. (2015), kişisel üretim teknolojilerinin yaygınlaşmasının dağıtık ve paylaşımlı üretim süreçleriyle deney yapmayı olanaklı kıldığını göstermektedir. İki saptama birlikte okunduğunda, merkezsizliğin sanayi ölçeğinde bir engel, tasarım pratiği ölçeğinde ise bir olanak oluşturduğu görülmektedir.</w:t>
      </w:r>
    </w:p>
    <w:p>
      <w:pPr>
        <w:spacing w:after="160" w:line="360"/>
        <w:jc w:val="both"/>
      </w:pPr>
      <w:r>
        <w:rPr>
          <w:rFonts w:ascii="Times New Roman" w:cs="Times New Roman" w:eastAsia="Times New Roman" w:hAnsi="Times New Roman"/>
          <w:sz w:val="24"/>
          <w:szCs w:val="24"/>
        </w:rPr>
        <w:t xml:space="preserve">Üçüncüsü biyolojik dönüşebilirlik ile dayanıklılık arasındadır ve bölümün hipotezini en açık biçimde sınayan gerilimdir. Edalat (2026), koyun ve kenevir yünü gibi ham biyolojik yalıtkanların geri dönüştürülebilirlik ve mineral esaslı yalıtkanlarla karşılaştırılabilir ısıl performans nedeniyle ilgi görmesine karşın zayıf yangın dayanımı ve yüksek maliyetle karşılaştığını; buna karşılık mineral yünlerin tümüyle ve sınırsız biçimde yeni ürünlere geri dönüştürülebildiğini ve bu nedenle kapalı döngü uygulamalarıyla daha etkili biçimde örtüştüğünü aktarmaktadır. Yani bu özgül karşılaştırmada, biyolojik kökenli olmayan bir malzeme, biyolojik kökenli alternatifinden daha döngüsel davranmaktadır. Samanın tümüyle biyobozunur olması da zamanla kademeli bozunmaya açıklık anlamına gelmekte ve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Altı boyutlu bir değerlendirme çerçevesi</w:t>
      </w:r>
    </w:p>
    <w:p>
      <w:pPr>
        <w:spacing w:after="160" w:line="360"/>
        <w:jc w:val="both"/>
      </w:pPr>
      <w:r>
        <w:rPr>
          <w:rFonts w:ascii="Times New Roman" w:cs="Times New Roman" w:eastAsia="Times New Roman" w:hAnsi="Times New Roman"/>
          <w:sz w:val="24"/>
          <w:szCs w:val="24"/>
        </w:rPr>
        <w:t xml:space="preserve">Yukarıdaki üç gerilim, bir malzemenin tek bir ölçüt kümesiyle değerlendirilemeyeceğini göstermektedir. Kirchherr ve diğ. (2017), döngüsellik tanımlarının çoğunun sistemsel değişimi vurgulamadığını; Pomponi ve Moncaster (2017) ise yapılı çevrede döngüselliğin altı boyutta kurulduğunu ortaya koymaktadır. Edalat (2026) de malzeme tasarımcılarının yaşam döngüsü değerlendirmesine ve sera gazı azaltımına orantısız biçimde odaklanmasının tedarik zinciri dirençliliği ve malzeme döngüselliği gibi en az onun kadar hayati yönleri ihmal ettiğini belirtmektedir.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400"/>
        <w:gridCol w:w="31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1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Birleşimler tersinir mi? Bileşen onarılabiliyor mu? Mekân uyarlanabilir ve dönüşebilir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Rios ve diğ. (2015)</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340" w:before="130" w:line="240"/>
      </w:pPr>
      <w:r>
        <w:rPr>
          <w:rFonts w:ascii="Times New Roman" w:cs="Times New Roman" w:eastAsia="Times New Roman" w:hAnsi="Times New Roman"/>
          <w:i/>
          <w:iCs/>
          <w:sz w:val="18"/>
          <w:szCs w:val="18"/>
        </w:rPr>
        <w:t xml:space="preserve">Çerçeve bu bölümün önerisidir; boyutların dayandığı saptamalar belirtilen kaynaklardan alınmıştır.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altıncı başlıkta aktarılan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sökülebilirlik ilkeleri uygulamaya geçmemiştir²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Çeşitlilik ve yedeklilik, tersinir bağlantı, onarılabilirlik, uyarlanabilirlik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Kirchherr ve diğ. (2017); Rios ve diğ. (2015) · ³ Walker ve diğ. (2004); Biggs ve diğ. (2012); Chang ve diğ. (2020)</w:t>
      </w:r>
    </w:p>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Boyutların her biri için ölçülebilir bir değerlendirme yöntemi henüz bulunmamakta; özellikle deneyimsel performans ve dirençlilik kapasitesi için yerleşik bir ölçüm yaklaşımı yoktur.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Deneyimsel performans ve dirençlilik kapasitesi boyutları için ölçülebilir değerlendirme yaklaşımları geliştirilmeli; Biggs ve diğ.’nin (2012) ekolojik ölçekte tanımladığı ilkelerin iç mekân bileşenlerine nasıl uyarlanacağı ayrıca çalışılmalı; iç mekân bileşenlerinde bağlayıcı sistemleri ve tersinir birleşim detayları araştırılmalıdır, çünkü Rios ve diğ. (2015) sökülebilirlik için tasarımda kuram ile uygulama arasındaki boşluğu açıkça ortaya koymaktadır. Biyolojik temelli iç mekân bileşenlerinin uzun süreli davranışı izlenmeli (Chang ve diğ., 2020); döngüselliğin yönetsel ve davranışsal boyutları ise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2026-10-02T08:46:43.698Z</dcterms:created>
  <dcterms:modified xsi:type="dcterms:W3CDTF">2026-10-02T08:46:43.797Z</dcterms:modified>
</cp:coreProperties>
</file>

<file path=docProps/custom.xml><?xml version="1.0" encoding="utf-8"?>
<Properties xmlns="http://schemas.openxmlformats.org/officeDocument/2006/custom-properties" xmlns:vt="http://schemas.openxmlformats.org/officeDocument/2006/docPropsVTypes"/>
</file>