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60"/>
        <w:jc w:val="center"/>
      </w:pPr>
      <w:r>
        <w:rPr>
          <w:rFonts w:ascii="Times New Roman" w:cs="Times New Roman" w:eastAsia="Times New Roman" w:hAnsi="Times New Roman"/>
          <w:b/>
          <w:bCs/>
          <w:sz w:val="30"/>
          <w:szCs w:val="30"/>
        </w:rPr>
        <w:t xml:space="preserve">BİYOTASARIM VE MALZEME SEÇİMİNİN YENİDEN TANIMLANMASI: İÇ MİMARLIKTA DÖNGÜSELLİK VE DİRENÇLİLİK</w:t>
      </w:r>
    </w:p>
    <w:p>
      <w:pPr>
        <w:spacing w:after="520" w:line="360"/>
        <w:jc w:val="center"/>
      </w:pPr>
      <w:r>
        <w:rPr>
          <w:rFonts w:ascii="Times New Roman" w:cs="Times New Roman" w:eastAsia="Times New Roman" w:hAnsi="Times New Roman"/>
          <w:sz w:val="24"/>
          <w:szCs w:val="24"/>
        </w:rPr>
        <w:t xml:space="preserve">Betül Ünal</w:t>
      </w:r>
    </w:p>
    <w:p>
      <w:pPr>
        <w:pStyle w:val="Heading1"/>
        <w:spacing w:after="220" w:before="440" w:line="360"/>
      </w:pPr>
      <w:r>
        <w:rPr>
          <w:rFonts w:ascii="Times New Roman" w:cs="Times New Roman" w:eastAsia="Times New Roman" w:hAnsi="Times New Roman"/>
          <w:b/>
          <w:bCs/>
          <w:color w:val="000000"/>
          <w:sz w:val="26"/>
          <w:szCs w:val="26"/>
        </w:rPr>
        <w:t xml:space="preserve">ÖZ</w:t>
      </w:r>
    </w:p>
    <w:p>
      <w:pPr>
        <w:spacing w:after="200" w:line="360"/>
        <w:jc w:val="both"/>
      </w:pPr>
      <w:r>
        <w:rPr>
          <w:rFonts w:ascii="Times New Roman" w:cs="Times New Roman" w:eastAsia="Times New Roman" w:hAnsi="Times New Roman"/>
          <w:sz w:val="24"/>
          <w:szCs w:val="24"/>
        </w:rPr>
        <w:t xml:space="preserve">Yapılı çevrenin kaynak tüketimi ve atık üretimi, malzeme kararlarının yeniden düşünülmesini zorunlu kılmaktadır. Biyolojik temelli malzemeler bu tartışmada çoğu kez geleneksel malzemelerin sürdürülebilir birer alternatifi olarak sunulur. Oysa böyle bir kurgu malzeme kararının yapısını değiştirmediği için sınırlı bir dönüşüm üretir. Bu bölüm, iç mimarlıkta biyolojik temelli malzeme seçimini kuramsal bir çerçevede ele alır. Temel savı, biyotasarımın yalnızca yeni seçenekler sunmadığı, malzeme seçiminin ölçütlerini ve tasarımcının kaynakla, üretimle, kullanımla ve atıkla kurduğu ilişkiyi yeniden tanımladığıdır. Çalışma önce biyotasarımı komşu kavramlardan ayırır, ardından biyolojik temelli malzemeleri doğanın tasarım sürecine katılım düzeyine göre sınıflandırır. Biyolojik kökenin tek başına ne sürdürülebilirlik ne döngüsellik güvencesi oluşturduğu gösterilir. Döngüsellik, malzemenin kökeninden çok tasarım aşamasında alınan bileşim, birleşim ve ömür sonu kararlarıyla şekillenir. Son olarak sürdürülebilirlik, döngüsellik ve dirençlilik ölçütlerini birlikte okuyan, iç mekân ölçeğine özgü altı boyutlu bir değerlendirme çerçevesi önerilir.</w:t>
      </w:r>
    </w:p>
    <w:p>
      <w:pPr>
        <w:spacing w:after="0" w:line="360"/>
        <w:jc w:val="both"/>
      </w:pPr>
      <w:r>
        <w:rPr>
          <w:rFonts w:ascii="Times New Roman" w:cs="Times New Roman" w:eastAsia="Times New Roman" w:hAnsi="Times New Roman"/>
          <w:i w:val="false"/>
          <w:iCs w:val="false"/>
          <w:sz w:val="24"/>
          <w:szCs w:val="24"/>
        </w:rPr>
        <w:t xml:space="preserve">Anahtar kelimeler: </w:t>
      </w:r>
      <w:r>
        <w:rPr>
          <w:rFonts w:ascii="Times New Roman" w:cs="Times New Roman" w:eastAsia="Times New Roman" w:hAnsi="Times New Roman"/>
          <w:i w:val="false"/>
          <w:iCs w:val="false"/>
          <w:sz w:val="24"/>
          <w:szCs w:val="24"/>
        </w:rPr>
        <w:t xml:space="preserve">biyotasarım, biyolojik temelli malzeme, döngüsel tasarım, malzeme seçimi, mekânsal dirençlilik, iç mimarlık.</w:t>
      </w:r>
    </w:p>
    <w:p>
      <w:pPr>
        <w:pStyle w:val="Heading1"/>
        <w:spacing w:after="220" w:before="440" w:line="360"/>
      </w:pPr>
      <w:r>
        <w:rPr>
          <w:rFonts w:ascii="Times New Roman" w:cs="Times New Roman" w:eastAsia="Times New Roman" w:hAnsi="Times New Roman"/>
          <w:b/>
          <w:bCs/>
          <w:color w:val="000000"/>
          <w:sz w:val="26"/>
          <w:szCs w:val="26"/>
        </w:rPr>
        <w:t xml:space="preserve">1. GİRİŞ</w:t>
      </w:r>
    </w:p>
    <w:p>
      <w:pPr>
        <w:spacing w:after="160" w:line="360"/>
        <w:jc w:val="both"/>
      </w:pPr>
      <w:r>
        <w:rPr>
          <w:rFonts w:ascii="Times New Roman" w:cs="Times New Roman" w:eastAsia="Times New Roman" w:hAnsi="Times New Roman"/>
          <w:sz w:val="24"/>
          <w:szCs w:val="24"/>
        </w:rPr>
        <w:t xml:space="preserve">İnsan etkinliğinin yeryüzünün çevresel sistemleri üzerindeki etkisi, bugün yeni bir jeolojik dönem olarak adlandırılacak düzeye ulaşmıştır (Heymans ve diğ., 2019). Bu dönüşümün en belirgin taşıyıcılarından biri yapılı çevredir. Edalat (2026), yapı sektörünün tüm endüstriyel sektörler içinde doğal çevre üzerinde en önemli etkiyi yarattığını aktarır. Aktarılan değerlere göre sektör küresel karbondioksit salımının yaklaşık %39’undan sorumludur, ham maddelerin yaklaşık %40’ını tüketir ve katı atığın en az %30’unu üretir. Etkinin kaynağı yalnızca ölçek değil, üretim mantığıdır. Chayaamor-Heil ve diğ. (2024), fosil yakıtların ve ham maddelerin çıkarımına dayanan inşaat sektörünün kirliliğe ve kaynak tükenmesine önemli ölçüde katkıda bulunduğunu saptar.</w:t>
      </w:r>
    </w:p>
    <w:p>
      <w:pPr>
        <w:spacing w:after="160" w:line="360"/>
        <w:jc w:val="both"/>
      </w:pPr>
      <w:r>
        <w:rPr>
          <w:rFonts w:ascii="Times New Roman" w:cs="Times New Roman" w:eastAsia="Times New Roman" w:hAnsi="Times New Roman"/>
          <w:sz w:val="24"/>
          <w:szCs w:val="24"/>
        </w:rPr>
        <w:t xml:space="preserve">Biyolojik temelli malzemeler bu tabloya verilen yanıtlardan biridir. Bourbia ve diğ. (2023), bu malzemelerin yenilenebilirlik, düşük gömülü enerji ve ısıl düzenleme kapasitesi gibi avantajlar taşıdığını derler. Andréen ve Goidea (2022) ise önemli bir uyarıda bulunur. Biyomalzemeler inşaat sektörünün ekolojik etkisini azaltmak için potansiyel bir araçtır, fakat bu potansiyelin en üst düzeye çıkması geleneksel yapı malzemelerinden önemli ölçüde farklı yaklaşımlar gerektirir. Uyarı bölümün çıkış noktasıdır. Biyolojik temelli bir malzemeyi yerleşik bir malzemenin yerine koymak, tasarım yaklaşımını değiştirmediği sürece sınırlı bir dönüşüm üretir.</w:t>
      </w:r>
    </w:p>
    <w:p>
      <w:pPr>
        <w:spacing w:after="160" w:line="360"/>
        <w:jc w:val="both"/>
      </w:pPr>
      <w:r>
        <w:rPr>
          <w:rFonts w:ascii="Times New Roman" w:cs="Times New Roman" w:eastAsia="Times New Roman" w:hAnsi="Times New Roman"/>
          <w:sz w:val="24"/>
          <w:szCs w:val="24"/>
        </w:rPr>
        <w:t xml:space="preserve">Literatür bu sınırlılığı iki düzeyde bildirir. Birincisi kavramsaldır. Kırbaş Akyürek ve diğ. (2020), canlı ve üretilmiş bileşenlerin bir araya gelmesini adlandıran terminolojinin çeşitlilik içinde sıkışıp kaldığını bulgulamıştır. Benzer bir belirsizlik döngüsellik kavramında da görülür. Kirchherr ve diğ. (2017), 114 döngüsel ekonomi tanımını kodladıkları çalışmada kavramın en sık azaltma, yeniden kullanma ve geri dönüştürme etkinliklerinin bileşimi olarak betimlendiğini saptar. Döngüselliğin sistemsel bir değişim gerektirdiği ise çoğu kez vurgulanmaz. İkinci düzey malzemenin kendisine ilişkindir. O’Rourke ve Seepersad (2015), biyolojik organizmaların çevresel avantajlarına ilişkin iddiaların genel olarak doğru olduğunu, fakat her avantaj için önemli istisnalar barındırdığını göstermiştir. Biyolojik köken, kısacası, sürdürülebilirliğin de döngüselliğin de kendiliğinden güvencesi değildir.</w:t>
      </w:r>
    </w:p>
    <w:p>
      <w:pPr>
        <w:spacing w:after="160" w:line="360"/>
        <w:jc w:val="both"/>
      </w:pPr>
      <w:r>
        <w:rPr>
          <w:rFonts w:ascii="Times New Roman" w:cs="Times New Roman" w:eastAsia="Times New Roman" w:hAnsi="Times New Roman"/>
          <w:sz w:val="24"/>
          <w:szCs w:val="24"/>
        </w:rPr>
        <w:t xml:space="preserve">Tartışmanın iç mimarlık açısından özgül bir karşılığı vardır. Ahşap dışı biyolojik temelli malzemeler sınırlı mekanik dayanımları nedeniyle taşıyıcı elemanlarda nadiren yer alır ve ağırlıklı olarak yüzey kaplaması, yalıtım ve mobilya gibi uygulamalarda kullanılır (Edalat, 2026). Mevcut uygulamalarında iç mekân bileşenleri bu nedenle önemli bir yer tutar. Malzemenin kullanıcıyla temas ettiği, yaşlandığı, onarıldığı ve değiştirildiği ölçek de aynı ölçektir. İç mimarlık bu nedenle söz konusu malzemeler için önemli bir uygulama ölçeği oluşturur.</w:t>
      </w:r>
    </w:p>
    <w:p>
      <w:pPr>
        <w:spacing w:after="160" w:line="360"/>
        <w:jc w:val="both"/>
      </w:pPr>
      <w:r>
        <w:rPr>
          <w:rFonts w:ascii="Times New Roman" w:cs="Times New Roman" w:eastAsia="Times New Roman" w:hAnsi="Times New Roman"/>
          <w:sz w:val="24"/>
          <w:szCs w:val="24"/>
        </w:rPr>
        <w:t xml:space="preserve">Bölümün araştırma sorusu buradan türetilmiştir. İç mimarlıkta biyolojik temelli malzeme seçimi, sürdürülebilirlik, döngüsellik ve dirençlilik ölçütlerini birlikte ele alan bir tasarım yaklaşımı olarak nasıl kavramsallaştırılabilir? Soruya verilen geçici yanıt, yani bölümün temel savı şudur. Biyotasarım ve biyolojik temelli malzemeler iç mimarlıkta yalnızca daha sürdürülebilir seçenekler sunmaz, malzeme seçiminin ölçütlerini ve tasarımcının kaynakla, üretimle, kullanımla ve atıkla kurduğu ilişkiyi yeniden tanımlar. Buna bağlı olarak bir malzemenin döngüselliği ve dirençliliği, biyolojik kökeninden çok tasarım aşamasında alınan bileşim, birleşim ve ömür sonu kararlarıyla önemli ölçüde şekillenir. Bu kararlar tek belirleyici değildir. Tedarik altyapısı, pazar koşulları, mevzuat ve kullanıcı davranışı da sonucu etkiler ve söz konusu etkenler yedinci başlıktaki çerçevede ayrı bir boyut olarak ele alınır.</w:t>
      </w:r>
    </w:p>
    <w:p>
      <w:pPr>
        <w:spacing w:after="160" w:line="360"/>
        <w:jc w:val="both"/>
      </w:pPr>
      <w:r>
        <w:rPr>
          <w:rFonts w:ascii="Times New Roman" w:cs="Times New Roman" w:eastAsia="Times New Roman" w:hAnsi="Times New Roman"/>
          <w:sz w:val="24"/>
          <w:szCs w:val="24"/>
        </w:rPr>
        <w:t xml:space="preserve">Soru, ikinci başlıktan sekizinci başlığa uzanan yedi bölüm üzerinden ele alınmaktadır. İkinci başlık biyotasarımı komşu kavramlardan ayırır (Tablo 1), üçüncü başlık biyolojik temelli malzemeleri sınıflandırır (Tablo 2), dördüncü ve beşinci başlıklar döngüsellik ile dirençliliği tartışır. Altıncı başlık tartışmayı iç mekân ölçeğine taşır. Yedinci başlık malzemelerin potansiyel ve sınırlılıklarını karşılaştırır (Tablo 3) ve altı boyutlu bir değerlendirme çerçevesi önerir (Tablo 4). Sekizinci başlık bulguları üç düzlemde toparlar (Şekil 1). Bölüm seçilmiş kaynaklara dayanan kuramsal bir derlemedir, sistematik bir yazın taraması amaçlanmamıştır.</w:t>
      </w:r>
    </w:p>
    <w:p>
      <w:pPr>
        <w:pStyle w:val="Heading1"/>
        <w:spacing w:after="220" w:before="440" w:line="360"/>
      </w:pPr>
      <w:r>
        <w:rPr>
          <w:rFonts w:ascii="Times New Roman" w:cs="Times New Roman" w:eastAsia="Times New Roman" w:hAnsi="Times New Roman"/>
          <w:b/>
          <w:bCs/>
          <w:color w:val="000000"/>
          <w:sz w:val="26"/>
          <w:szCs w:val="26"/>
        </w:rPr>
        <w:t xml:space="preserve">2. BİYOTASARIM KAVRAMI</w:t>
      </w:r>
    </w:p>
    <w:p>
      <w:pPr>
        <w:spacing w:after="160" w:line="360"/>
        <w:jc w:val="both"/>
      </w:pPr>
      <w:r>
        <w:rPr>
          <w:rFonts w:ascii="Times New Roman" w:cs="Times New Roman" w:eastAsia="Times New Roman" w:hAnsi="Times New Roman"/>
          <w:sz w:val="24"/>
          <w:szCs w:val="24"/>
        </w:rPr>
        <w:t xml:space="preserve">Biyoloji ile tasarım arasındaki ilişkiyi tanımlayan kavramlar son yirmi yılda hızla çoğaldı. Bu çoğalma ortak bir terminoloji üretmedi. Aşağıda önce belirsizliğin niteliği ortaya konmakta, ardından biyotasarımın komşu kavramlardan hangi noktada ayrıldığı ve ayrımın tasarımcının rolü açısından ne anlama geldiği tartışılmaktadır.</w:t>
      </w:r>
    </w:p>
    <w:p>
      <w:pPr>
        <w:pStyle w:val="Heading2"/>
        <w:spacing w:after="170" w:before="320" w:line="360"/>
      </w:pPr>
      <w:r>
        <w:rPr>
          <w:rFonts w:ascii="Times New Roman" w:cs="Times New Roman" w:eastAsia="Times New Roman" w:hAnsi="Times New Roman"/>
          <w:b/>
          <w:bCs/>
          <w:color w:val="000000"/>
          <w:sz w:val="24"/>
          <w:szCs w:val="24"/>
        </w:rPr>
        <w:t xml:space="preserve">2.1. Terminolojik belirsizlik</w:t>
      </w:r>
    </w:p>
    <w:p>
      <w:pPr>
        <w:spacing w:after="160" w:line="360"/>
        <w:jc w:val="both"/>
      </w:pPr>
      <w:r>
        <w:rPr>
          <w:rFonts w:ascii="Times New Roman" w:cs="Times New Roman" w:eastAsia="Times New Roman" w:hAnsi="Times New Roman"/>
          <w:sz w:val="24"/>
          <w:szCs w:val="24"/>
        </w:rPr>
        <w:t xml:space="preserve">Kırbaş Akyürek ve diğ. (2020), yapı tasarımında canlı ve üretilmiş bileşenlerin bir araya gelmesini konu alan terminolojiyi araştırmıştır. Örneklerin adlandırılmasında “biyo” önekiyle üretilmiş terimler, örneğin biyobeton ve biyotuğla, ilk sırada yer alır. Bunları “akıllı”, “canlı” ve “büyüyen” nitelemeleri izler. Temel bulgularına göre literatürde genel kabul görmüş bir şemsiye terim yoktur. Belirsizliğin kaynağı ikilidir. Bir yanda doğanın ve doğal süreçlerin kapsamlı niteliği, diğer yanda aynı tekniklerin farklı disiplinlerce farklı yorumlanması vardır. Kavramların kaynak dilde dahi yerleşmemiş olması, Türkçeye aktarımdaki karışıklığın yalnızca çeviriden doğmadığını düşündürür.</w:t>
      </w:r>
    </w:p>
    <w:p>
      <w:pPr>
        <w:spacing w:after="160" w:line="360"/>
        <w:jc w:val="both"/>
      </w:pPr>
      <w:r>
        <w:rPr>
          <w:rFonts w:ascii="Times New Roman" w:cs="Times New Roman" w:eastAsia="Times New Roman" w:hAnsi="Times New Roman"/>
          <w:sz w:val="24"/>
          <w:szCs w:val="24"/>
        </w:rPr>
        <w:t xml:space="preserve">Belirsizliğin en yaygın görünümü, biyotasarımın biyomimikriyle aynı tutulmasıdır. Kırbaş Akyürek ve diğ. (2020) bu eşitlemenin neden sürdürülemeyeceğini açık biçimde tartışır. Biyomimikrinin temel amacı biyolojik süreçleri teknolojilere çevirmektir ve terim biyolojik malzeme kullanımına işaret etmez. Yazarlar aynı gerekçeyle biyoesinlenme, biyomerkezcilik, biyofili ve biyomimarlık kavramlarını da birbirinden ayırır. Onlara göre bu kavramların kapsamı, canlı ve üretilmiş bileşenler arasındaki güncel bağları belirlemek için fazla geniştir (Tablo 1).</w:t>
      </w:r>
    </w:p>
    <w:p>
      <w:pPr>
        <w:keepNext/>
        <w:spacing w:after="140" w:before="400" w:line="240"/>
      </w:pPr>
      <w:r>
        <w:rPr>
          <w:rFonts w:ascii="Times New Roman" w:cs="Times New Roman" w:eastAsia="Times New Roman" w:hAnsi="Times New Roman"/>
          <w:sz w:val="22"/>
          <w:szCs w:val="22"/>
        </w:rPr>
        <w:t xml:space="preserve">Tablo 1. </w:t>
      </w:r>
      <w:r>
        <w:rPr>
          <w:rFonts w:ascii="Times New Roman" w:cs="Times New Roman" w:eastAsia="Times New Roman" w:hAnsi="Times New Roman"/>
          <w:i/>
          <w:iCs/>
          <w:sz w:val="22"/>
          <w:szCs w:val="22"/>
        </w:rPr>
        <w:t xml:space="preserve">Doğa ile tasarım arasındaki ilişkiyi tanımlayan kavramlar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50"/>
        <w:gridCol w:w="3300"/>
        <w:gridCol w:w="2150"/>
        <w:gridCol w:w="1726"/>
      </w:tblGrid>
      <w:tr>
        <w:trPr>
          <w:cantSplit/>
          <w:tblHeader/>
        </w:trPr>
        <w:tc>
          <w:tcPr>
            <w:tcW w:type="dxa" w:w="18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Kavram</w:t>
            </w:r>
          </w:p>
        </w:tc>
        <w:tc>
          <w:tcPr>
            <w:tcW w:type="dxa" w:w="33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Doğayla kurduğu ilişki</w:t>
            </w:r>
          </w:p>
        </w:tc>
        <w:tc>
          <w:tcPr>
            <w:tcW w:type="dxa" w:w="21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Odağı</w:t>
            </w:r>
          </w:p>
        </w:tc>
        <w:tc>
          <w:tcPr>
            <w:tcW w:type="dxa" w:w="1726"/>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w:t>
            </w:r>
          </w:p>
        </w:tc>
      </w:tr>
      <w:tr>
        <w:trPr>
          <w:cantSplit/>
        </w:trP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Biyomimikri</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süreçleri teknolojilere çevirir, biyolojik malzeme kullanımına işaret etmez</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Süreç ve strateji aktarımı</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rPr>
          <w:cantSplit/>
        </w:trP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Biyoesinlenme</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olmayan bilim ve teknoloji araştırmalarının benzetimini de içerir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Geniş esin alanı</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rPr>
          <w:cantSplit/>
        </w:trP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Biyomerkezcilik</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Doğal çevre ile insan arasındaki ilişkiye odaklanır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Etik ve ilişkisel konum</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rPr>
          <w:cantSplit/>
        </w:trP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Biyofili</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İnsanın doğayla bağ kurarak duygusal ve biyolojik gereksinimlerini karşılamasını amaçlar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Kullanıcı ve mekân deneyimi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rPr>
          <w:cantSplit/>
        </w:trP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Biyomimarlık</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hem canlı hem cansız ögelerinden esinlenmeyi kapsar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Yapı ölçeği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rPr>
          <w:cantSplit/>
        </w:trP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tasarım</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kendi süreci, genotipi fenotipe bağlayan morfogenetik süreçler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Model olarak doğa</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Andréen ve Goidea (2022)</w:t>
            </w:r>
          </w:p>
        </w:tc>
      </w:tr>
      <w:tr>
        <w:trPr>
          <w:cantSplit/>
        </w:trP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Biyotasarım</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malzeme ve yaklaşımları insan uygulamaları için kullanır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pratiği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Andréen ve Goidea (2022)</w:t>
            </w:r>
          </w:p>
        </w:tc>
      </w:tr>
    </w:tbl>
    <w:p>
      <w:pPr>
        <w:spacing w:after="340" w:before="130" w:line="240"/>
      </w:pPr>
      <w:r>
        <w:rPr>
          <w:rFonts w:ascii="Times New Roman" w:cs="Times New Roman" w:eastAsia="Times New Roman" w:hAnsi="Times New Roman"/>
          <w:i/>
          <w:iCs/>
          <w:sz w:val="18"/>
          <w:szCs w:val="18"/>
        </w:rPr>
        <w:t xml:space="preserve">Tablodaki kavram tanımları, belirtilen kaynakların kendi sentezlerine dayanmaktadır.</w:t>
      </w:r>
    </w:p>
    <w:p>
      <w:pPr>
        <w:spacing w:after="160" w:line="360"/>
        <w:jc w:val="both"/>
      </w:pPr>
      <w:r>
        <w:rPr>
          <w:rFonts w:ascii="Times New Roman" w:cs="Times New Roman" w:eastAsia="Times New Roman" w:hAnsi="Times New Roman"/>
          <w:sz w:val="24"/>
          <w:szCs w:val="24"/>
        </w:rPr>
        <w:t xml:space="preserve">Tablo 1’deki dağılım, kavramların aynı soyutlama düzeyinde bulunmadığını da açığa çıkarır. Biyomimikri ve biyoesinlenme bir aktarım yöntemini, biyomerkezcilik bir etik konumu, biyofili bir deneyim ilişkisini, biyomimarlık ise bir ölçeği adlandırır. Aralarındaki seçim yalnızca terim tercihi değildir, tartışmanın hangi düzlemde yürütüleceğine ilişkin bir karardır. İç mimarlık açısından ayrım özellikle biyofili ile biyotasarım arasında önem kazanır. Biyofili doğayla kurulan duyusal ilişkiyi, biyotasarım ise bileşenin maddi kuruluşunu konu alır ve bu bölüm ikincisiyle ilgilenir. Myers (2018) de biyoloji ile teknolojinin kaynaşmasını bu terimle açıklar.</w:t>
      </w:r>
    </w:p>
    <w:p>
      <w:pPr>
        <w:pStyle w:val="Heading2"/>
        <w:spacing w:after="170" w:before="320" w:line="360"/>
      </w:pPr>
      <w:r>
        <w:rPr>
          <w:rFonts w:ascii="Times New Roman" w:cs="Times New Roman" w:eastAsia="Times New Roman" w:hAnsi="Times New Roman"/>
          <w:b/>
          <w:bCs/>
          <w:color w:val="000000"/>
          <w:sz w:val="24"/>
          <w:szCs w:val="24"/>
        </w:rPr>
        <w:t xml:space="preserve">2.2. Biyolojik tasarım ile biyotasarım</w:t>
      </w:r>
    </w:p>
    <w:p>
      <w:pPr>
        <w:spacing w:after="160" w:line="360"/>
        <w:jc w:val="both"/>
      </w:pPr>
      <w:r>
        <w:rPr>
          <w:rFonts w:ascii="Times New Roman" w:cs="Times New Roman" w:eastAsia="Times New Roman" w:hAnsi="Times New Roman"/>
          <w:sz w:val="24"/>
          <w:szCs w:val="24"/>
        </w:rPr>
        <w:t xml:space="preserve">Literatürdeki en keskin kavramsal ayrımlardan birini Andréen ve Goidea (2022) kurar. Yazarlara göre biyotasarım, biyolojik malzemeleri ve yaklaşımları yapılar gibi insan uygulamaları için kullanan tasarımı anlatır. Biyolojik tasarım ise genotipleri fenotiplere bağlayan morfogenetik süreçlere işaret eder. Ayrım kavramsal olarak belirleyicidir. Biyotasarım tasarımcının pratiğini, biyolojik tasarım doğanın kendi sürecini adlandırır ve ikincisi birincisi için bir model işlevi görür. Yazarlara göre bağ hem doğrudandır hem dolaylıdır. Canlı organizmaların tasarıma katılması, onların yaşamını sürdüren süreçlere yapılı çevrede yer açılmasını gerektirir. Biyolojik ilkelerle çalışmak ise tasarımla başarılabileceklerin kapsamını genişletir.</w:t>
      </w:r>
    </w:p>
    <w:p>
      <w:pPr>
        <w:spacing w:after="160" w:line="360"/>
        <w:jc w:val="both"/>
      </w:pPr>
      <w:r>
        <w:rPr>
          <w:rFonts w:ascii="Times New Roman" w:cs="Times New Roman" w:eastAsia="Times New Roman" w:hAnsi="Times New Roman"/>
          <w:sz w:val="24"/>
          <w:szCs w:val="24"/>
        </w:rPr>
        <w:t xml:space="preserve">Collet (2021) aynı alanı tasarımcının doğayla kurduğu ilişki üzerinden üç kademede haritalar. Doğa bir model sayıldığında tasarımcı biyomimikri ilkeleriyle bir davranışı, işlevi ya da örüntüyü taklit eder. Doğa birlikte çalışılan bir ortak sayıldığında tasarımcı yetiştiriciye dönüşür ve bakteri, mantar ya da alglerle işbirliği yaparak malzemenin biçimlenmesini yönlendirir. Doğa kurcalanabilir bir sistem sayıldığında ise organizma sentetik biyoloji yoluyla yeniden programlanır. Yazara göre üç konum farklı değerler taşır. Birlikte çalışmak işbirliği ve ortaklık anlayışına, kurcalamak ise denetim ve egemenlik anlayışına yaslanır. Bu bölümün ilgilendiği alan ağırlıklı olarak ikinci kademedir.</w:t>
      </w:r>
    </w:p>
    <w:p>
      <w:pPr>
        <w:spacing w:after="160" w:line="360"/>
        <w:jc w:val="both"/>
      </w:pPr>
      <w:r>
        <w:rPr>
          <w:rFonts w:ascii="Times New Roman" w:cs="Times New Roman" w:eastAsia="Times New Roman" w:hAnsi="Times New Roman"/>
          <w:sz w:val="24"/>
          <w:szCs w:val="24"/>
        </w:rPr>
        <w:t xml:space="preserve">Andréen ve Goidea (2022) bu modelden dört tasarım ilkesi türetir: çeşitlilik, biçimin karmaşıklığı ve özgüllüğü, dirençlilik yoluyla dayanıklılık, geri besleme ve uyarlanma. Yazarlar ilkelerin kendi başlarına yeni olmadığını özellikle hatırlatır. Modern inşaat sanayisinin doğuşundan önce mimarlık uzun süre bu stratejilerle üretilmiştir ve vernaküler mimarlık bunları büyük ölçüde içerir. Üçüncü ilke, beşinci başlıkta ayrıntılandırılacağı üzere, biyomalzemelerle çalışmanın kuramsal gerekçesini oluşturur.</w:t>
      </w:r>
    </w:p>
    <w:p>
      <w:pPr>
        <w:spacing w:after="160" w:line="360"/>
        <w:jc w:val="both"/>
      </w:pPr>
      <w:r>
        <w:rPr>
          <w:rFonts w:ascii="Times New Roman" w:cs="Times New Roman" w:eastAsia="Times New Roman" w:hAnsi="Times New Roman"/>
          <w:sz w:val="24"/>
          <w:szCs w:val="24"/>
        </w:rPr>
        <w:t xml:space="preserve">Dört ilke bir arada okunduğunda biyotasarımı biyomimikriden ayıran nokta görünür hâle gelir. Biyomimikride aktarılan şey doğanın geliştirdiği çözümün kendisidir. Andréen ve Goidea’nın (2022) ilkelerinde ise aktarılan şey çözüm değil, çözümü üreten mantıktır. Doğanın biçimleri kopyalanmaz, biçim üretme biçimi incelenerek tasarım süreci yeniden kurgulanır. İlişki bu nedenle bir taklit değil, bir ilke çıkarma ilişkisidir.</w:t>
      </w:r>
    </w:p>
    <w:p>
      <w:pPr>
        <w:spacing w:after="160" w:line="360"/>
        <w:jc w:val="both"/>
      </w:pPr>
      <w:r>
        <w:rPr>
          <w:rFonts w:ascii="Times New Roman" w:cs="Times New Roman" w:eastAsia="Times New Roman" w:hAnsi="Times New Roman"/>
          <w:sz w:val="24"/>
          <w:szCs w:val="24"/>
        </w:rPr>
        <w:t xml:space="preserve">Ayrımın neden önemli olduğunu biyomimikri literatürünün kendi içinden gelen bir eleştiri gösterir. Pedersen Zari ve Storey (2007), taklidin organizma, davranış ve ekosistem olmak üzere üç düzeyde gerçekleşebileceğini belirtir. Yazarlara göre yalnızca organizma düzeyinde taklit eden ürün ve malzemeler, yaşam döngüsü açısından bakıldığında kendiliğinden daha sürdürülebilir değildir. Verdikleri örnek cırt banttır. Ürün bitki tohumlarının hayvan tüyüne tutunma biçimini taklit eder, ancak petrokimyasal kökenlidir ve genellikle geri dönüştürülmez. Biçimi ya da işlevi ödünç almak ekolojik bir kazanç güvencesi oluşturmaz. Ayrımın iç mimarlıktaki pratik karşılığı da bu noktadadır. Doğal görünümlü bir yüzey üretmek ile bileşeni doğanın örgütlenme mantığına göre kurgulamak aynı şey değildir.</w:t>
      </w:r>
    </w:p>
    <w:p>
      <w:pPr>
        <w:pStyle w:val="Heading2"/>
        <w:spacing w:after="170" w:before="320" w:line="360"/>
      </w:pPr>
      <w:r>
        <w:rPr>
          <w:rFonts w:ascii="Times New Roman" w:cs="Times New Roman" w:eastAsia="Times New Roman" w:hAnsi="Times New Roman"/>
          <w:b/>
          <w:bCs/>
          <w:color w:val="000000"/>
          <w:sz w:val="24"/>
          <w:szCs w:val="24"/>
        </w:rPr>
        <w:t xml:space="preserve">2.3. Tasarımcının rolü</w:t>
      </w:r>
    </w:p>
    <w:p>
      <w:pPr>
        <w:spacing w:after="160" w:line="360"/>
        <w:jc w:val="both"/>
      </w:pPr>
      <w:r>
        <w:rPr>
          <w:rFonts w:ascii="Times New Roman" w:cs="Times New Roman" w:eastAsia="Times New Roman" w:hAnsi="Times New Roman"/>
          <w:sz w:val="24"/>
          <w:szCs w:val="24"/>
        </w:rPr>
        <w:t xml:space="preserve">Biyotasarımın tek bir pratik olmadığını da eklemek gerekir. Camere ve Karana (2018), biyoloji ile tasarımı birbiriyle verimlendiren girişimleri dört kategoriye ayırır. Bunlardan büyüyen tasarım iç mimarlık açısından en doğrudan karşılığı olanıdır. Ürün tasarımı için yeni malzemeler geliştirmeye odaklanır ve ayırt edici yanı, malzeme büyüten tasarımcıların değiştirilmemiş organizmalarla çalışmasıdır.</w:t>
      </w:r>
    </w:p>
    <w:p>
      <w:pPr>
        <w:spacing w:after="160" w:line="360"/>
        <w:jc w:val="both"/>
      </w:pPr>
      <w:r>
        <w:rPr>
          <w:rFonts w:ascii="Times New Roman" w:cs="Times New Roman" w:eastAsia="Times New Roman" w:hAnsi="Times New Roman"/>
          <w:sz w:val="24"/>
          <w:szCs w:val="24"/>
        </w:rPr>
        <w:t xml:space="preserve">Kavramsal çerçevenin tasarım pratiğindeki karşılığı, tasarımcının konumunun değişmesidir. Camere ve Karana (2018), geleneksel olarak tasarımcıların ürün kavramlarını somutlaştırmak için malzeme seçtiğini hatırlatır. Canlı organizmalarla üretilen malzemeler söz konusu olduğunda ise tasarımcılar giderek malzemenin erken geliştirme aşamalarına katılır. Yazarlar bu geçişi malzeme seçiminden malzeme tasarımına doğru bir kayma olarak adlandırır. İç mimarlıkta kaymanın karşılığı, malzeme kataloğundan seçim yapan tasarımcı ile bileşenin bileşimini ve birleşimini belirleyen tasarımcı arasındaki farktır. Kayma, bölümün temel savının kavramsal zeminini oluşturur ve izleyen başlıklarda malzeme, döngüsellik ve mekân ölçeklerinde sınanır.</w:t>
      </w:r>
    </w:p>
    <w:p>
      <w:pPr>
        <w:pStyle w:val="Heading1"/>
        <w:spacing w:after="220" w:before="440" w:line="360"/>
      </w:pPr>
      <w:r>
        <w:rPr>
          <w:rFonts w:ascii="Times New Roman" w:cs="Times New Roman" w:eastAsia="Times New Roman" w:hAnsi="Times New Roman"/>
          <w:b/>
          <w:bCs/>
          <w:color w:val="000000"/>
          <w:sz w:val="26"/>
          <w:szCs w:val="26"/>
        </w:rPr>
        <w:t xml:space="preserve">3. BİYOLOJİK TEMELLİ MALZEMELER</w:t>
      </w:r>
    </w:p>
    <w:p>
      <w:pPr>
        <w:spacing w:after="160" w:line="360"/>
        <w:jc w:val="both"/>
      </w:pPr>
      <w:r>
        <w:rPr>
          <w:rFonts w:ascii="Times New Roman" w:cs="Times New Roman" w:eastAsia="Times New Roman" w:hAnsi="Times New Roman"/>
          <w:sz w:val="24"/>
          <w:szCs w:val="24"/>
        </w:rPr>
        <w:t xml:space="preserve">Önceki başlıkta biyotasarım bir tasarım yaklaşımı olarak ele alındı. Burada ise yaklaşımın ürettiği malzemeler, yani nesne düzlemi inceleniyor.</w:t>
      </w:r>
    </w:p>
    <w:p>
      <w:pPr>
        <w:pStyle w:val="Heading2"/>
        <w:spacing w:after="170" w:before="320" w:line="360"/>
      </w:pPr>
      <w:r>
        <w:rPr>
          <w:rFonts w:ascii="Times New Roman" w:cs="Times New Roman" w:eastAsia="Times New Roman" w:hAnsi="Times New Roman"/>
          <w:b/>
          <w:bCs/>
          <w:color w:val="000000"/>
          <w:sz w:val="24"/>
          <w:szCs w:val="24"/>
        </w:rPr>
        <w:t xml:space="preserve">3.1. Üç yaklaşım</w:t>
      </w:r>
    </w:p>
    <w:p>
      <w:pPr>
        <w:spacing w:after="160" w:line="360"/>
        <w:jc w:val="both"/>
      </w:pPr>
      <w:r>
        <w:rPr>
          <w:rFonts w:ascii="Times New Roman" w:cs="Times New Roman" w:eastAsia="Times New Roman" w:hAnsi="Times New Roman"/>
          <w:sz w:val="24"/>
          <w:szCs w:val="24"/>
        </w:rPr>
        <w:t xml:space="preserve">Doğa temelli malzemeler literatürde sıklıkla tek bir başlık altında toplanır ve bu da kavramsal bir belirsizlik üretir. Chayaamor-Heil ve diğ. (2023), mimarlık ve inşaat alanındaki güncel araştırmaları derlediği çalışmada alanı üç ayrı yaklaşıma ayırır: biyomimikri temelli, biyolojik temelli ve canlı malzeme tasarımları. Birinci kategori, ikinci başlıkta ele alınan biyomimikri yaklaşımının malzeme ölçeğindeki karşılığıdır. Ayrımın belirleyici ölçütü doğanın tasarım sürecine dahil olma düzeyidir. Biyomimikri temelli malzemelerde doğa bir ilke ya da strateji kaynağıdır ve malzemenin kendisinde biyolojik bir bileşen bulunmaz. Biyolojik temelli malzemelerde doğa bir girdi kaynağıdır. Malzeme biyolojik kökenli hammaddelerden üretilir, ancak kullanım anında canlı değildir.</w:t>
      </w:r>
    </w:p>
    <w:p>
      <w:pPr>
        <w:spacing w:after="160" w:line="360"/>
        <w:jc w:val="both"/>
      </w:pPr>
      <w:r>
        <w:rPr>
          <w:rFonts w:ascii="Times New Roman" w:cs="Times New Roman" w:eastAsia="Times New Roman" w:hAnsi="Times New Roman"/>
          <w:sz w:val="24"/>
          <w:szCs w:val="24"/>
        </w:rPr>
        <w:t xml:space="preserve">Üçüncü kategori dikkatli bir okuma gerektirir. Kaynak bu grubu canlı malzeme tasarımları olarak adlandırsa da, üretimde canlı organizma bulunması ile malzemenin kullanım anında canlı olması aynı şey değildir. Miselyum biyokompozitlerde organizma büyüme aşamasında etkindir, nihai bileşen ise çoğu uygulamada kurutularak etkisizleştirilir. Attias ve diğ. (2020), bu malzemelerde nihai özelliklerin mantar türü ile alt tabaka bileşimine ve üretim koşullarına bağlı olduğunu gösterir. Bu nedenle üçüncü kategori burada canlı organizmayla üretilen malzemeler olarak anılmakta, organizmanın kullanım süresince de etkin kaldığı durumlar yaşayan malzeme sistemleri biçiminde ayrı tutulmaktadır (Tablo 2).</w:t>
      </w:r>
    </w:p>
    <w:p>
      <w:pPr>
        <w:keepNext/>
        <w:spacing w:after="140" w:before="400" w:line="240"/>
      </w:pPr>
      <w:r>
        <w:rPr>
          <w:rFonts w:ascii="Times New Roman" w:cs="Times New Roman" w:eastAsia="Times New Roman" w:hAnsi="Times New Roman"/>
          <w:sz w:val="22"/>
          <w:szCs w:val="22"/>
        </w:rPr>
        <w:t xml:space="preserve">Tablo 2. </w:t>
      </w:r>
      <w:r>
        <w:rPr>
          <w:rFonts w:ascii="Times New Roman" w:cs="Times New Roman" w:eastAsia="Times New Roman" w:hAnsi="Times New Roman"/>
          <w:i/>
          <w:iCs/>
          <w:sz w:val="22"/>
          <w:szCs w:val="22"/>
        </w:rPr>
        <w:t xml:space="preserve">Doğa temelli malzeme yaklaşımlarının karşılaştırması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1"/>
        <w:gridCol w:w="2375"/>
        <w:gridCol w:w="2375"/>
        <w:gridCol w:w="2375"/>
      </w:tblGrid>
      <w:tr>
        <w:trPr>
          <w:cantSplit/>
          <w:tblHeader/>
        </w:trPr>
        <w:tc>
          <w:tcPr>
            <w:tcW w:type="dxa" w:w="1901"/>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Biyomimikri temelli</w:t>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temelli</w:t>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Canlı organizmayla üretilen</w:t>
            </w:r>
          </w:p>
        </w:tc>
      </w:tr>
      <w:tr>
        <w:trPr>
          <w:cantSplit/>
        </w:trP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rolü</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İlke ve strateji kaynağı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Girdi kaynağı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Üretime katılan organizma</w:t>
            </w:r>
          </w:p>
        </w:tc>
      </w:tr>
      <w:tr>
        <w:trPr>
          <w:cantSplit/>
        </w:trP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Malzemede biyolojik bileşen</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Yok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Var, canlı değil</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Var; kullanım anında etkin ya da etkisizleştirilmiş</w:t>
            </w:r>
          </w:p>
        </w:tc>
      </w:tr>
      <w:tr>
        <w:trPr>
          <w:cantSplit/>
        </w:trP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işi</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ilkeyi aktarmak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Kaynağı seçmek ve işlemek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Büyüme koşullarını ve bileşimi kurgulamak</w:t>
            </w:r>
          </w:p>
        </w:tc>
      </w:tr>
      <w:tr>
        <w:trPr>
          <w:cantSplit/>
        </w:trP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Örnek malzemeler</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Biçim ve strüktür çözümleri</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Kenevir, ahşap, mantar meşesi kabuğu, saman, alfa otu (Bourbia ve diğ., 2023)</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Miselyum biyokompozit, bakteriyel selüloz, alg (Karana ve diğ., 2018; Attias ve diğ., 2020)</w:t>
            </w:r>
          </w:p>
        </w:tc>
      </w:tr>
      <w:tr>
        <w:trPr>
          <w:cantSplit/>
        </w:trP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İç mekânda görünüm</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Yüzey geometrisi, strüktür</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Vernaküler malzemeler, panel, yalıtım (Tyagi ve Jain, 2026)</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Deneysel araştırma ağırlıklı (Tyagi ve Jain, 2026)</w:t>
            </w:r>
          </w:p>
        </w:tc>
      </w:tr>
      <w:tr>
        <w:trPr>
          <w:cantSplit/>
        </w:trP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Belirleyici kısıt</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analojinin bağlamdan koparılması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Ömür sonu senaryosu ve bağlayıcı uyumluluğu (Edalat, 2026)</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Ölçek, çok katmanlılık, gereksinimler (Chayaamor-Heil ve diğ., 2024)</w:t>
            </w:r>
          </w:p>
        </w:tc>
      </w:tr>
    </w:tbl>
    <w:p>
      <w:pPr>
        <w:spacing w:after="160" w:line="360"/>
        <w:jc w:val="both"/>
      </w:pPr>
      <w:r>
        <w:rPr>
          <w:rFonts w:ascii="Times New Roman" w:cs="Times New Roman" w:eastAsia="Times New Roman" w:hAnsi="Times New Roman"/>
          <w:sz w:val="24"/>
          <w:szCs w:val="24"/>
        </w:rPr>
        <w:t xml:space="preserve">Tablo 2’nin son satırı, ayrımın yalnızca tanımsal olmadığını açığa çıkarır. Üç yaklaşım ömür sonu senaryosu bakımından farklı koşullar üretir. Biyomimikri temelli bir çözümde soru malzemeye değil geometriye yöneliktir, biyolojik temelli bir malzemede bağlayıcı sisteminde düğümlenir, canlı organizmayla üretilen bir malzemede ise üretim koşulları ve bileşim sorunun parçası hâline gelir.</w:t>
      </w:r>
    </w:p>
    <w:p>
      <w:pPr>
        <w:pStyle w:val="Heading2"/>
        <w:spacing w:after="170" w:before="320" w:line="360"/>
      </w:pPr>
      <w:r>
        <w:rPr>
          <w:rFonts w:ascii="Times New Roman" w:cs="Times New Roman" w:eastAsia="Times New Roman" w:hAnsi="Times New Roman"/>
          <w:b/>
          <w:bCs/>
          <w:color w:val="000000"/>
          <w:sz w:val="24"/>
          <w:szCs w:val="24"/>
        </w:rPr>
        <w:t xml:space="preserve">3.2. Malzeme kaynakları ve üretim biçimleri</w:t>
      </w:r>
    </w:p>
    <w:p>
      <w:pPr>
        <w:spacing w:after="160" w:line="360"/>
        <w:jc w:val="both"/>
      </w:pPr>
      <w:r>
        <w:rPr>
          <w:rFonts w:ascii="Times New Roman" w:cs="Times New Roman" w:eastAsia="Times New Roman" w:hAnsi="Times New Roman"/>
          <w:sz w:val="24"/>
          <w:szCs w:val="24"/>
        </w:rPr>
        <w:t xml:space="preserve">Bourbia ve diğ. (2023), yapı kabuğunda kullanılan biyolojik temelli malzemeleri derlediği çalışmada kenevir, ahşap, hurma ağacı, mantar meşesi kabuğu, alfa otu ve samanı inceler. Yenilenebilirlik, düşük gömülü enerji ve ısıl düzenleme kapasitesi bu malzemelerin ortak özellikleridir. Listenin görünür kıldığı şey, bu malzemelerin büyük bölümünün yeni olmayıp geleneksel yapı kültürüne ait olmasıdır. Tyagi ve Jain (2026), iç mekân tasarımında biyolojik temelli ve yenileyici malzemeler üzerine 104 yayını incelediği sistematik derlemede benzer bir ikilik bulgular. Bambu, kerpiç, saman ve kenevir gibi vernaküler malzemeler düşük etkili uygulamalarda merkezî konumunu korurken miselyum, bakteriyel selüloz ve alg gibi biyofabrike malzemeler deneysel araştırmalara hâkimdir. Alan bir yanda köklü bir yapı kültürüne, diğer yanda laboratuvar aşamasındaki bir gündeme yaslanır.</w:t>
      </w:r>
    </w:p>
    <w:p>
      <w:pPr>
        <w:spacing w:after="160" w:line="360"/>
        <w:jc w:val="both"/>
      </w:pPr>
      <w:r>
        <w:rPr>
          <w:rFonts w:ascii="Times New Roman" w:cs="Times New Roman" w:eastAsia="Times New Roman" w:hAnsi="Times New Roman"/>
          <w:sz w:val="24"/>
          <w:szCs w:val="24"/>
        </w:rPr>
        <w:t xml:space="preserve">Kategorinin ayırt edici bir başka özelliği, girdi olarak başka bir sürecin çıktısını kullanabilmesidir. Lee ve diğ. (2022), değerlendirilemeyen biyokütlenin alternatif hammaddeye dönüştürülmesine yönelik çabaların fosil kökenli eşdeğerlerin yerini alabilecek ürünlere yöneldiğini derler. Biyolojik temelli bir malzemenin hammaddesi, böylece bir başka üretim sürecinin artığı da olabilir.</w:t>
      </w:r>
    </w:p>
    <w:p>
      <w:pPr>
        <w:spacing w:after="160" w:line="360"/>
        <w:jc w:val="both"/>
      </w:pPr>
      <w:r>
        <w:rPr>
          <w:rFonts w:ascii="Times New Roman" w:cs="Times New Roman" w:eastAsia="Times New Roman" w:hAnsi="Times New Roman"/>
          <w:sz w:val="24"/>
          <w:szCs w:val="24"/>
        </w:rPr>
        <w:t xml:space="preserve">Ölçeğin öteki ucunda canlı organizmayla üretilen malzemeler yer alır. Karana ve diğ. (2018), bakteri, alg veya mantar tarafından üretilen malzemelerin ürün tasarımında giderek daha fazla kullanıldığına dikkat çeker. Chayaamor-Heil ve diğ. (2024) ise alg, bakteri ve mantarı mimarlık bağlamında ele aldığı çalışmada önemli bir kısıta işaret eder. Canlı organizmalardan yeni malzeme ya da tasarım bileşeni geliştirmek, ölçek, çok katmanlılık ve gereksinimlerden doğan sınırlar nedeniyle mimarlık ve inşaatta, tekstil ve ürün tasarımına kıyasla daha güç gerçekleşir. Kısıt, bu malzemelerin önce küçük ölçekli ve taşıyıcı olmayan bileşenlerde denenmesini akla getirir.</w:t>
      </w:r>
    </w:p>
    <w:p>
      <w:pPr>
        <w:pStyle w:val="Heading2"/>
        <w:spacing w:after="170" w:before="320" w:line="360"/>
      </w:pPr>
      <w:r>
        <w:rPr>
          <w:rFonts w:ascii="Times New Roman" w:cs="Times New Roman" w:eastAsia="Times New Roman" w:hAnsi="Times New Roman"/>
          <w:b/>
          <w:bCs/>
          <w:color w:val="000000"/>
          <w:sz w:val="24"/>
          <w:szCs w:val="24"/>
        </w:rPr>
        <w:t xml:space="preserve">3.3. Malzemenin etkinleşmesi</w:t>
      </w:r>
    </w:p>
    <w:p>
      <w:pPr>
        <w:spacing w:after="160" w:line="360"/>
        <w:jc w:val="both"/>
      </w:pPr>
      <w:r>
        <w:rPr>
          <w:rFonts w:ascii="Times New Roman" w:cs="Times New Roman" w:eastAsia="Times New Roman" w:hAnsi="Times New Roman"/>
          <w:sz w:val="24"/>
          <w:szCs w:val="24"/>
        </w:rPr>
        <w:t xml:space="preserve">Yukarıdaki malzemelerin ortak yanı, tasarımcının denetimini sınırlayan davranışlar sergilemeleridir. Camere ve Karana (2018), sekiz deneyimli uygulamacıyla yürüttüğü görüşmelere dayanarak canlı organizmalarla malzeme üretmenin tasarımcıların bakışını, zihniyetini ve vizyonunu değiştirdiğini bulgular. Dahası “insan yapımı” ve “doğal” gibi yerleşik anlamları sorgulatır. Malzemenin edilgen bir girdiden etkin bir bileşene dönüşmesi, bu nedenle tasarımcının malzeme kavrayışını da kapsayan bir değişimdir.</w:t>
      </w:r>
    </w:p>
    <w:p>
      <w:pPr>
        <w:spacing w:after="160" w:line="360"/>
        <w:jc w:val="both"/>
      </w:pPr>
      <w:r>
        <w:rPr>
          <w:rFonts w:ascii="Times New Roman" w:cs="Times New Roman" w:eastAsia="Times New Roman" w:hAnsi="Times New Roman"/>
          <w:sz w:val="24"/>
          <w:szCs w:val="24"/>
        </w:rPr>
        <w:t xml:space="preserve">Dönüşümün ikinci kanalı, malzeme üretiminin tasarımcının kendi pratiğine girmesidir. Rognoli ve diğ. (2015), kişisel üretim teknolojilerinin yaygınlaşmasının dağıtık üretim süreçleriyle deney yapmaya alan açtığını savunur ve kendin yap malzemeleri, çoğu kez tasarımcının kendi icat ettiği teknik ve süreçlerle yaratılan malzemeler olarak tanımlar. Rognoli ve Ayala García (2018) aynı dönüşümü malzeme aktivizmi kavramıyla tartışır ve tasarımcıların düşük teknolojili, deneysel yaklaşımlarla malzeme geliştirme sürecine yeniden katılmasını önerir. İç mimarlık, görece küçük üretim adetleriyle ve atölye ölçeğinde çalışabildiği için bu kanala ürün ve yapı ölçeğinden daha açıktır.</w:t>
      </w:r>
    </w:p>
    <w:p>
      <w:pPr>
        <w:spacing w:after="160" w:line="360"/>
        <w:jc w:val="both"/>
      </w:pPr>
      <w:r>
        <w:rPr>
          <w:rFonts w:ascii="Times New Roman" w:cs="Times New Roman" w:eastAsia="Times New Roman" w:hAnsi="Times New Roman"/>
          <w:sz w:val="24"/>
          <w:szCs w:val="24"/>
        </w:rPr>
        <w:t xml:space="preserve">Malzemenin etkinleşmesi bir olanak olduğu kadar bir belirsizlik kaynağıdır. Davranışı tasarım kararının parçası hâline geldiğinde, bu davranışın bilinmesi de bir gereklilik olarak doğar.</w:t>
      </w:r>
    </w:p>
    <w:p>
      <w:pPr>
        <w:pStyle w:val="Heading1"/>
        <w:spacing w:after="220" w:before="440" w:line="360"/>
      </w:pPr>
      <w:r>
        <w:rPr>
          <w:rFonts w:ascii="Times New Roman" w:cs="Times New Roman" w:eastAsia="Times New Roman" w:hAnsi="Times New Roman"/>
          <w:b/>
          <w:bCs/>
          <w:color w:val="000000"/>
          <w:sz w:val="26"/>
          <w:szCs w:val="26"/>
        </w:rPr>
        <w:t xml:space="preserve">4. DÖNGÜSEL MALZEME SİSTEMLERİ</w:t>
      </w:r>
    </w:p>
    <w:p>
      <w:pPr>
        <w:spacing w:after="160" w:line="360"/>
        <w:jc w:val="both"/>
      </w:pPr>
      <w:r>
        <w:rPr>
          <w:rFonts w:ascii="Times New Roman" w:cs="Times New Roman" w:eastAsia="Times New Roman" w:hAnsi="Times New Roman"/>
          <w:sz w:val="24"/>
          <w:szCs w:val="24"/>
        </w:rPr>
        <w:t xml:space="preserve">Üçüncü başlık malzemeleri sınıflandırdı. Dördüncü başlık bu malzemelerin döngüsel ekonomi sistemleriyle ilişkisini ele alıyor. Temel soru, biyolojik kökenin tek başına bir döngüsellik güvencesi oluşturup oluşturmadığıdır.</w:t>
      </w:r>
    </w:p>
    <w:p>
      <w:pPr>
        <w:pStyle w:val="Heading2"/>
        <w:spacing w:after="170" w:before="320" w:line="360"/>
      </w:pPr>
      <w:r>
        <w:rPr>
          <w:rFonts w:ascii="Times New Roman" w:cs="Times New Roman" w:eastAsia="Times New Roman" w:hAnsi="Times New Roman"/>
          <w:b/>
          <w:bCs/>
          <w:color w:val="000000"/>
          <w:sz w:val="24"/>
          <w:szCs w:val="24"/>
        </w:rPr>
        <w:t xml:space="preserve">4.1. Döngüsel ekonomi ve yapılı çevre</w:t>
      </w:r>
    </w:p>
    <w:p>
      <w:pPr>
        <w:spacing w:after="160" w:line="360"/>
        <w:jc w:val="both"/>
      </w:pPr>
      <w:r>
        <w:rPr>
          <w:rFonts w:ascii="Times New Roman" w:cs="Times New Roman" w:eastAsia="Times New Roman" w:hAnsi="Times New Roman"/>
          <w:sz w:val="24"/>
          <w:szCs w:val="24"/>
        </w:rPr>
        <w:t xml:space="preserve">Tartışmanın kavramsal zemini, kavramın kendisindeki belirsizlikle başlar. Kirchherr ve diğ. (2017), döngüsel ekonominin hem akademide hem uygulamada ivme kazanmasına karşın eleştirmenlerin kavramın herkes için farklı bir şey ifade ettiğini öne sürdüğünü aktarır. Yazarların 114 tanımı kodladığı çalışma, kavramın en sık azaltma, yeniden kullanma ve geri dönüştürme etkinliklerinin bileşimi olarak betimlendiğini bulgular. Döngüselliğin sistemsel bir değişim gerektirdiği ise çoğu kez vurgulanmaz. Kavram malzeme ölçeğine indirgendiğinde tam da bu sistemsel boyut gözden kaçar. Yapılı çevre özelinde Pomponi ve Moncaster (2017), döngüsel ekonomiyi tanımlayan altı temel boyut belirler: çevresel, teknolojik, ekonomik, toplumsal, yönetsel ve davranışsal. Çerçevenin buradaki önemi, döngüselliğin yalnızca malzemenin teknik niteliğiyle açıklanamayacağını göstermesidir.</w:t>
      </w:r>
    </w:p>
    <w:p>
      <w:pPr>
        <w:spacing w:after="160" w:line="360"/>
        <w:jc w:val="both"/>
      </w:pPr>
      <w:r>
        <w:rPr>
          <w:rFonts w:ascii="Times New Roman" w:cs="Times New Roman" w:eastAsia="Times New Roman" w:hAnsi="Times New Roman"/>
          <w:sz w:val="24"/>
          <w:szCs w:val="24"/>
        </w:rPr>
        <w:t xml:space="preserve">Biyolojik üretim mantığı bu zemine yapısal olarak uyar. Andréen ve Goidea’nın (2022) savunduğu gibi biyolojik tasarım sistemi doğası gereği döngüseldir. Yapısal uygunluk ise fiilî bir eklemlenme anlamına gelmez. Edalat (2026), biyolojik temelli yapı malzemelerinin döngüsel ekonomi sistemlerine eklemlenmesinin kavramsal olarak parçalı ve uygulamada tutarsız kaldığını saptar. Boşluğun nerede doğduğu sorusu bu başlığın tartışmasını kurar.</w:t>
      </w:r>
    </w:p>
    <w:p>
      <w:pPr>
        <w:spacing w:after="160" w:line="360"/>
        <w:jc w:val="both"/>
      </w:pPr>
      <w:r>
        <w:rPr>
          <w:rFonts w:ascii="Times New Roman" w:cs="Times New Roman" w:eastAsia="Times New Roman" w:hAnsi="Times New Roman"/>
          <w:sz w:val="24"/>
          <w:szCs w:val="24"/>
        </w:rPr>
        <w:t xml:space="preserve">İlk kesişme noktası girdi tarafındadır. Ahşap dışı biyolojik temelli yapı malzemeleri çoğunlukla atıktan elde edilir, buna karşılık tarımsal atığın inşaat sektöründeki kullanımı sınırlı kalır (Edalat, 2026). Kaynakların coğrafi dağılımı da belirleyicidir. Orman örtüsünün neredeyse yarısı dört ülkede yoğunlaşırken ahşap, Orta Doğu ve Kuzey Afrika gibi bölgelerde kıttır. Türkiye bu tablonun tam ortasında yer alır. Toklu (2017), ülkenin kullanılabilir biyokütle potansiyelini yaklaşık 17 milyon ton eşdeğer petrol olarak hesaplar ve bunun orman, tarım ve hayvancılık artıkları ile organik kentsel atıktan oluştuğunu belirtir. Fındık kabuğu, buğday sapı ve çeltik kavuzu gibi artıkların halen ağırlıklı olarak yakıt değeri üzerinden değerlendirilmesi, iç mekân bileşeni açısından henüz açılmamış bir malzeme kaynağına işaret eder.</w:t>
      </w:r>
    </w:p>
    <w:p>
      <w:pPr>
        <w:pStyle w:val="Heading2"/>
        <w:spacing w:after="170" w:before="320" w:line="360"/>
      </w:pPr>
      <w:r>
        <w:rPr>
          <w:rFonts w:ascii="Times New Roman" w:cs="Times New Roman" w:eastAsia="Times New Roman" w:hAnsi="Times New Roman"/>
          <w:b/>
          <w:bCs/>
          <w:color w:val="000000"/>
          <w:sz w:val="24"/>
          <w:szCs w:val="24"/>
        </w:rPr>
        <w:t xml:space="preserve">4.2. Tasarım aşamasında verilen kararlar</w:t>
      </w:r>
    </w:p>
    <w:p>
      <w:pPr>
        <w:spacing w:after="160" w:line="360"/>
        <w:jc w:val="both"/>
      </w:pPr>
      <w:r>
        <w:rPr>
          <w:rFonts w:ascii="Times New Roman" w:cs="Times New Roman" w:eastAsia="Times New Roman" w:hAnsi="Times New Roman"/>
          <w:sz w:val="24"/>
          <w:szCs w:val="24"/>
        </w:rPr>
        <w:t xml:space="preserve">Döngüsel malzeme sistemlerinin en belirleyici saptaması, kararın nerede verildiğiyle ilgilidir. Rios ve diğ. (2015), yıkım yerine sökümü, geri dönüştürülebilirliği ve sökülebilirlik için tasarımı daha iyi inşaat atığı yönetimi yaklaşımları sayar. Aynı çalışma çarpıcı bir boşluğu da ortaya koyar. Sökülebilirlik için tasarımın ilkelerini ele alan kapsamlı kılavuzlar yayımlanmıştır, ancak bu alanda geliştirilmiş yapı sayısı çok azdır. Edalat (2026) da malzeme tedariki, sökülebilirlik için tasarım ve bağlayıcı türünün geri dönüştürülebilirlik üzerinde belirleyici etkisi olduğunu, buna karşılık bu etkenlerin tasarımda ve araştırmada nadiren göz önünde bulundurulduğunu saptar.</w:t>
      </w:r>
    </w:p>
    <w:p>
      <w:pPr>
        <w:spacing w:after="160" w:line="360"/>
        <w:jc w:val="both"/>
      </w:pPr>
      <w:r>
        <w:rPr>
          <w:rFonts w:ascii="Times New Roman" w:cs="Times New Roman" w:eastAsia="Times New Roman" w:hAnsi="Times New Roman"/>
          <w:sz w:val="24"/>
          <w:szCs w:val="24"/>
        </w:rPr>
        <w:t xml:space="preserve">Bu saptamalar bölümün temel savının ilk yarısını kaynaklı biçimde kurar. Bir malzemenin döngüselliği biyolojik kökeninden çok bileşimi ve birleşimiyle şekillenir. Miselyum öğretici bir örnektir. Biyobozunurluğu, kendi kendine bağlanma özelliği ve tarımsal atıkla uyumluluğu nedeniyle kapalı döngü potansiyeli taşır ve bağlayıcı sorununu dışarıdan bir madde eklemeden çözer (Attias ve diğ., 2020). Aynı atık sentetik bir reçineyle bağlandığında ise döngüsellik iddiası büyük ölçüde geçersizleşir.</w:t>
      </w:r>
    </w:p>
    <w:p>
      <w:pPr>
        <w:spacing w:after="160" w:line="360"/>
        <w:jc w:val="both"/>
      </w:pPr>
      <w:r>
        <w:rPr>
          <w:rFonts w:ascii="Times New Roman" w:cs="Times New Roman" w:eastAsia="Times New Roman" w:hAnsi="Times New Roman"/>
          <w:sz w:val="24"/>
          <w:szCs w:val="24"/>
        </w:rPr>
        <w:t xml:space="preserve">Biyolojik kökenin güvence oluşturmadığı, girişte aktarılan iki uyarıyla birlikte okunduğunda daha da belirginleşir. Çevresel avantaj iddialarının her biri için önemli istisnalar vardır (O’Rourke ve Seepersad, 2015). Biyokompozitlerin uzun süreli dayanıklılığına ilişkin bilgi ise sınırlıdır (Chang ve diğ., 2020). Ömür sonu davranışı bilinmeyen bir malzeme için döngüsellik iddiası temelsiz kalır. İç mimarlık açısından sonuç doğrudandır. Bir bileşenin döngüsel sayılıp sayılamayacağı, malzeme listesinde değil detay çiziminde belli olur.</w:t>
      </w:r>
    </w:p>
    <w:p>
      <w:pPr>
        <w:pStyle w:val="Heading1"/>
        <w:spacing w:after="220" w:before="440" w:line="360"/>
      </w:pPr>
      <w:r>
        <w:rPr>
          <w:rFonts w:ascii="Times New Roman" w:cs="Times New Roman" w:eastAsia="Times New Roman" w:hAnsi="Times New Roman"/>
          <w:b/>
          <w:bCs/>
          <w:color w:val="000000"/>
          <w:sz w:val="26"/>
          <w:szCs w:val="26"/>
        </w:rPr>
        <w:t xml:space="preserve">5. DİRENÇLİLİK</w:t>
      </w:r>
    </w:p>
    <w:p>
      <w:pPr>
        <w:spacing w:after="160" w:line="360"/>
        <w:jc w:val="both"/>
      </w:pPr>
      <w:r>
        <w:rPr>
          <w:rFonts w:ascii="Times New Roman" w:cs="Times New Roman" w:eastAsia="Times New Roman" w:hAnsi="Times New Roman"/>
          <w:sz w:val="24"/>
          <w:szCs w:val="24"/>
        </w:rPr>
        <w:t xml:space="preserve">Dördüncü başlık döngüselliğin biyolojik kökenle güvence altına alınamayacağını gösterdi. Beşinci başlıkta dirençlilik, biyolojik temelli malzemelerin tasarım sürecine girmesiyle ortaya çıkan dönüşümleri anlamaya yarayan bir kavram olarak ele alınıyor.</w:t>
      </w:r>
    </w:p>
    <w:p>
      <w:pPr>
        <w:pStyle w:val="Heading2"/>
        <w:spacing w:after="170" w:before="320" w:line="360"/>
      </w:pPr>
      <w:r>
        <w:rPr>
          <w:rFonts w:ascii="Times New Roman" w:cs="Times New Roman" w:eastAsia="Times New Roman" w:hAnsi="Times New Roman"/>
          <w:b/>
          <w:bCs/>
          <w:color w:val="000000"/>
          <w:sz w:val="24"/>
          <w:szCs w:val="24"/>
        </w:rPr>
        <w:t xml:space="preserve">5.1. Dirençlilik kavramı</w:t>
      </w:r>
    </w:p>
    <w:p>
      <w:pPr>
        <w:spacing w:after="160" w:line="360"/>
        <w:jc w:val="both"/>
      </w:pPr>
      <w:r>
        <w:rPr>
          <w:rFonts w:ascii="Times New Roman" w:cs="Times New Roman" w:eastAsia="Times New Roman" w:hAnsi="Times New Roman"/>
          <w:sz w:val="24"/>
          <w:szCs w:val="24"/>
        </w:rPr>
        <w:t xml:space="preserve">Dirençlilik yapılı çevre literatüründe birbirinden önemli ölçüde farklı iki anlamda kullanılır. Heymans ve diğ. (2019), ekolojik kentsel planlama ve tasarım literatürünü sistematik olarak incelediği çalışmada bu iki tanımı ayırt eder. Eski tanım, bir sistemin bozulmanın ardından dengeye dönme yeteneğine işaret eder ve verimliliğe odaklanması bakımından modernist paradigmayla tutarlıdır. Daha yeni tanım ise denge dışı karmaşık uyarlanabilir sistemlerle ilişkilidir. Dirençliliği, bir sistemin temel yapısını ve işlevini sürdürürken değişimi soğurma ve değişime uyarlanma yeteneği olarak vurgular. İkinci tanımın kaynağı sosyo-ekolojik sistem araştırmalarıdır. Folke (2006) dirençliliği, bir sistemin bozulmayı soğurma ve zaman içinde aynı temel yapı ile işlevi koruyarak yeniden örgütlenme kapasitesi olarak tanımlar.</w:t>
      </w:r>
    </w:p>
    <w:p>
      <w:pPr>
        <w:spacing w:after="160" w:line="360"/>
        <w:jc w:val="both"/>
      </w:pPr>
      <w:r>
        <w:rPr>
          <w:rFonts w:ascii="Times New Roman" w:cs="Times New Roman" w:eastAsia="Times New Roman" w:hAnsi="Times New Roman"/>
          <w:sz w:val="24"/>
          <w:szCs w:val="24"/>
        </w:rPr>
        <w:t xml:space="preserve">Heymans ve diğ.’nin (2019) savunduğu gibi, sistemler öngörülemez olduğunda sürdürülebilirlik dirençlilik kapasitesine bağlı hâle gelir. Yazarlara göre bu, tasarımcılar için bir odak değişimi anlamına gelir. İdealleştirilmiş bir mekânsal biçim geliştirmek yerine, sistemin uyarlanma kapasitesinden doğan dirençliliğini kurmak üzere nasıl örgütlenebileceğini düşünmek gerekir. Sürdürülebilirlik böylece bir biçim hedefi olmaktan çıkar ve bir örgütlenme sorusuna dönüşür. İç mekân, kullanım senaryolarının en hızlı değiştiği ölçek olduğu için bu soruyu en sık soran alandır.</w:t>
      </w:r>
    </w:p>
    <w:p>
      <w:pPr>
        <w:pStyle w:val="Heading2"/>
        <w:spacing w:after="170" w:before="320" w:line="360"/>
      </w:pPr>
      <w:r>
        <w:rPr>
          <w:rFonts w:ascii="Times New Roman" w:cs="Times New Roman" w:eastAsia="Times New Roman" w:hAnsi="Times New Roman"/>
          <w:b/>
          <w:bCs/>
          <w:color w:val="000000"/>
          <w:sz w:val="24"/>
          <w:szCs w:val="24"/>
        </w:rPr>
        <w:t xml:space="preserve">5.2. Dirençli tasarım</w:t>
      </w:r>
    </w:p>
    <w:p>
      <w:pPr>
        <w:spacing w:after="160" w:line="360"/>
        <w:jc w:val="both"/>
      </w:pPr>
      <w:r>
        <w:rPr>
          <w:rFonts w:ascii="Times New Roman" w:cs="Times New Roman" w:eastAsia="Times New Roman" w:hAnsi="Times New Roman"/>
          <w:sz w:val="24"/>
          <w:szCs w:val="24"/>
        </w:rPr>
        <w:t xml:space="preserve">Biyolojik temelli malzemelerin tasarım sürecine girmesi yalnızca malzemenin niteliğini değiştirmez, tasarımcının konumunu da dönüştürür. Geleneksel yaklaşımda malzeme, verilmiş kararlar doğrultusunda seçilen bir unsurdur. Biyolojik temelli malzemeler ise değişkenlikleri, zamansallıkları ve üretim belirsizlikleriyle kararların yeniden değerlendirilmesini zorunlu kılar. Barati ve Karana (2019), tasarımcı ile malzeme bilimcisi arasındaki erken aşama ortak projelerini incelediği çalışmada yaratıcılığın tasarımcının zihnine ait bir yeti olmadığını, tasarımcı ile maddi dünya arasında dağılmış bir süreç olduğunu savunur. Geliştirdikleri malzeme potansiyeli olarak olanaklar kavramı, odağı tasarımcının yapma ve üretme edimlerine kaydırır. Tasarımcının işi böylece listeden seçim yapmak olmaktan çıkar ve malzemenin neye olanak tanıdığını üretim yoluyla keşfetmeye dönüşür. Keşfedilen şey çoğu zaman değişkenliktir. Goidea ve diğ. (2022), miselyum biyokompozitlerde tür seçiminin hem üretim sürecini hem nesnenin performansını değiştirdiğini örnekler.</w:t>
      </w:r>
    </w:p>
    <w:p>
      <w:pPr>
        <w:spacing w:after="160" w:line="360"/>
        <w:jc w:val="both"/>
      </w:pPr>
      <w:r>
        <w:rPr>
          <w:rFonts w:ascii="Times New Roman" w:cs="Times New Roman" w:eastAsia="Times New Roman" w:hAnsi="Times New Roman"/>
          <w:sz w:val="24"/>
          <w:szCs w:val="24"/>
        </w:rPr>
        <w:t xml:space="preserve">Değişkenliğin ikiz kavramı zamandır. Karana ve diğ. (2018), miselyum esaslı bir malzemeyle yürütülen tasarım sürecinde tasarımcının üç belirsizlik kaynağıyla baş etmek zorunda kaldığını bulgular: mikroorganizmanın failliği, malzemenin kendine özgü zamansallığı ve malzemenin toplum tarafından kabulü. İkincisi, büyüme, kuruma ve yaşlanma sürelerinin tasarım kararının içinde olduğu anlamına gelir. Ne var ki bu zamanın nasıl işlediğine ilişkin bilgi hâlâ sınırlıdır (Chang ve diğ., 2020). Zamanın tasarıma girmesinin doğrudan sonucu, bakımın bir tasarım kararına dönüşmesidir. Graham ve Thrift (2007), yerleşik kültürel kurguların onarım ve bakımı dikkat alanının dışına ittiğini ileri sürer. Biyolojik temelli malzemelerde bu dışarıda bırakma sürdürülemez, çünkü bakım kullanımın kesintiye uğraması değil koşuludur.</w:t>
      </w:r>
    </w:p>
    <w:p>
      <w:pPr>
        <w:pStyle w:val="Heading2"/>
        <w:spacing w:after="170" w:before="320" w:line="360"/>
      </w:pPr>
      <w:r>
        <w:rPr>
          <w:rFonts w:ascii="Times New Roman" w:cs="Times New Roman" w:eastAsia="Times New Roman" w:hAnsi="Times New Roman"/>
          <w:b/>
          <w:bCs/>
          <w:color w:val="000000"/>
          <w:sz w:val="24"/>
          <w:szCs w:val="24"/>
        </w:rPr>
        <w:t xml:space="preserve">5.3. Dirençlilik öznitelikleri</w:t>
      </w:r>
    </w:p>
    <w:p>
      <w:pPr>
        <w:spacing w:after="160" w:line="360"/>
        <w:jc w:val="both"/>
      </w:pPr>
      <w:r>
        <w:rPr>
          <w:rFonts w:ascii="Times New Roman" w:cs="Times New Roman" w:eastAsia="Times New Roman" w:hAnsi="Times New Roman"/>
          <w:sz w:val="24"/>
          <w:szCs w:val="24"/>
        </w:rPr>
        <w:t xml:space="preserve">Kavram kümesinin tasarım özelliklerine çevrilebilmesi için ekolojik dirençlilik araştırmaları bir dayanak sunar. Biggs ve diğ. (2012), ekosistem hizmetlerinin dirençliliğini güçlendirmeye yönelik yedi genel ilke tanımlar. İlk üçü çeşitlilik ile yedekliliğin korunması, bağlantısallığın yönetilmesi ve yavaş değişkenler ile geri besleme ilişkilerinin yönetilmesidir. Söz konusu ilkeler ekosistem yönetimi için geliştirilmiştir. Aşağıda, Walker ve diğ.’nin (2004) dirençlilik, uyarlanabilirlik ve dönüşebilirlik ayrımıyla birlikte okunarak iç mimarlık bağlamına uyarlanmakta ve dört tasarım özniteliği altında yeniden yorumlanmaktadır. Yorumlama bu bölümün kendi sentezidir, anılan kaynakların doğrudan önerisi değildir.</w:t>
      </w:r>
    </w:p>
    <w:p>
      <w:pPr>
        <w:spacing w:after="160" w:line="360"/>
        <w:jc w:val="both"/>
      </w:pPr>
      <w:r>
        <w:rPr>
          <w:rFonts w:ascii="Times New Roman" w:cs="Times New Roman" w:eastAsia="Times New Roman" w:hAnsi="Times New Roman"/>
          <w:sz w:val="24"/>
          <w:szCs w:val="24"/>
        </w:rPr>
        <w:t xml:space="preserve">Birinci öznitelik çeşitlilik ve yedekliliktir. Tek bir malzemeye ve tek bir birleşim türüne dayanan bir kurguda yerel bir bozulma bütüne yayılır. Birden çok malzemenin ve birbirinin işlevini üstlenebilecek bileşenlerin bulunduğu bir kurguda ise bozulma yerel kalır. Yedeklilik burada fazlalık değildir, bozulmanın yayılmasını engelleyen bir örgütlenme biçimidir. İkinci öznitelik bağlantısallıktır. Biggs ve diğ.’nin (2012) formülasyonu bağlantısallığın artırılmasını değil yönetilmesini önerir. Tasarımdaki karşılığı, bileşenlerin birbirine nasıl bağlandığı sorusudur. Tersinir birleşimler bir bileşenin ötekini bozmadan değiştirilmesine izin verir, kalıcı birleşimler ise bütün kurguyu tek bir karara bağlar.</w:t>
      </w:r>
    </w:p>
    <w:p>
      <w:pPr>
        <w:spacing w:after="160" w:line="360"/>
        <w:jc w:val="both"/>
      </w:pPr>
      <w:r>
        <w:rPr>
          <w:rFonts w:ascii="Times New Roman" w:cs="Times New Roman" w:eastAsia="Times New Roman" w:hAnsi="Times New Roman"/>
          <w:sz w:val="24"/>
          <w:szCs w:val="24"/>
        </w:rPr>
        <w:t xml:space="preserve">Üçüncü öznitelik bakım ve onarılabilirliktir. Önceki alt başlıkta kurulan bakım ilişkisi burada somut sorulara dönüşür. Bileşen onarılabiliyor mu, onarım izleri kabul ediliyor mu, bakımı kim yapabilir? Dördüncü öznitelik uyarlanabilirlik ve dönüşebilirliktir. Walker ve diğ. (2004), uyarlanabilirliği sistemdeki insan aktörlerin dirençliliği yönetme konusundaki ortak kapasitesi olarak tanımlar. Dönüşebilirlik ise koşullar mevcut sistemi sürdürülemez kıldığında temelden yeni bir sistem yaratma kapasitesidir. Kavramın yapı araştırmalarındaki karşılığının yerleşmediğini de eklemek gerekir. Askar ve diğ. (2021), uyarlanabilirlik kavramına ilişkin yorumların ve bunlara bağlı paradigmaların zaman içinde değiştiğini derler.</w:t>
      </w:r>
    </w:p>
    <w:p>
      <w:pPr>
        <w:spacing w:after="160" w:line="360"/>
        <w:jc w:val="both"/>
      </w:pPr>
      <w:r>
        <w:rPr>
          <w:rFonts w:ascii="Times New Roman" w:cs="Times New Roman" w:eastAsia="Times New Roman" w:hAnsi="Times New Roman"/>
          <w:sz w:val="24"/>
          <w:szCs w:val="24"/>
        </w:rPr>
        <w:t xml:space="preserve">Dört öznitelik ancak ölçekler arası okunduğunda anlam kazanır. Goidea ve diğ. (2022), değişken ölçekler, sistemler ve malzemeler arasındaki karşılıklı bağımlılığın doğrusal olmayan etkileşimler ürettiğine dikkat çeker. Bir bileşenin dirençliliği, bağlı olduğu sistemin dirençliliğinden ayrı değerlendirilemez. Döngüsellik ile dirençlilik eş anlamlı değildir, ancak çeşitlilik, tersinir bağlantı, onarılabilirlik ve uyarlanabilirlik gibi ortak özellikler üzerinden birbirini destekler. Dört öznitelik de ancak kullanıldıkları, bakıldıkları ve değiştirildikleri ölçekte sınanabilir. İzleyen başlıkta gösterileceği gibi bu ölçek büyük ölçüde iç mekândır.</w:t>
      </w:r>
    </w:p>
    <w:p>
      <w:pPr>
        <w:pStyle w:val="Heading1"/>
        <w:spacing w:after="220" w:before="440" w:line="360"/>
      </w:pPr>
      <w:r>
        <w:rPr>
          <w:rFonts w:ascii="Times New Roman" w:cs="Times New Roman" w:eastAsia="Times New Roman" w:hAnsi="Times New Roman"/>
          <w:b/>
          <w:bCs/>
          <w:color w:val="000000"/>
          <w:sz w:val="26"/>
          <w:szCs w:val="26"/>
        </w:rPr>
        <w:t xml:space="preserve">6. İÇ MEKÂN ÖLÇEĞİ</w:t>
      </w:r>
    </w:p>
    <w:p>
      <w:pPr>
        <w:spacing w:after="160" w:line="360"/>
        <w:jc w:val="both"/>
      </w:pPr>
      <w:r>
        <w:rPr>
          <w:rFonts w:ascii="Times New Roman" w:cs="Times New Roman" w:eastAsia="Times New Roman" w:hAnsi="Times New Roman"/>
          <w:sz w:val="24"/>
          <w:szCs w:val="24"/>
        </w:rPr>
        <w:t xml:space="preserve">Buraya kadar her başlık sonunda iç mimarlık karşılığına değinildi. Altıncı başlık tartışmayı doğrudan mekân ölçeğinde sürdürüyor. Bu malzemeler iç mimarlık pratiğinde hangi konumu alır ve bu konum tasarım kararlarını nasıl değiştirir?</w:t>
      </w:r>
    </w:p>
    <w:p>
      <w:pPr>
        <w:pStyle w:val="Heading2"/>
        <w:spacing w:after="170" w:before="320" w:line="360"/>
      </w:pPr>
      <w:r>
        <w:rPr>
          <w:rFonts w:ascii="Times New Roman" w:cs="Times New Roman" w:eastAsia="Times New Roman" w:hAnsi="Times New Roman"/>
          <w:b/>
          <w:bCs/>
          <w:color w:val="000000"/>
          <w:sz w:val="24"/>
          <w:szCs w:val="24"/>
        </w:rPr>
        <w:t xml:space="preserve">6.1. İç mekânın konumu</w:t>
      </w:r>
    </w:p>
    <w:p>
      <w:pPr>
        <w:spacing w:after="160" w:line="360"/>
        <w:jc w:val="both"/>
      </w:pPr>
      <w:r>
        <w:rPr>
          <w:rFonts w:ascii="Times New Roman" w:cs="Times New Roman" w:eastAsia="Times New Roman" w:hAnsi="Times New Roman"/>
          <w:sz w:val="24"/>
          <w:szCs w:val="24"/>
        </w:rPr>
        <w:t xml:space="preserve">Biyolojik temelli malzemelerin yapılı çevredeki yeri literatürde tanımlanmıştır. Edalat (2026), ahşap dışı biyolojik temelli yapı malzemelerinin iç ve dış yüzey kaplamaları, ısıl ve akustik yalıtım ile mobilya üretiminde kullanıldığını aktarır. Ahşap esaslı malzemeler ise ağırlıklı olarak yapısal bileşenlerde yer alır ve ahşap dışı malzemeler sınırlı mekanik dayanımları nedeniyle taşıyıcı elemanlarda nadiren kullanılır. İki saptama bir arada okunduğunda, bu malzemelerin mevcut uygulamalarında iç mekân bileşenlerinin önemli bir yer tuttuğu görülür. Durumu bir sınırlılık olarak değil, bir konumlanma olarak okumak daha verimlidir. Taşıyıcı olmayan bileşenler, bu malzemelerin yapısal risk eşiğinin görece düşük olduğu, dolayısıyla denenebilir oldukları alanı oluşturur.</w:t>
      </w:r>
    </w:p>
    <w:p>
      <w:pPr>
        <w:spacing w:after="160" w:line="360"/>
        <w:jc w:val="both"/>
      </w:pPr>
      <w:r>
        <w:rPr>
          <w:rFonts w:ascii="Times New Roman" w:cs="Times New Roman" w:eastAsia="Times New Roman" w:hAnsi="Times New Roman"/>
          <w:sz w:val="24"/>
          <w:szCs w:val="24"/>
        </w:rPr>
        <w:t xml:space="preserve">Üçüncü başlıkta aktarılan ölçek kısıtı da aynı sonucu destekler. Ölçek ve katmanlılık bakımından mimari bütünle ürün ölçeği arasında yer aldıkları için iç mekân bileşenleri aradaki eşiği oluşturur (Chayaamor-Heil ve diğ., 2024). İç mimarlığın buradaki konumu yalnızca ölçekten kaynaklanmaz. Malzemenin kullanıcıyla temas ettiği, yaşlandığı ve değiştirildiği ölçek de aynıdır.</w:t>
      </w:r>
    </w:p>
    <w:p>
      <w:pPr>
        <w:pStyle w:val="Heading2"/>
        <w:spacing w:after="170" w:before="320" w:line="360"/>
      </w:pPr>
      <w:r>
        <w:rPr>
          <w:rFonts w:ascii="Times New Roman" w:cs="Times New Roman" w:eastAsia="Times New Roman" w:hAnsi="Times New Roman"/>
          <w:b/>
          <w:bCs/>
          <w:color w:val="000000"/>
          <w:sz w:val="24"/>
          <w:szCs w:val="24"/>
        </w:rPr>
        <w:t xml:space="preserve">6.2. İkame, bağlayıcı ve iç hava</w:t>
      </w:r>
    </w:p>
    <w:p>
      <w:pPr>
        <w:spacing w:after="160" w:line="360"/>
        <w:jc w:val="both"/>
      </w:pPr>
      <w:r>
        <w:rPr>
          <w:rFonts w:ascii="Times New Roman" w:cs="Times New Roman" w:eastAsia="Times New Roman" w:hAnsi="Times New Roman"/>
          <w:sz w:val="24"/>
          <w:szCs w:val="24"/>
        </w:rPr>
        <w:t xml:space="preserve">Biyolojik temelli malzemelerin iç mekâna girişinde en yaygın yaklaşım, bu malzemelerin yerleşik malzemelerin yerine konmasıdır. Karana ve diğ. (2018) eğilimi doğrudan saptar ve bunun malzemenin kendi niteliklerinin değerlendirilmeden kalması anlamına geldiğini belirtir. Malzeme Odaklı Tasarım yöntemi tam da bu nedenle önerilir ve malzemenin kendine özgü teknik ile deneyimsel niteliklerini öne çıkarır (Karana ve diğ., 2015). Camere ve Karana’nın (2018) malzeme seçiminden malzeme tasarımına doğru bir kayma olarak adlandırdığı dönüşüm, iç mimarlık ölçeğinde somut bir ölçüt üretir. Bir miselyum panelini alçıpanın yerine koymak biyolojik temelli bir malzeme kullanmaktır, ancak tek başına biyotasarım yaklaşımının bütün kapsamını karşılamaz.</w:t>
      </w:r>
    </w:p>
    <w:p>
      <w:pPr>
        <w:spacing w:after="160" w:line="360"/>
        <w:jc w:val="both"/>
      </w:pPr>
      <w:r>
        <w:rPr>
          <w:rFonts w:ascii="Times New Roman" w:cs="Times New Roman" w:eastAsia="Times New Roman" w:hAnsi="Times New Roman"/>
          <w:sz w:val="24"/>
          <w:szCs w:val="24"/>
        </w:rPr>
        <w:t xml:space="preserve">Döngüselliğin bileşim ve birleşimde şekillendiği sav da iç mekân ölçeğinde somut biçimde gözlenir. Edalat (2026), yirmi çalışmayı döngüsellik ölçütleri üzerinden değerlendirdiği incelemesinde kahve atığı ile üre-formaldehit reçinesi kullanılarak üretilen bir iç mekân duvar panelini ele alır. Değerlendirmede atık kökenli tedarik bakımından çalışma tam puan alır. Buna karşılık geri dönüştürülebilirlik, biyobozunurluk ve ömür sonu ölçütü hiç dikkate alınmamış olarak puanlanır. Örnek savı iç mimarlığın kendi nesnesi üzerinden gösterir. Bir duvar paneli atıktan üretilmiş olabilir. Sentetik bir reçineyle bağlandığında ve ömür sonu senaryosu kurgulanmadığında yine de döngüsel bir bileşen hâline gelmez.</w:t>
      </w:r>
    </w:p>
    <w:p>
      <w:pPr>
        <w:spacing w:after="160" w:line="360"/>
        <w:jc w:val="both"/>
      </w:pPr>
      <w:r>
        <w:rPr>
          <w:rFonts w:ascii="Times New Roman" w:cs="Times New Roman" w:eastAsia="Times New Roman" w:hAnsi="Times New Roman"/>
          <w:sz w:val="24"/>
          <w:szCs w:val="24"/>
        </w:rPr>
        <w:t xml:space="preserve">Aynı örnek, iç mimarlığın tartışmaya eklediği ikinci bir ölçütü de görünür kılar. Bağlayıcı seçimi yalnızca ömür sonunu değil, kullanım süresi boyunca iç hava kalitesini de etkiler. Salthammer ve diğ. (2010), formaldehit esaslı reçinelerin yonga levha, kontrplak ve yalıtım köpüğü üretiminde yaygın kullanıldığını ve bu ürünlerin iç ortamdaki başlıca formaldehit kaynakları arasında yer aldığını derler. Kahve atıklı panelde üre-formaldehit reçinesinin seçilmiş olması bu nedenle çifte bir sorundur. Bu bölümde savunulan konuma göre iç mimarlıkta bağlayıcı kararı bir detay tercihi değil, döngüsellik ile sağlık boyutunu aynı anda etkileyen kurucu bir karardır. Miselyum gibi kendi kendine bağlanan malzemelerin ilgi görmesinin nedeni de kısmen budur (Attias ve diğ., 2020). Bileşen, sökülüp yeniden kurulabilen bir sistemin parçası olarak tasarlandığında ömür sonu senaryosu bir varsayım olmaktan çıkar.</w:t>
      </w:r>
    </w:p>
    <w:p>
      <w:pPr>
        <w:pStyle w:val="Heading2"/>
        <w:spacing w:after="170" w:before="320" w:line="360"/>
      </w:pPr>
      <w:r>
        <w:rPr>
          <w:rFonts w:ascii="Times New Roman" w:cs="Times New Roman" w:eastAsia="Times New Roman" w:hAnsi="Times New Roman"/>
          <w:b/>
          <w:bCs/>
          <w:color w:val="000000"/>
          <w:sz w:val="24"/>
          <w:szCs w:val="24"/>
        </w:rPr>
        <w:t xml:space="preserve">6.3. Deneyim ve bir uygulama örneği</w:t>
      </w:r>
    </w:p>
    <w:p>
      <w:pPr>
        <w:spacing w:after="160" w:line="360"/>
        <w:jc w:val="both"/>
      </w:pPr>
      <w:r>
        <w:rPr>
          <w:rFonts w:ascii="Times New Roman" w:cs="Times New Roman" w:eastAsia="Times New Roman" w:hAnsi="Times New Roman"/>
          <w:sz w:val="24"/>
          <w:szCs w:val="24"/>
        </w:rPr>
        <w:t xml:space="preserve">Kullanıcı ile malzeme arasındaki temas yalnızca teknik bir mesele değildir. Beşinci başlıkta anılan üç belirsizlik kaynağından üçüncüsü, yani malzemenin toplum tarafından kabulü (Karana ve diğ., 2018), iç mimarlık açısından özellikle belirleyicidir. Rognoli ve Ayala García’nın (2018) hatırlattığı gibi malzeme deneyimimiz koşullanmış bir deneyimdir, çünkü çevremizi saran nesnelerin neredeyse tamamı endüstriyel seri üretimden gelir. Koşullanma tekdüzeliği kalite ile, değişkenliği kusur ile özdeşleştiren bir beklenti üretir. Oysa biyolojik temelli malzemelerde değişkenlik malzemenin kimliğinin parçasıdır. İç mekân, kullanıcının malzemeye dokunduğu ve yaşlanmasını izlediği ölçek olduğundan, bu beklentinin dönüşeceği ya da direneceği yer de burasıdır.</w:t>
      </w:r>
    </w:p>
    <w:p>
      <w:pPr>
        <w:spacing w:after="160" w:line="360"/>
        <w:jc w:val="both"/>
      </w:pPr>
      <w:r>
        <w:rPr>
          <w:rFonts w:ascii="Times New Roman" w:cs="Times New Roman" w:eastAsia="Times New Roman" w:hAnsi="Times New Roman"/>
          <w:sz w:val="24"/>
          <w:szCs w:val="24"/>
        </w:rPr>
        <w:t xml:space="preserve">Başlıkta tartışılan üç ilişki, atık yumurta kabuğu ile doğal polimer esaslı bir bağlayıcı sistemden geliştirilen bir biyokompozit üzerinden tek bir örnekte birleşmiştir (Ünal, 2025). Söz konusu çalışmada malzeme bir ürün önerisi olarak değil tasarım aracı olarak ele alınmıştır. Teknik ve deneyimsel nitelikleri Malzeme Odaklı Tasarım yöntemiyle birlikte değerlendirilmiş, malzeme değişkenliği ise sökülüp yeniden kurulabilir modüler bir iç mekân sistemine aktarılmıştır.</w:t>
      </w:r>
    </w:p>
    <w:p>
      <w:pPr>
        <w:pStyle w:val="Heading1"/>
        <w:spacing w:after="220" w:before="440" w:line="360"/>
      </w:pPr>
      <w:r>
        <w:rPr>
          <w:rFonts w:ascii="Times New Roman" w:cs="Times New Roman" w:eastAsia="Times New Roman" w:hAnsi="Times New Roman"/>
          <w:b/>
          <w:bCs/>
          <w:color w:val="000000"/>
          <w:sz w:val="26"/>
          <w:szCs w:val="26"/>
        </w:rPr>
        <w:t xml:space="preserve">7. DEĞERLENDİRME ÇERÇEVESİ</w:t>
      </w:r>
    </w:p>
    <w:p>
      <w:pPr>
        <w:spacing w:after="160" w:line="360"/>
        <w:jc w:val="both"/>
      </w:pPr>
      <w:r>
        <w:rPr>
          <w:rFonts w:ascii="Times New Roman" w:cs="Times New Roman" w:eastAsia="Times New Roman" w:hAnsi="Times New Roman"/>
          <w:sz w:val="24"/>
          <w:szCs w:val="24"/>
        </w:rPr>
        <w:t xml:space="preserve">Önceki başlıklar kavramsal çerçeveyi, dirençlilik özniteliklerini ve iç mekândaki konumu ortaya koydu. Yedinci başlık tartışmayı değerlendirme düzlemine taşıyor.</w:t>
      </w:r>
    </w:p>
    <w:p>
      <w:pPr>
        <w:pStyle w:val="Heading2"/>
        <w:spacing w:after="170" w:before="320" w:line="360"/>
      </w:pPr>
      <w:r>
        <w:rPr>
          <w:rFonts w:ascii="Times New Roman" w:cs="Times New Roman" w:eastAsia="Times New Roman" w:hAnsi="Times New Roman"/>
          <w:b/>
          <w:bCs/>
          <w:color w:val="000000"/>
          <w:sz w:val="24"/>
          <w:szCs w:val="24"/>
        </w:rPr>
        <w:t xml:space="preserve">7.1. Potansiyeller ve gerilimler</w:t>
      </w:r>
    </w:p>
    <w:p>
      <w:pPr>
        <w:spacing w:after="160" w:line="360"/>
        <w:jc w:val="both"/>
      </w:pPr>
      <w:r>
        <w:rPr>
          <w:rFonts w:ascii="Times New Roman" w:cs="Times New Roman" w:eastAsia="Times New Roman" w:hAnsi="Times New Roman"/>
          <w:sz w:val="24"/>
          <w:szCs w:val="24"/>
        </w:rPr>
        <w:t xml:space="preserve">Biyolojik temelli malzemelere ilişkin literatür, aynı malzeme grubu için hem güçlü potansiyeller hem kalıcı sınırlılıklar bildirir. İki tarafı ayrı ayrı sıralamak yanıltıcıdır, çünkü çoğu durumda potansiyel ile sınırlılık aynı özelliğin iki yüzüdür. Tablo 3 bu karşıtlıkları sekiz boyutta gösterir.</w:t>
      </w:r>
    </w:p>
    <w:p>
      <w:pPr>
        <w:keepNext/>
        <w:spacing w:after="140" w:before="400" w:line="240"/>
      </w:pPr>
      <w:r>
        <w:rPr>
          <w:rFonts w:ascii="Times New Roman" w:cs="Times New Roman" w:eastAsia="Times New Roman" w:hAnsi="Times New Roman"/>
          <w:sz w:val="22"/>
          <w:szCs w:val="22"/>
        </w:rPr>
        <w:t xml:space="preserve">Tablo 3. </w:t>
      </w:r>
      <w:r>
        <w:rPr>
          <w:rFonts w:ascii="Times New Roman" w:cs="Times New Roman" w:eastAsia="Times New Roman" w:hAnsi="Times New Roman"/>
          <w:i/>
          <w:iCs/>
          <w:sz w:val="22"/>
          <w:szCs w:val="22"/>
        </w:rPr>
        <w:t xml:space="preserve">Biyolojik temelli malzemelerin potansiyelleri ve sınırlılıkları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3888"/>
        <w:gridCol w:w="3888"/>
      </w:tblGrid>
      <w:tr>
        <w:trPr>
          <w:cantSplit/>
          <w:tblHeader/>
        </w:trPr>
        <w:tc>
          <w:tcPr>
            <w:tcW w:type="dxa" w:w="12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Boyut</w:t>
            </w:r>
          </w:p>
        </w:tc>
        <w:tc>
          <w:tcPr>
            <w:tcW w:type="dxa" w:w="3888"/>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Potansiyel</w:t>
            </w:r>
          </w:p>
        </w:tc>
        <w:tc>
          <w:tcPr>
            <w:tcW w:type="dxa" w:w="3888"/>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Sınırlılık</w:t>
            </w:r>
          </w:p>
        </w:tc>
      </w:tr>
      <w:tr>
        <w:trPr>
          <w:cantSplit/>
        </w:trP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Değerlendirilemeyen biyokütlenin alternatif hammaddeye dönüşmesi (Lee ve diğ., 2022). Atık alt tabaka ile organizma bileşiminin tasarlanabilmesi (Attias ve diğ., 2020)</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Kısıtlı hammadde kaynakları. Bitkisel malzeme maliyetlerinin ülkeden ülkeye değişkenliği (Edalat, 2026)</w:t>
            </w:r>
          </w:p>
        </w:tc>
      </w:tr>
      <w:tr>
        <w:trPr>
          <w:cantSplit/>
        </w:trP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Üretim</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Yenilenebilirlik ve düşük gömülü enerji (Bourbia ve diğ., 2023)</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Yüksek maliyetler. Merkezsiz ve parçalı tedarik zincirleri (Edalat, 2026)</w:t>
            </w:r>
          </w:p>
        </w:tc>
      </w:tr>
      <w:tr>
        <w:trPr>
          <w:cantSplit/>
        </w:trP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Performans</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Isıl düzenleme kapasitesi ve mineral yalıtkanlarla karşılaştırılabilir ısıl performans (Bourbia ve diğ., 2023)</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Sınırlı mekanik dayanım ve zayıf yangın dayanımı (Edalat, 2026). Uzun süreli dayanıklılık bilgisinin sınırlılığı (Chang ve diğ., 2020)</w:t>
            </w:r>
          </w:p>
        </w:tc>
      </w:tr>
      <w:tr>
        <w:trPr>
          <w:cantSplit/>
        </w:trP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Standart</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Bambuda yapısal standartların oluşması, ISO 22156 ve ISO 19624 (Edalat, 2026)</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Çoğu ahşap dışı malzemede kod, kamusal farkındalık ve uzman yüklenici ağı eksikliği (Edalat, 2026). Yönetsel boyutun araştırmada zayıf kalması (Pomponi ve Moncaster, 2017)</w:t>
            </w:r>
          </w:p>
        </w:tc>
      </w:tr>
      <w:tr>
        <w:trPr>
          <w:cantSplit/>
        </w:trP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Döngüsellik</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Miselyumun kendi kendine bağlanma yoluyla bağlayıcı gereksinimini ortadan kaldırması (Attias ve diğ., 2020)</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Sökülebilirlik için tasarım ilkelerinin uygulamaya çok az geçmiş olması (Rios ve diğ., 2015). Ömür sonu planlaması ve toplama altyapısındaki boşluklar (Edalat, 2026)</w:t>
            </w:r>
          </w:p>
        </w:tc>
      </w:tr>
      <w:tr>
        <w:trPr>
          <w:cantSplit/>
        </w:trP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Kavramsal</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tasarım sisteminin doğası gereği döngüsel olması (Andréen ve Goidea, 2022)</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Döngüsellik tanımlarının çoğunun sistemsel değişimi vurgulamaması (Kirchherr ve diğ., 2017)</w:t>
            </w:r>
          </w:p>
        </w:tc>
      </w:tr>
      <w:tr>
        <w:trPr>
          <w:cantSplit/>
        </w:trP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İç hava</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Sentetik bağlayıcı kullanılmayan bileşimlerde salım kaynağının ortadan kalkması (Attias ve diğ., 2020)</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Formaldehit esaslı reçinelerin yonga levha, kontrplak ve yalıtım köpüğü üretiminde yaygın kullanımı (Salthammer ve diğ., 2010)</w:t>
            </w:r>
          </w:p>
        </w:tc>
      </w:tr>
      <w:tr>
        <w:trPr>
          <w:cantSplit/>
        </w:trP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Deneyim</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Teknik ve deneyimsel niteliklerin tasarıma girdi oluşturması (Karana ve diğ., 2015). Öz üretimin tasarımcıya açtığı deney alanı (Rognoli ve diğ., 2015)</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Malzemenin toplum tarafından kabulüne ilişkin belirsizlik (Karana ve diğ., 2018). Endüstriyel üretimle koşullanmış tekdüzelik beklentisi (Rognoli ve Ayala García, 2018)</w:t>
            </w:r>
          </w:p>
        </w:tc>
      </w:tr>
    </w:tbl>
    <w:p>
      <w:pPr>
        <w:spacing w:after="160" w:line="360"/>
        <w:jc w:val="both"/>
      </w:pPr>
      <w:r>
        <w:rPr>
          <w:rFonts w:ascii="Times New Roman" w:cs="Times New Roman" w:eastAsia="Times New Roman" w:hAnsi="Times New Roman"/>
          <w:sz w:val="24"/>
          <w:szCs w:val="24"/>
        </w:rPr>
        <w:t xml:space="preserve">Tablodaki karşıtlıklar üç gerilimde toplanabilir. İlki değişkenlik ile standartlaşma arasındadır. Malzemenin tasarım açısından en değerli niteliği, kurumsal kabul açısından en büyük engelidir. İkinci gerilim yerellik ile ölçeklenebilirlik arasındadır. Yerel kaynaklara dayanabilmek önemli bir avantajdır, ancak aynı özellik merkezsiz tedarik zincirleri biçiminde pazar ölçeğinde bir dezavantaja dönüşür. Buna karşılık Rognoli ve diğ. (2015), kişisel üretim teknolojilerinin dağıtık üretim süreçleriyle deney yapmayı olanaklı kıldığını savunur. Merkezsizlik sanayi ölçeğinde bir engel, tasarım pratiği ölçeğinde ise bir olanaktır ve iç mimarlık görece küçük üretim adetleriyle çalıştığı için ikinci tarafa daha yakın durur.</w:t>
      </w:r>
    </w:p>
    <w:p>
      <w:pPr>
        <w:spacing w:after="160" w:line="360"/>
        <w:jc w:val="both"/>
      </w:pPr>
      <w:r>
        <w:rPr>
          <w:rFonts w:ascii="Times New Roman" w:cs="Times New Roman" w:eastAsia="Times New Roman" w:hAnsi="Times New Roman"/>
          <w:sz w:val="24"/>
          <w:szCs w:val="24"/>
        </w:rPr>
        <w:t xml:space="preserve">Üçüncü gerilim biyolojik dönüşebilirlik ile dayanıklılık arasındadır ve bölümün savını en açık biçimde sınar. Edalat (2026), koyun ve kenevir yünü gibi ham biyolojik yalıtkanların geri dönüştürülebilirlikleri nedeniyle ilgi gördüğünü, ancak zayıf yangın dayanımı ve yüksek maliyetle karşılaştığını aktarır. Mineral yünler ise tümüyle ve sınırsız biçimde yeni ürünlere geri dönüştürülebilir. Bu özgül karşılaştırmada biyolojik kökenli olmayan bir malzeme, biyolojik kökenli alternatifinden daha döngüsel davranır. Samanın tümüyle biyobozunur olması da kademeli bozunmaya açıklık demektir ve geri kazanımını güçleştirir. Biyobozunurluk kendi başına döngüsellik üretmez. Üç gerilimin hiçbiri kolay çözülür türden değildir ve bölüm bunları çözmeyi değil, karar sürecinde görünür kılmayı amaçlar.</w:t>
      </w:r>
    </w:p>
    <w:p>
      <w:pPr>
        <w:pStyle w:val="Heading2"/>
        <w:spacing w:after="170" w:before="320" w:line="360"/>
      </w:pPr>
      <w:r>
        <w:rPr>
          <w:rFonts w:ascii="Times New Roman" w:cs="Times New Roman" w:eastAsia="Times New Roman" w:hAnsi="Times New Roman"/>
          <w:b/>
          <w:bCs/>
          <w:color w:val="000000"/>
          <w:sz w:val="24"/>
          <w:szCs w:val="24"/>
        </w:rPr>
        <w:t xml:space="preserve">7.2. Altı boyutlu çerçeve</w:t>
      </w:r>
    </w:p>
    <w:p>
      <w:pPr>
        <w:spacing w:after="160" w:line="360"/>
        <w:jc w:val="both"/>
      </w:pPr>
      <w:r>
        <w:rPr>
          <w:rFonts w:ascii="Times New Roman" w:cs="Times New Roman" w:eastAsia="Times New Roman" w:hAnsi="Times New Roman"/>
          <w:sz w:val="24"/>
          <w:szCs w:val="24"/>
        </w:rPr>
        <w:t xml:space="preserve">Üç gerilim, bir malzemenin tek bir ölçüt kümesiyle değerlendirilemeyeceğini gösterir. Kirchherr ve diğ. (2017) döngüsellik tanımlarının çoğunun sistemsel değişimi vurgulamadığını saptar. Pomponi ve Moncaster (2017) yapılı çevrede döngüselliğin altı boyutta kurulduğunu ortaya koyar. Edalat (2026) ise yaşam döngüsü değerlendirmesine ve sera gazı azaltımına orantısız odaklanmanın tedarik zinciri dirençliliğini ve malzeme döngüselliğini ihmal ettiğine dikkat çeker. Üç saptama aynı yere varır. Eksik olan daha iyi bir malzeme listesi değildir, malzeme kararını farklı düzlemlerde birlikte okuyan bir çerçevedir.</w:t>
      </w:r>
    </w:p>
    <w:p>
      <w:pPr>
        <w:spacing w:after="160" w:line="360"/>
        <w:jc w:val="both"/>
      </w:pPr>
      <w:r>
        <w:rPr>
          <w:rFonts w:ascii="Times New Roman" w:cs="Times New Roman" w:eastAsia="Times New Roman" w:hAnsi="Times New Roman"/>
          <w:sz w:val="24"/>
          <w:szCs w:val="24"/>
        </w:rPr>
        <w:t xml:space="preserve">Tablo 4 bu gereksinime yanıt olarak iç mekân ölçeği için altı boyutlu bir çerçeve önerir. Çerçevenin kaynağı tek bir çalışma değildir, her boyut bölüm boyunca tartışılan farklı kaynak kümelerine dayanır. İlk üç boyut malzemenin maddi örgütlenmesini, son üç boyut ise malzemenin kullanıcıyla, zamanla ve kurumsal çevreyle ilişkisini kapsar. Çerçeve, literatürde doğrudan tanımlanmış mevcut bir modelin aktarımı değil, bu bölüm kapsamında geliştirilen kavramsal bir sentezdir.</w:t>
      </w:r>
    </w:p>
    <w:p>
      <w:pPr>
        <w:keepNext/>
        <w:spacing w:after="140" w:before="400" w:line="240"/>
      </w:pPr>
      <w:r>
        <w:rPr>
          <w:rFonts w:ascii="Times New Roman" w:cs="Times New Roman" w:eastAsia="Times New Roman" w:hAnsi="Times New Roman"/>
          <w:sz w:val="22"/>
          <w:szCs w:val="22"/>
        </w:rPr>
        <w:t xml:space="preserve">Tablo 4. </w:t>
      </w:r>
      <w:r>
        <w:rPr>
          <w:rFonts w:ascii="Times New Roman" w:cs="Times New Roman" w:eastAsia="Times New Roman" w:hAnsi="Times New Roman"/>
          <w:i/>
          <w:iCs/>
          <w:sz w:val="22"/>
          <w:szCs w:val="22"/>
        </w:rPr>
        <w:t xml:space="preserve">İç mekân ölçeği için önerilen altı boyutlu değerlendirme çerçevesi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
        <w:gridCol w:w="1900"/>
        <w:gridCol w:w="3300"/>
        <w:gridCol w:w="3276"/>
      </w:tblGrid>
      <w:tr>
        <w:trPr>
          <w:cantSplit/>
          <w:tblHeader/>
        </w:trPr>
        <w:tc>
          <w:tcPr>
            <w:tcW w:type="dxa" w:w="5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
            </w:r>
          </w:p>
        </w:tc>
        <w:tc>
          <w:tcPr>
            <w:tcW w:type="dxa" w:w="19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Boyut</w:t>
            </w:r>
          </w:p>
        </w:tc>
        <w:tc>
          <w:tcPr>
            <w:tcW w:type="dxa" w:w="33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sorusu</w:t>
            </w:r>
          </w:p>
        </w:tc>
        <w:tc>
          <w:tcPr>
            <w:tcW w:type="dxa" w:w="3276"/>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Kuramsal dayanak</w:t>
            </w:r>
          </w:p>
        </w:tc>
      </w:tr>
      <w:tr>
        <w:trPr>
          <w:cantSplit/>
        </w:trP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 ve tedarik</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Girdi bir atık akımından mı geliyor? Kaynak bölgesel olarak erişilebilir mi?</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Lee ve diğ. (2022); Attias ve diğ. (2020); Toklu (2017)</w:t>
            </w:r>
          </w:p>
        </w:tc>
      </w:tr>
      <w:tr>
        <w:trPr>
          <w:cantSplit/>
        </w:trP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Bileşim ve birleşim</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Bağlayıcı doğal mı, sentetik mi, yok mu? Bileşen hasarsız sökülebiliyor mu? Birleşim tersinir mi?</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Rios ve diğ. (2015); Edalat (2026)</w:t>
            </w:r>
          </w:p>
        </w:tc>
      </w:tr>
      <w:tr>
        <w:trPr>
          <w:cantSplit/>
        </w:trP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C</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Ömür sonu senaryosu</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Bileşen ömrünün sonunda hangi döngüye giriyor? Senaryo tasarım aşamasında tanımlanmış mı?</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Kirchherr ve diğ. (2017); Chang ve diğ. (2020)</w:t>
            </w:r>
          </w:p>
        </w:tc>
      </w:tr>
      <w:tr>
        <w:trPr>
          <w:cantSplit/>
        </w:trP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Kullanım ve iç hava</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Bileşim kullanım süresi boyunca iç ortama salım yapıyor mu? Nem ve biyolojik bozunmaya karşı davranışı biliniyor mu?</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Salthammer ve diğ. (2010); Chang ve diğ. (2020)</w:t>
            </w:r>
          </w:p>
        </w:tc>
      </w:tr>
      <w:tr>
        <w:trPr>
          <w:cantSplit/>
        </w:trP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E</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Deneyimsel performans</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 kullanıcıda hangi duyusal ve anlamsal deneyimi oluşturuyor? Yaşlandığında nasıl davranıyor? Değişkenliği kabul görüyor mu?</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Karana ve diğ. (2015); Karana ve diğ. (2018); Rognoli ve Ayala García (2018)</w:t>
            </w:r>
          </w:p>
        </w:tc>
      </w:tr>
      <w:tr>
        <w:trPr>
          <w:cantSplit/>
        </w:trP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F</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Dirençlilik ve kurumsal çerçeve</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Kurgu çeşitlilik ve yedeklilik taşıyor mu? Bileşen onarılabiliyor mu? Malzemeyi destekleyen standart ve uzman ağı var mı?</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Walker ve diğ. (2004); Biggs ve diğ. (2012); Graham ve Thrift (2007); Pomponi ve Moncaster (2017)</w:t>
            </w:r>
          </w:p>
        </w:tc>
      </w:tr>
    </w:tbl>
    <w:p>
      <w:pPr>
        <w:spacing w:after="340" w:before="130" w:line="240"/>
      </w:pPr>
      <w:r>
        <w:rPr>
          <w:rFonts w:ascii="Times New Roman" w:cs="Times New Roman" w:eastAsia="Times New Roman" w:hAnsi="Times New Roman"/>
          <w:i/>
          <w:iCs/>
          <w:sz w:val="18"/>
          <w:szCs w:val="18"/>
        </w:rPr>
        <w:t xml:space="preserve">Çerçeve bu bölüm kapsamında geliştirilmiş kavramsal bir sentezdir.</w:t>
      </w:r>
    </w:p>
    <w:p>
      <w:pPr>
        <w:spacing w:after="160" w:line="360"/>
        <w:jc w:val="both"/>
      </w:pPr>
      <w:r>
        <w:rPr>
          <w:rFonts w:ascii="Times New Roman" w:cs="Times New Roman" w:eastAsia="Times New Roman" w:hAnsi="Times New Roman"/>
          <w:sz w:val="24"/>
          <w:szCs w:val="24"/>
        </w:rPr>
        <w:t xml:space="preserve">Çerçevenin kullanım mantığı sıralı değil eşzamanlıdır. Bir bileşenin yalnızca ilk üç boyutu karşılaması, iç mekân bağlamında yeterli bir değerlendirme sağlamaz. Kahve atıklı duvar paneli örneği bunu açıkça gösterir. Bileşen atık kökenli tedarik boyutunu tümüyle karşılar, ömür sonu ve iç hava boyutlarını ise hiç karşılamaz. Deneyimsel performansı güçlü olmakla birlikte onarılamayan bir bileşen de son boyutu karşılamaz.</w:t>
      </w:r>
    </w:p>
    <w:p>
      <w:pPr>
        <w:pStyle w:val="Heading1"/>
        <w:spacing w:after="220" w:before="440" w:line="360"/>
      </w:pPr>
      <w:r>
        <w:rPr>
          <w:rFonts w:ascii="Times New Roman" w:cs="Times New Roman" w:eastAsia="Times New Roman" w:hAnsi="Times New Roman"/>
          <w:b/>
          <w:bCs/>
          <w:color w:val="000000"/>
          <w:sz w:val="26"/>
          <w:szCs w:val="26"/>
        </w:rPr>
        <w:t xml:space="preserve">8. SONUÇ</w:t>
      </w:r>
    </w:p>
    <w:p>
      <w:pPr>
        <w:spacing w:after="160" w:line="360"/>
        <w:jc w:val="both"/>
      </w:pPr>
      <w:r>
        <w:rPr>
          <w:rFonts w:ascii="Times New Roman" w:cs="Times New Roman" w:eastAsia="Times New Roman" w:hAnsi="Times New Roman"/>
          <w:sz w:val="24"/>
          <w:szCs w:val="24"/>
        </w:rPr>
        <w:t xml:space="preserve">Bu bölüm, iç mimarlıkta biyolojik temelli malzeme seçiminin sürdürülebilirlik, döngüsellik ve dirençlilik ölçütlerini birlikte ele alan bir tasarım yaklaşımı olarak nasıl kavramsallaştırılabileceğini tartıştı. Yürütülen inceleme, bu üç kavramın birbirinin yerine geçen eşanlamlılar olmadığını gösterdi. Birbirini kapsayan ve birbirine ölçüt ekleyen üç ayrı düzlem oluştururlar. Sürdürülebilirlik malzemenin çevresel etkisini azaltmayı hedefler. Döngüsellik malzemenin yaşam döngüsünü ve ömür sonu senaryosunu karar sürecine katar. Dirençlilik ise değerlendirmeye zamanı ve değişimi ekler. Şekil 1 üç düzlemi, her birinin sorduğu soruyu ve tek başına yetersiz kaldığı noktayı bir arada gösterir.</w:t>
      </w:r>
    </w:p>
    <w:p>
      <w:pPr>
        <w:spacing w:after="160" w:before="120"/>
        <w:jc w:val="center"/>
      </w:pPr>
      <w:r>
        <w:drawing>
          <wp:inline distT="0" distB="0" distL="0" distR="0">
            <wp:extent cx="47244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24400" cy="2524125"/>
                    </a:xfrm>
                    <a:prstGeom prst="rect">
                      <a:avLst/>
                    </a:prstGeom>
                  </pic:spPr>
                </pic:pic>
              </a:graphicData>
            </a:graphic>
          </wp:inline>
        </w:drawing>
      </w:r>
    </w:p>
    <w:p>
      <w:pPr>
        <w:keepNext/>
        <w:spacing w:after="140" w:before="400" w:line="240"/>
      </w:pPr>
      <w:r>
        <w:rPr>
          <w:rFonts w:ascii="Times New Roman" w:cs="Times New Roman" w:eastAsia="Times New Roman" w:hAnsi="Times New Roman"/>
          <w:sz w:val="22"/>
          <w:szCs w:val="22"/>
        </w:rPr>
        <w:t xml:space="preserve">Şekil 1. </w:t>
      </w:r>
      <w:r>
        <w:rPr>
          <w:rFonts w:ascii="Times New Roman" w:cs="Times New Roman" w:eastAsia="Times New Roman" w:hAnsi="Times New Roman"/>
          <w:i/>
          <w:iCs/>
          <w:sz w:val="22"/>
          <w:szCs w:val="22"/>
        </w:rPr>
        <w:t xml:space="preserve">Sürdürülebilirlik, döngüsellik ve dirençlilik: üç değerlendirme düzlemi</w:t>
      </w:r>
    </w:p>
    <w:p>
      <w:pPr>
        <w:spacing w:after="340" w:before="130" w:line="240"/>
      </w:pPr>
      <w:r>
        <w:rPr>
          <w:rFonts w:ascii="Times New Roman" w:cs="Times New Roman" w:eastAsia="Times New Roman" w:hAnsi="Times New Roman"/>
          <w:i/>
          <w:iCs/>
          <w:sz w:val="18"/>
          <w:szCs w:val="18"/>
        </w:rPr>
        <w:t xml:space="preserve">Sınır ifadeleri sırasıyla O’Rourke ve Seepersad (2015), Rios ve diğ. (2015) ile Chang ve diğ. (2020) çalışmalarına dayanmaktadır.</w:t>
      </w:r>
    </w:p>
    <w:p>
      <w:pPr>
        <w:spacing w:after="160" w:line="360"/>
        <w:jc w:val="both"/>
      </w:pPr>
      <w:r>
        <w:rPr>
          <w:rFonts w:ascii="Times New Roman" w:cs="Times New Roman" w:eastAsia="Times New Roman" w:hAnsi="Times New Roman"/>
          <w:sz w:val="24"/>
          <w:szCs w:val="24"/>
        </w:rPr>
        <w:t xml:space="preserve">Şekil 1 ile Tablo 4 arasındaki ilişki bölümün katkısını özetler. Şekil 1 neyin değerlendirildiğini, yani sürdürülebilirlikten dirençliliğe uzanan üç düzlemi gösterir. Tablo 4 ise bu düzlemlerin iç mekânda hangi somut sorularla sınanacağını verir. Kaynak, tedarik ve bileşim boyutları ilk iki düzleme, ömür sonu ile iç hava boyutları ikinci düzleme, deneyimsel performans ve dirençlilik boyutları üçüncü düzleme karşılık gelir.</w:t>
      </w:r>
    </w:p>
    <w:p>
      <w:pPr>
        <w:spacing w:after="160" w:line="360"/>
        <w:jc w:val="both"/>
      </w:pPr>
      <w:r>
        <w:rPr>
          <w:rFonts w:ascii="Times New Roman" w:cs="Times New Roman" w:eastAsia="Times New Roman" w:hAnsi="Times New Roman"/>
          <w:sz w:val="24"/>
          <w:szCs w:val="24"/>
        </w:rPr>
        <w:t xml:space="preserve">Bölümün ikinci saptaması üç düzlemin iç mimarlıkta kesiştiği noktadadır. Bu malzemelerin mevcut uygulamaları kadar kullanımı, bakımı, onarımı ve değiştirilmesi de büyük ölçüde iç mekân ölçeğinde gerçekleşir (Edalat, 2026).</w:t>
      </w:r>
    </w:p>
    <w:p>
      <w:pPr>
        <w:spacing w:after="160" w:line="360"/>
        <w:jc w:val="both"/>
      </w:pPr>
      <w:r>
        <w:rPr>
          <w:rFonts w:ascii="Times New Roman" w:cs="Times New Roman" w:eastAsia="Times New Roman" w:hAnsi="Times New Roman"/>
          <w:sz w:val="24"/>
          <w:szCs w:val="24"/>
        </w:rPr>
        <w:t xml:space="preserve">Önerilen çerçevenin sınırlılıklarını açıkça belirtmek gerekir. Öneri kuramsal düzeyde kalmakta ve tasarım pratiğinde sınanmamıştır. Deneyimsel performans ile dirençlilik boyutları için yerleşik bir ölçüm yaklaşımı yoktur. Daha önemlisi, bölümün iç mimarlığa ilişkin savı büyük ölçüde çıkarımsaldır. İç mekân ölçeğine özgü doğrudan ampirik literatür sınırlıdır ve buradaki sav, yapı ölçeği ile ürün tasarımı literatüründen türetilmiştir. Savın sınanması iç mekân bileşenleri üzerinde alan çalışmaları gerektirir.</w:t>
      </w:r>
    </w:p>
    <w:p>
      <w:pPr>
        <w:spacing w:after="160" w:line="360"/>
        <w:jc w:val="both"/>
      </w:pPr>
      <w:r>
        <w:rPr>
          <w:rFonts w:ascii="Times New Roman" w:cs="Times New Roman" w:eastAsia="Times New Roman" w:hAnsi="Times New Roman"/>
          <w:sz w:val="24"/>
          <w:szCs w:val="24"/>
        </w:rPr>
        <w:t xml:space="preserve">Buradan bir araştırma gündemi doğar. Deneyimsel performans ve dirençlilik boyutları için ölçülebilir yaklaşımlar geliştirilmeli, iç mekân bileşenlerinde tersinir birleşim detayları araştırılmalıdır (Rios ve diğ., 2015). Biyolojik temelli bileşenlerin uzun süreli davranışı izlenmelidir (Chang ve diğ., 2020). Türkiye özelinde ise tarımsal artıkların iç mekân bileşenine dönüştürülmesi öncelikli bir araştırma alanıdır (Toklu, 2017).</w:t>
      </w:r>
    </w:p>
    <w:p>
      <w:pPr>
        <w:spacing w:after="160" w:line="360"/>
        <w:jc w:val="both"/>
      </w:pPr>
      <w:r>
        <w:rPr>
          <w:rFonts w:ascii="Times New Roman" w:cs="Times New Roman" w:eastAsia="Times New Roman" w:hAnsi="Times New Roman"/>
          <w:sz w:val="24"/>
          <w:szCs w:val="24"/>
        </w:rPr>
        <w:t xml:space="preserve">Son olarak, bu yaklaşımın ima ettiği değişim malzeme listelerinin yenilenmesinden daha kapsamlıdır. Malzeme seçiminden malzeme tasarımına kayma, tasarımcının malzemeyle kurduğu ilişkinin yeniden tanımlanması demektir (Camere ve Karana, 2018). Heymans ve diğ. (2019) dönüşümün yönünü de gösterir. Sistemin sürdürülebilirliği dirençlilik kapasitesine bağlıdır ve bu kapasite kentlerin insan ve insan-dışı tüm sakinlerini kapsamak durumundadır. İç mekân bu ilişkinin gündelik ölçekte kurulduğu yerdir ve dönüşümün hem sınanacağı hem görünür olacağı alandır.</w:t>
      </w:r>
    </w:p>
    <w:p>
      <w:pPr>
        <w:pStyle w:val="Heading1"/>
        <w:spacing w:after="220" w:before="440" w:line="360"/>
      </w:pPr>
      <w:r>
        <w:rPr>
          <w:rFonts w:ascii="Times New Roman" w:cs="Times New Roman" w:eastAsia="Times New Roman" w:hAnsi="Times New Roman"/>
          <w:b/>
          <w:bCs/>
          <w:color w:val="000000"/>
          <w:sz w:val="26"/>
          <w:szCs w:val="26"/>
        </w:rPr>
        <w:t xml:space="preserve">KAYNAKÇA</w:t>
      </w:r>
    </w:p>
    <w:p>
      <w:pPr>
        <w:spacing w:after="140" w:line="360"/>
        <w:ind w:left="567" w:hanging="567"/>
        <w:jc w:val="left"/>
      </w:pPr>
      <w:r>
        <w:rPr>
          <w:rFonts w:ascii="Times New Roman" w:cs="Times New Roman" w:eastAsia="Times New Roman" w:hAnsi="Times New Roman"/>
          <w:i w:val="false"/>
          <w:iCs w:val="false"/>
          <w:sz w:val="24"/>
          <w:szCs w:val="24"/>
        </w:rPr>
        <w:t xml:space="preserve">Andréen, D. ve Goidea, A. (2022). Principles of biological design as a model for biodesign and biofabrication in architecture. </w:t>
      </w:r>
      <w:r>
        <w:rPr>
          <w:rFonts w:ascii="Times New Roman" w:cs="Times New Roman" w:eastAsia="Times New Roman" w:hAnsi="Times New Roman"/>
          <w:i/>
          <w:iCs/>
          <w:sz w:val="24"/>
          <w:szCs w:val="24"/>
        </w:rPr>
        <w:t xml:space="preserve">Architecture, Structures and Construction, 2</w:t>
      </w:r>
      <w:r>
        <w:rPr>
          <w:rFonts w:ascii="Times New Roman" w:cs="Times New Roman" w:eastAsia="Times New Roman" w:hAnsi="Times New Roman"/>
          <w:i w:val="false"/>
          <w:iCs w:val="false"/>
          <w:sz w:val="24"/>
          <w:szCs w:val="24"/>
        </w:rPr>
        <w:t xml:space="preserve">, 481–491. https://doi.org/10.1007/s44150-022-00049-6</w:t>
      </w:r>
    </w:p>
    <w:p>
      <w:pPr>
        <w:spacing w:after="140" w:line="360"/>
        <w:ind w:left="567" w:hanging="567"/>
        <w:jc w:val="left"/>
      </w:pPr>
      <w:r>
        <w:rPr>
          <w:rFonts w:ascii="Times New Roman" w:cs="Times New Roman" w:eastAsia="Times New Roman" w:hAnsi="Times New Roman"/>
          <w:i w:val="false"/>
          <w:iCs w:val="false"/>
          <w:sz w:val="24"/>
          <w:szCs w:val="24"/>
        </w:rPr>
        <w:t xml:space="preserve">Askar, R., Bragança, L. ve Gervásio, H. (2021). Adaptability of buildings: A critical review on the concept evolution. </w:t>
      </w:r>
      <w:r>
        <w:rPr>
          <w:rFonts w:ascii="Times New Roman" w:cs="Times New Roman" w:eastAsia="Times New Roman" w:hAnsi="Times New Roman"/>
          <w:i/>
          <w:iCs/>
          <w:sz w:val="24"/>
          <w:szCs w:val="24"/>
        </w:rPr>
        <w:t xml:space="preserve">Applied Sciences, 11</w:t>
      </w:r>
      <w:r>
        <w:rPr>
          <w:rFonts w:ascii="Times New Roman" w:cs="Times New Roman" w:eastAsia="Times New Roman" w:hAnsi="Times New Roman"/>
          <w:i w:val="false"/>
          <w:iCs w:val="false"/>
          <w:sz w:val="24"/>
          <w:szCs w:val="24"/>
        </w:rPr>
        <w:t xml:space="preserve">(10), 4483. https://doi.org/10.3390/app11104483</w:t>
      </w:r>
    </w:p>
    <w:p>
      <w:pPr>
        <w:spacing w:after="140" w:line="360"/>
        <w:ind w:left="567" w:hanging="567"/>
        <w:jc w:val="left"/>
      </w:pPr>
      <w:r>
        <w:rPr>
          <w:rFonts w:ascii="Times New Roman" w:cs="Times New Roman" w:eastAsia="Times New Roman" w:hAnsi="Times New Roman"/>
          <w:i w:val="false"/>
          <w:iCs w:val="false"/>
          <w:sz w:val="24"/>
          <w:szCs w:val="24"/>
        </w:rPr>
        <w:t xml:space="preserve">Attias, N., Danai, O., Abitbol, T., Tarazi, E., Ezov, N., Pereman, I. ve Grobman, Y. J. (2020). Mycelium bio-composites in industrial design and architecture: Comparative review and experimental analysis. </w:t>
      </w:r>
      <w:r>
        <w:rPr>
          <w:rFonts w:ascii="Times New Roman" w:cs="Times New Roman" w:eastAsia="Times New Roman" w:hAnsi="Times New Roman"/>
          <w:i/>
          <w:iCs/>
          <w:sz w:val="24"/>
          <w:szCs w:val="24"/>
        </w:rPr>
        <w:t xml:space="preserve">Journal of Cleaner Production, 246</w:t>
      </w:r>
      <w:r>
        <w:rPr>
          <w:rFonts w:ascii="Times New Roman" w:cs="Times New Roman" w:eastAsia="Times New Roman" w:hAnsi="Times New Roman"/>
          <w:i w:val="false"/>
          <w:iCs w:val="false"/>
          <w:sz w:val="24"/>
          <w:szCs w:val="24"/>
        </w:rPr>
        <w:t xml:space="preserve">, 119037. https://doi.org/10.1016/j.jclepro.2019.119037</w:t>
      </w:r>
    </w:p>
    <w:p>
      <w:pPr>
        <w:spacing w:after="140" w:line="360"/>
        <w:ind w:left="567" w:hanging="567"/>
        <w:jc w:val="left"/>
      </w:pPr>
      <w:r>
        <w:rPr>
          <w:rFonts w:ascii="Times New Roman" w:cs="Times New Roman" w:eastAsia="Times New Roman" w:hAnsi="Times New Roman"/>
          <w:i w:val="false"/>
          <w:iCs w:val="false"/>
          <w:sz w:val="24"/>
          <w:szCs w:val="24"/>
        </w:rPr>
        <w:t xml:space="preserve">Barati, B. ve Karana, E. (2019). Affordances as materials potential: What design can do for materials development. </w:t>
      </w:r>
      <w:r>
        <w:rPr>
          <w:rFonts w:ascii="Times New Roman" w:cs="Times New Roman" w:eastAsia="Times New Roman" w:hAnsi="Times New Roman"/>
          <w:i/>
          <w:iCs/>
          <w:sz w:val="24"/>
          <w:szCs w:val="24"/>
        </w:rPr>
        <w:t xml:space="preserve">International Journal of Design, 13</w:t>
      </w:r>
      <w:r>
        <w:rPr>
          <w:rFonts w:ascii="Times New Roman" w:cs="Times New Roman" w:eastAsia="Times New Roman" w:hAnsi="Times New Roman"/>
          <w:i w:val="false"/>
          <w:iCs w:val="false"/>
          <w:sz w:val="24"/>
          <w:szCs w:val="24"/>
        </w:rPr>
        <w:t xml:space="preserve">(3), 105–123.</w:t>
      </w:r>
    </w:p>
    <w:p>
      <w:pPr>
        <w:spacing w:after="140" w:line="360"/>
        <w:ind w:left="567" w:hanging="567"/>
        <w:jc w:val="left"/>
      </w:pPr>
      <w:r>
        <w:rPr>
          <w:rFonts w:ascii="Times New Roman" w:cs="Times New Roman" w:eastAsia="Times New Roman" w:hAnsi="Times New Roman"/>
          <w:i w:val="false"/>
          <w:iCs w:val="false"/>
          <w:sz w:val="24"/>
          <w:szCs w:val="24"/>
        </w:rPr>
        <w:t xml:space="preserve">Biggs, R., Schlüter, M., Biggs, D., Bohensky, E. L., BurnSilver, S., Cundill, G., Dakos, V., Daw, T. M., Evans, L. S., Kotschy, K., Leitch, A. M., Meek, C., Quinlan, A., Raudsepp-Hearne, C., Robards, M. D., Schoon, M. L., Schultz, L. ve West, P. C. (2012). Toward principles for enhancing the resilience of ecosystem services. </w:t>
      </w:r>
      <w:r>
        <w:rPr>
          <w:rFonts w:ascii="Times New Roman" w:cs="Times New Roman" w:eastAsia="Times New Roman" w:hAnsi="Times New Roman"/>
          <w:i/>
          <w:iCs/>
          <w:sz w:val="24"/>
          <w:szCs w:val="24"/>
        </w:rPr>
        <w:t xml:space="preserve">Annual Review of Environment and Resources, 37</w:t>
      </w:r>
      <w:r>
        <w:rPr>
          <w:rFonts w:ascii="Times New Roman" w:cs="Times New Roman" w:eastAsia="Times New Roman" w:hAnsi="Times New Roman"/>
          <w:i w:val="false"/>
          <w:iCs w:val="false"/>
          <w:sz w:val="24"/>
          <w:szCs w:val="24"/>
        </w:rPr>
        <w:t xml:space="preserve">, 421–448. https://doi.org/10.1146/annurev-environ-051211-123836</w:t>
      </w:r>
    </w:p>
    <w:p>
      <w:pPr>
        <w:spacing w:after="140" w:line="360"/>
        <w:ind w:left="567" w:hanging="567"/>
        <w:jc w:val="left"/>
      </w:pPr>
      <w:r>
        <w:rPr>
          <w:rFonts w:ascii="Times New Roman" w:cs="Times New Roman" w:eastAsia="Times New Roman" w:hAnsi="Times New Roman"/>
          <w:i w:val="false"/>
          <w:iCs w:val="false"/>
          <w:sz w:val="24"/>
          <w:szCs w:val="24"/>
        </w:rPr>
        <w:t xml:space="preserve">Bourbia, S., Kazeoui, H. ve Belarbi, R. (2023). A review on recent research on bio-based building materials and their applications. </w:t>
      </w:r>
      <w:r>
        <w:rPr>
          <w:rFonts w:ascii="Times New Roman" w:cs="Times New Roman" w:eastAsia="Times New Roman" w:hAnsi="Times New Roman"/>
          <w:i/>
          <w:iCs/>
          <w:sz w:val="24"/>
          <w:szCs w:val="24"/>
        </w:rPr>
        <w:t xml:space="preserve">Materials for Renewable and Sustainable Energy, 12</w:t>
      </w:r>
      <w:r>
        <w:rPr>
          <w:rFonts w:ascii="Times New Roman" w:cs="Times New Roman" w:eastAsia="Times New Roman" w:hAnsi="Times New Roman"/>
          <w:i w:val="false"/>
          <w:iCs w:val="false"/>
          <w:sz w:val="24"/>
          <w:szCs w:val="24"/>
        </w:rPr>
        <w:t xml:space="preserve">, 117–139. https://doi.org/10.1007/s40243-023-00234-7</w:t>
      </w:r>
    </w:p>
    <w:p>
      <w:pPr>
        <w:spacing w:after="140" w:line="360"/>
        <w:ind w:left="567" w:hanging="567"/>
        <w:jc w:val="left"/>
      </w:pPr>
      <w:r>
        <w:rPr>
          <w:rFonts w:ascii="Times New Roman" w:cs="Times New Roman" w:eastAsia="Times New Roman" w:hAnsi="Times New Roman"/>
          <w:i w:val="false"/>
          <w:iCs w:val="false"/>
          <w:sz w:val="24"/>
          <w:szCs w:val="24"/>
        </w:rPr>
        <w:t xml:space="preserve">Camere, S. ve Karana, E. (2018). Fabricating materials from living organisms: An emerging design practice. </w:t>
      </w:r>
      <w:r>
        <w:rPr>
          <w:rFonts w:ascii="Times New Roman" w:cs="Times New Roman" w:eastAsia="Times New Roman" w:hAnsi="Times New Roman"/>
          <w:i/>
          <w:iCs/>
          <w:sz w:val="24"/>
          <w:szCs w:val="24"/>
        </w:rPr>
        <w:t xml:space="preserve">Journal of Cleaner Production, 186</w:t>
      </w:r>
      <w:r>
        <w:rPr>
          <w:rFonts w:ascii="Times New Roman" w:cs="Times New Roman" w:eastAsia="Times New Roman" w:hAnsi="Times New Roman"/>
          <w:i w:val="false"/>
          <w:iCs w:val="false"/>
          <w:sz w:val="24"/>
          <w:szCs w:val="24"/>
        </w:rPr>
        <w:t xml:space="preserve">, 570–584. https://doi.org/10.1016/j.jclepro.2018.03.081</w:t>
      </w:r>
    </w:p>
    <w:p>
      <w:pPr>
        <w:spacing w:after="140" w:line="360"/>
        <w:ind w:left="567" w:hanging="567"/>
        <w:jc w:val="left"/>
      </w:pPr>
      <w:r>
        <w:rPr>
          <w:rFonts w:ascii="Times New Roman" w:cs="Times New Roman" w:eastAsia="Times New Roman" w:hAnsi="Times New Roman"/>
          <w:i w:val="false"/>
          <w:iCs w:val="false"/>
          <w:sz w:val="24"/>
          <w:szCs w:val="24"/>
        </w:rPr>
        <w:t xml:space="preserve">Chang, B. P., Mohanty, A. K. ve Misra, M. (2020). Studies on durability of sustainable biobased composites: A review. </w:t>
      </w:r>
      <w:r>
        <w:rPr>
          <w:rFonts w:ascii="Times New Roman" w:cs="Times New Roman" w:eastAsia="Times New Roman" w:hAnsi="Times New Roman"/>
          <w:i/>
          <w:iCs/>
          <w:sz w:val="24"/>
          <w:szCs w:val="24"/>
        </w:rPr>
        <w:t xml:space="preserve">RSC Advances, 10</w:t>
      </w:r>
      <w:r>
        <w:rPr>
          <w:rFonts w:ascii="Times New Roman" w:cs="Times New Roman" w:eastAsia="Times New Roman" w:hAnsi="Times New Roman"/>
          <w:i w:val="false"/>
          <w:iCs w:val="false"/>
          <w:sz w:val="24"/>
          <w:szCs w:val="24"/>
        </w:rPr>
        <w:t xml:space="preserve">(31), 17955–17999. https://doi.org/10.1039/C9RA09554C</w:t>
      </w:r>
    </w:p>
    <w:p>
      <w:pPr>
        <w:spacing w:after="140" w:line="360"/>
        <w:ind w:left="567" w:hanging="567"/>
        <w:jc w:val="left"/>
      </w:pPr>
      <w:r>
        <w:rPr>
          <w:rFonts w:ascii="Times New Roman" w:cs="Times New Roman" w:eastAsia="Times New Roman" w:hAnsi="Times New Roman"/>
          <w:i w:val="false"/>
          <w:iCs w:val="false"/>
          <w:sz w:val="24"/>
          <w:szCs w:val="24"/>
        </w:rPr>
        <w:t xml:space="preserve">Chayaamor-Heil, N., Houette, T., Demirci, Ö. ve Badarnah, L. (2024). The potential of co-designing with living organisms: Towards a new ecological paradigm in architecture. </w:t>
      </w:r>
      <w:r>
        <w:rPr>
          <w:rFonts w:ascii="Times New Roman" w:cs="Times New Roman" w:eastAsia="Times New Roman" w:hAnsi="Times New Roman"/>
          <w:i/>
          <w:iCs/>
          <w:sz w:val="24"/>
          <w:szCs w:val="24"/>
        </w:rPr>
        <w:t xml:space="preserve">Sustainability, 16</w:t>
      </w:r>
      <w:r>
        <w:rPr>
          <w:rFonts w:ascii="Times New Roman" w:cs="Times New Roman" w:eastAsia="Times New Roman" w:hAnsi="Times New Roman"/>
          <w:i w:val="false"/>
          <w:iCs w:val="false"/>
          <w:sz w:val="24"/>
          <w:szCs w:val="24"/>
        </w:rPr>
        <w:t xml:space="preserve">(2), 673. https://doi.org/10.3390/su16020673</w:t>
      </w:r>
    </w:p>
    <w:p>
      <w:pPr>
        <w:spacing w:after="140" w:line="360"/>
        <w:ind w:left="567" w:hanging="567"/>
        <w:jc w:val="left"/>
      </w:pPr>
      <w:r>
        <w:rPr>
          <w:rFonts w:ascii="Times New Roman" w:cs="Times New Roman" w:eastAsia="Times New Roman" w:hAnsi="Times New Roman"/>
          <w:i w:val="false"/>
          <w:iCs w:val="false"/>
          <w:sz w:val="24"/>
          <w:szCs w:val="24"/>
        </w:rPr>
        <w:t xml:space="preserve">Chayaamor-Heil, N., Perricone, V., Gruber, P. ve Guéna, F. (2023). Bioinspired, biobased and living material designs: A review of recent research in architecture and construction. </w:t>
      </w:r>
      <w:r>
        <w:rPr>
          <w:rFonts w:ascii="Times New Roman" w:cs="Times New Roman" w:eastAsia="Times New Roman" w:hAnsi="Times New Roman"/>
          <w:i/>
          <w:iCs/>
          <w:sz w:val="24"/>
          <w:szCs w:val="24"/>
        </w:rPr>
        <w:t xml:space="preserve">Bioinspiration &amp; Biomimetics, 18</w:t>
      </w:r>
      <w:r>
        <w:rPr>
          <w:rFonts w:ascii="Times New Roman" w:cs="Times New Roman" w:eastAsia="Times New Roman" w:hAnsi="Times New Roman"/>
          <w:i w:val="false"/>
          <w:iCs w:val="false"/>
          <w:sz w:val="24"/>
          <w:szCs w:val="24"/>
        </w:rPr>
        <w:t xml:space="preserve">(4), 041001. https://doi.org/10.1088/1748-3190/acd82e</w:t>
      </w:r>
    </w:p>
    <w:p>
      <w:pPr>
        <w:spacing w:after="140" w:line="360"/>
        <w:ind w:left="567" w:hanging="567"/>
        <w:jc w:val="left"/>
      </w:pPr>
      <w:r>
        <w:rPr>
          <w:rFonts w:ascii="Times New Roman" w:cs="Times New Roman" w:eastAsia="Times New Roman" w:hAnsi="Times New Roman"/>
          <w:i w:val="false"/>
          <w:iCs w:val="false"/>
          <w:sz w:val="24"/>
          <w:szCs w:val="24"/>
        </w:rPr>
        <w:t xml:space="preserve">Collet, C. (2021). Designing our future bio-materiality. </w:t>
      </w:r>
      <w:r>
        <w:rPr>
          <w:rFonts w:ascii="Times New Roman" w:cs="Times New Roman" w:eastAsia="Times New Roman" w:hAnsi="Times New Roman"/>
          <w:i/>
          <w:iCs/>
          <w:sz w:val="24"/>
          <w:szCs w:val="24"/>
        </w:rPr>
        <w:t xml:space="preserve">AI &amp; Society, 36</w:t>
      </w:r>
      <w:r>
        <w:rPr>
          <w:rFonts w:ascii="Times New Roman" w:cs="Times New Roman" w:eastAsia="Times New Roman" w:hAnsi="Times New Roman"/>
          <w:i w:val="false"/>
          <w:iCs w:val="false"/>
          <w:sz w:val="24"/>
          <w:szCs w:val="24"/>
        </w:rPr>
        <w:t xml:space="preserve">, 1331–1342. https://doi.org/10.1007/s00146-020-01013-y</w:t>
      </w:r>
    </w:p>
    <w:p>
      <w:pPr>
        <w:spacing w:after="140" w:line="360"/>
        <w:ind w:left="567" w:hanging="567"/>
        <w:jc w:val="left"/>
      </w:pPr>
      <w:r>
        <w:rPr>
          <w:rFonts w:ascii="Times New Roman" w:cs="Times New Roman" w:eastAsia="Times New Roman" w:hAnsi="Times New Roman"/>
          <w:i w:val="false"/>
          <w:iCs w:val="false"/>
          <w:sz w:val="24"/>
          <w:szCs w:val="24"/>
        </w:rPr>
        <w:t xml:space="preserve">Edalat, S. (2026). Advancing circular economy of bio-based building materials: Critical gaps and future prospects. </w:t>
      </w:r>
      <w:r>
        <w:rPr>
          <w:rFonts w:ascii="Times New Roman" w:cs="Times New Roman" w:eastAsia="Times New Roman" w:hAnsi="Times New Roman"/>
          <w:i/>
          <w:iCs/>
          <w:sz w:val="24"/>
          <w:szCs w:val="24"/>
        </w:rPr>
        <w:t xml:space="preserve">Circular Economy and Sustainability, 6</w:t>
      </w:r>
      <w:r>
        <w:rPr>
          <w:rFonts w:ascii="Times New Roman" w:cs="Times New Roman" w:eastAsia="Times New Roman" w:hAnsi="Times New Roman"/>
          <w:i w:val="false"/>
          <w:iCs w:val="false"/>
          <w:sz w:val="24"/>
          <w:szCs w:val="24"/>
        </w:rPr>
        <w:t xml:space="preserve">, 151. https://doi.org/10.1007/s43615-026-00729-1</w:t>
      </w:r>
    </w:p>
    <w:p>
      <w:pPr>
        <w:spacing w:after="140" w:line="360"/>
        <w:ind w:left="567" w:hanging="567"/>
        <w:jc w:val="left"/>
      </w:pPr>
      <w:r>
        <w:rPr>
          <w:rFonts w:ascii="Times New Roman" w:cs="Times New Roman" w:eastAsia="Times New Roman" w:hAnsi="Times New Roman"/>
          <w:i w:val="false"/>
          <w:iCs w:val="false"/>
          <w:sz w:val="24"/>
          <w:szCs w:val="24"/>
        </w:rPr>
        <w:t xml:space="preserve">Folke, C. (2006). Resilience: The emergence of a perspective for social–ecological systems analyses. </w:t>
      </w:r>
      <w:r>
        <w:rPr>
          <w:rFonts w:ascii="Times New Roman" w:cs="Times New Roman" w:eastAsia="Times New Roman" w:hAnsi="Times New Roman"/>
          <w:i/>
          <w:iCs/>
          <w:sz w:val="24"/>
          <w:szCs w:val="24"/>
        </w:rPr>
        <w:t xml:space="preserve">Global Environmental Change, 16</w:t>
      </w:r>
      <w:r>
        <w:rPr>
          <w:rFonts w:ascii="Times New Roman" w:cs="Times New Roman" w:eastAsia="Times New Roman" w:hAnsi="Times New Roman"/>
          <w:i w:val="false"/>
          <w:iCs w:val="false"/>
          <w:sz w:val="24"/>
          <w:szCs w:val="24"/>
        </w:rPr>
        <w:t xml:space="preserve">(3), 253–267. https://doi.org/10.1016/j.gloenvcha.2006.04.002</w:t>
      </w:r>
    </w:p>
    <w:p>
      <w:pPr>
        <w:spacing w:after="140" w:line="360"/>
        <w:ind w:left="567" w:hanging="567"/>
        <w:jc w:val="left"/>
      </w:pPr>
      <w:r>
        <w:rPr>
          <w:rFonts w:ascii="Times New Roman" w:cs="Times New Roman" w:eastAsia="Times New Roman" w:hAnsi="Times New Roman"/>
          <w:i w:val="false"/>
          <w:iCs w:val="false"/>
          <w:sz w:val="24"/>
          <w:szCs w:val="24"/>
        </w:rPr>
        <w:t xml:space="preserve">Goidea, A., Floudas, D. ve Andréen, D. (2022). Transcalar design: An approach to biodesign in the built environment. </w:t>
      </w:r>
      <w:r>
        <w:rPr>
          <w:rFonts w:ascii="Times New Roman" w:cs="Times New Roman" w:eastAsia="Times New Roman" w:hAnsi="Times New Roman"/>
          <w:i/>
          <w:iCs/>
          <w:sz w:val="24"/>
          <w:szCs w:val="24"/>
        </w:rPr>
        <w:t xml:space="preserve">Infrastructures, 7</w:t>
      </w:r>
      <w:r>
        <w:rPr>
          <w:rFonts w:ascii="Times New Roman" w:cs="Times New Roman" w:eastAsia="Times New Roman" w:hAnsi="Times New Roman"/>
          <w:i w:val="false"/>
          <w:iCs w:val="false"/>
          <w:sz w:val="24"/>
          <w:szCs w:val="24"/>
        </w:rPr>
        <w:t xml:space="preserve">(4), 50. https://doi.org/10.3390/infrastructures7040050</w:t>
      </w:r>
    </w:p>
    <w:p>
      <w:pPr>
        <w:spacing w:after="140" w:line="360"/>
        <w:ind w:left="567" w:hanging="567"/>
        <w:jc w:val="left"/>
      </w:pPr>
      <w:r>
        <w:rPr>
          <w:rFonts w:ascii="Times New Roman" w:cs="Times New Roman" w:eastAsia="Times New Roman" w:hAnsi="Times New Roman"/>
          <w:i w:val="false"/>
          <w:iCs w:val="false"/>
          <w:sz w:val="24"/>
          <w:szCs w:val="24"/>
        </w:rPr>
        <w:t xml:space="preserve">Graham, S. ve Thrift, N. (2007). Out of order: Understanding repair and maintenance. </w:t>
      </w:r>
      <w:r>
        <w:rPr>
          <w:rFonts w:ascii="Times New Roman" w:cs="Times New Roman" w:eastAsia="Times New Roman" w:hAnsi="Times New Roman"/>
          <w:i/>
          <w:iCs/>
          <w:sz w:val="24"/>
          <w:szCs w:val="24"/>
        </w:rPr>
        <w:t xml:space="preserve">Theory, Culture &amp; Society, 24</w:t>
      </w:r>
      <w:r>
        <w:rPr>
          <w:rFonts w:ascii="Times New Roman" w:cs="Times New Roman" w:eastAsia="Times New Roman" w:hAnsi="Times New Roman"/>
          <w:i w:val="false"/>
          <w:iCs w:val="false"/>
          <w:sz w:val="24"/>
          <w:szCs w:val="24"/>
        </w:rPr>
        <w:t xml:space="preserve">(3), 1–25. https://doi.org/10.1177/0263276407075954</w:t>
      </w:r>
    </w:p>
    <w:p>
      <w:pPr>
        <w:spacing w:after="140" w:line="360"/>
        <w:ind w:left="567" w:hanging="567"/>
        <w:jc w:val="left"/>
      </w:pPr>
      <w:r>
        <w:rPr>
          <w:rFonts w:ascii="Times New Roman" w:cs="Times New Roman" w:eastAsia="Times New Roman" w:hAnsi="Times New Roman"/>
          <w:i w:val="false"/>
          <w:iCs w:val="false"/>
          <w:sz w:val="24"/>
          <w:szCs w:val="24"/>
        </w:rPr>
        <w:t xml:space="preserve">Heymans, A., Breadsell, J., Morrison, G. M., Byrne, J. J. ve Eon, C. (2019). Ecological urban planning and design: A systematic literature review. </w:t>
      </w:r>
      <w:r>
        <w:rPr>
          <w:rFonts w:ascii="Times New Roman" w:cs="Times New Roman" w:eastAsia="Times New Roman" w:hAnsi="Times New Roman"/>
          <w:i/>
          <w:iCs/>
          <w:sz w:val="24"/>
          <w:szCs w:val="24"/>
        </w:rPr>
        <w:t xml:space="preserve">Sustainability, 11</w:t>
      </w:r>
      <w:r>
        <w:rPr>
          <w:rFonts w:ascii="Times New Roman" w:cs="Times New Roman" w:eastAsia="Times New Roman" w:hAnsi="Times New Roman"/>
          <w:i w:val="false"/>
          <w:iCs w:val="false"/>
          <w:sz w:val="24"/>
          <w:szCs w:val="24"/>
        </w:rPr>
        <w:t xml:space="preserve">(13), 3723. https://doi.org/10.3390/su11133723</w:t>
      </w:r>
    </w:p>
    <w:p>
      <w:pPr>
        <w:spacing w:after="140" w:line="360"/>
        <w:ind w:left="567" w:hanging="567"/>
        <w:jc w:val="left"/>
      </w:pPr>
      <w:r>
        <w:rPr>
          <w:rFonts w:ascii="Times New Roman" w:cs="Times New Roman" w:eastAsia="Times New Roman" w:hAnsi="Times New Roman"/>
          <w:i w:val="false"/>
          <w:iCs w:val="false"/>
          <w:sz w:val="24"/>
          <w:szCs w:val="24"/>
        </w:rPr>
        <w:t xml:space="preserve">Karana, E., Barati, B., Rognoli, V. ve Zeeuw van der Laan, A. (2015). Material driven design (MDD): A method to design for material experiences. </w:t>
      </w:r>
      <w:r>
        <w:rPr>
          <w:rFonts w:ascii="Times New Roman" w:cs="Times New Roman" w:eastAsia="Times New Roman" w:hAnsi="Times New Roman"/>
          <w:i/>
          <w:iCs/>
          <w:sz w:val="24"/>
          <w:szCs w:val="24"/>
        </w:rPr>
        <w:t xml:space="preserve">International Journal of Design, 9</w:t>
      </w:r>
      <w:r>
        <w:rPr>
          <w:rFonts w:ascii="Times New Roman" w:cs="Times New Roman" w:eastAsia="Times New Roman" w:hAnsi="Times New Roman"/>
          <w:i w:val="false"/>
          <w:iCs w:val="false"/>
          <w:sz w:val="24"/>
          <w:szCs w:val="24"/>
        </w:rPr>
        <w:t xml:space="preserve">(2), 35–54.</w:t>
      </w:r>
    </w:p>
    <w:p>
      <w:pPr>
        <w:spacing w:after="140" w:line="360"/>
        <w:ind w:left="567" w:hanging="567"/>
        <w:jc w:val="left"/>
      </w:pPr>
      <w:r>
        <w:rPr>
          <w:rFonts w:ascii="Times New Roman" w:cs="Times New Roman" w:eastAsia="Times New Roman" w:hAnsi="Times New Roman"/>
          <w:i w:val="false"/>
          <w:iCs w:val="false"/>
          <w:sz w:val="24"/>
          <w:szCs w:val="24"/>
        </w:rPr>
        <w:t xml:space="preserve">Karana, E., Blauwhoff, D., Hultink, E.-J. ve Camere, S. (2018). When the material grows: A case study on designing (with) mycelium-based materials. </w:t>
      </w:r>
      <w:r>
        <w:rPr>
          <w:rFonts w:ascii="Times New Roman" w:cs="Times New Roman" w:eastAsia="Times New Roman" w:hAnsi="Times New Roman"/>
          <w:i/>
          <w:iCs/>
          <w:sz w:val="24"/>
          <w:szCs w:val="24"/>
        </w:rPr>
        <w:t xml:space="preserve">International Journal of Design, 12</w:t>
      </w:r>
      <w:r>
        <w:rPr>
          <w:rFonts w:ascii="Times New Roman" w:cs="Times New Roman" w:eastAsia="Times New Roman" w:hAnsi="Times New Roman"/>
          <w:i w:val="false"/>
          <w:iCs w:val="false"/>
          <w:sz w:val="24"/>
          <w:szCs w:val="24"/>
        </w:rPr>
        <w:t xml:space="preserve">(2), 119–136.</w:t>
      </w:r>
    </w:p>
    <w:p>
      <w:pPr>
        <w:spacing w:after="140" w:line="360"/>
        <w:ind w:left="567" w:hanging="567"/>
        <w:jc w:val="left"/>
      </w:pPr>
      <w:r>
        <w:rPr>
          <w:rFonts w:ascii="Times New Roman" w:cs="Times New Roman" w:eastAsia="Times New Roman" w:hAnsi="Times New Roman"/>
          <w:i w:val="false"/>
          <w:iCs w:val="false"/>
          <w:sz w:val="24"/>
          <w:szCs w:val="24"/>
        </w:rPr>
        <w:t xml:space="preserve">Kırbaş Akyürek, B., Ciravoğlu, A., Mohammadi, M. ve Yeğenoğlu, H. (2020). Building design in between living and manufactured: A research on terminology. </w:t>
      </w:r>
      <w:r>
        <w:rPr>
          <w:rFonts w:ascii="Times New Roman" w:cs="Times New Roman" w:eastAsia="Times New Roman" w:hAnsi="Times New Roman"/>
          <w:i/>
          <w:iCs/>
          <w:sz w:val="24"/>
          <w:szCs w:val="24"/>
        </w:rPr>
        <w:t xml:space="preserve">Online Journal of Art and Design, 8</w:t>
      </w:r>
      <w:r>
        <w:rPr>
          <w:rFonts w:ascii="Times New Roman" w:cs="Times New Roman" w:eastAsia="Times New Roman" w:hAnsi="Times New Roman"/>
          <w:i w:val="false"/>
          <w:iCs w:val="false"/>
          <w:sz w:val="24"/>
          <w:szCs w:val="24"/>
        </w:rPr>
        <w:t xml:space="preserve">(3), 75–90.</w:t>
      </w:r>
    </w:p>
    <w:p>
      <w:pPr>
        <w:spacing w:after="140" w:line="360"/>
        <w:ind w:left="567" w:hanging="567"/>
        <w:jc w:val="left"/>
      </w:pPr>
      <w:r>
        <w:rPr>
          <w:rFonts w:ascii="Times New Roman" w:cs="Times New Roman" w:eastAsia="Times New Roman" w:hAnsi="Times New Roman"/>
          <w:i w:val="false"/>
          <w:iCs w:val="false"/>
          <w:sz w:val="24"/>
          <w:szCs w:val="24"/>
        </w:rPr>
        <w:t xml:space="preserve">Kirchherr, J., Reike, D. ve Hekkert, M. (2017). Conceptualizing the circular economy: An analysis of 114 definitions. </w:t>
      </w:r>
      <w:r>
        <w:rPr>
          <w:rFonts w:ascii="Times New Roman" w:cs="Times New Roman" w:eastAsia="Times New Roman" w:hAnsi="Times New Roman"/>
          <w:i/>
          <w:iCs/>
          <w:sz w:val="24"/>
          <w:szCs w:val="24"/>
        </w:rPr>
        <w:t xml:space="preserve">Resources, Conservation and Recycling, 127</w:t>
      </w:r>
      <w:r>
        <w:rPr>
          <w:rFonts w:ascii="Times New Roman" w:cs="Times New Roman" w:eastAsia="Times New Roman" w:hAnsi="Times New Roman"/>
          <w:i w:val="false"/>
          <w:iCs w:val="false"/>
          <w:sz w:val="24"/>
          <w:szCs w:val="24"/>
        </w:rPr>
        <w:t xml:space="preserve">, 221–232. https://doi.org/10.1016/j.resconrec.2017.09.005</w:t>
      </w:r>
    </w:p>
    <w:p>
      <w:pPr>
        <w:spacing w:after="140" w:line="360"/>
        <w:ind w:left="567" w:hanging="567"/>
        <w:jc w:val="left"/>
      </w:pPr>
      <w:r>
        <w:rPr>
          <w:rFonts w:ascii="Times New Roman" w:cs="Times New Roman" w:eastAsia="Times New Roman" w:hAnsi="Times New Roman"/>
          <w:i w:val="false"/>
          <w:iCs w:val="false"/>
          <w:sz w:val="24"/>
          <w:szCs w:val="24"/>
        </w:rPr>
        <w:t xml:space="preserve">Lee, J.-Y., Lee, S.-E. ve Lee, D.-W. (2022). Current status and future prospects of biological routes to bio-based products using raw materials, wastes, and residues as renewable resources. </w:t>
      </w:r>
      <w:r>
        <w:rPr>
          <w:rFonts w:ascii="Times New Roman" w:cs="Times New Roman" w:eastAsia="Times New Roman" w:hAnsi="Times New Roman"/>
          <w:i/>
          <w:iCs/>
          <w:sz w:val="24"/>
          <w:szCs w:val="24"/>
        </w:rPr>
        <w:t xml:space="preserve">Critical Reviews in Environmental Science and Technology, 52</w:t>
      </w:r>
      <w:r>
        <w:rPr>
          <w:rFonts w:ascii="Times New Roman" w:cs="Times New Roman" w:eastAsia="Times New Roman" w:hAnsi="Times New Roman"/>
          <w:i w:val="false"/>
          <w:iCs w:val="false"/>
          <w:sz w:val="24"/>
          <w:szCs w:val="24"/>
        </w:rPr>
        <w:t xml:space="preserve">(14). https://doi.org/10.1080/10643389.2021.1880259</w:t>
      </w:r>
    </w:p>
    <w:p>
      <w:pPr>
        <w:spacing w:after="140" w:line="360"/>
        <w:ind w:left="567" w:hanging="567"/>
        <w:jc w:val="left"/>
      </w:pPr>
      <w:r>
        <w:rPr>
          <w:rFonts w:ascii="Times New Roman" w:cs="Times New Roman" w:eastAsia="Times New Roman" w:hAnsi="Times New Roman"/>
          <w:i w:val="false"/>
          <w:iCs w:val="false"/>
          <w:sz w:val="24"/>
          <w:szCs w:val="24"/>
        </w:rPr>
        <w:t xml:space="preserve">Myers, W. (2018). </w:t>
      </w:r>
      <w:r>
        <w:rPr>
          <w:rFonts w:ascii="Times New Roman" w:cs="Times New Roman" w:eastAsia="Times New Roman" w:hAnsi="Times New Roman"/>
          <w:i/>
          <w:iCs/>
          <w:sz w:val="24"/>
          <w:szCs w:val="24"/>
        </w:rPr>
        <w:t xml:space="preserve">Bio design</w:t>
      </w:r>
      <w:r>
        <w:rPr>
          <w:rFonts w:ascii="Times New Roman" w:cs="Times New Roman" w:eastAsia="Times New Roman" w:hAnsi="Times New Roman"/>
          <w:i w:val="false"/>
          <w:iCs w:val="false"/>
          <w:sz w:val="24"/>
          <w:szCs w:val="24"/>
        </w:rPr>
        <w:t xml:space="preserve">. Thames &amp; Hudson.</w:t>
      </w:r>
    </w:p>
    <w:p>
      <w:pPr>
        <w:spacing w:after="140" w:line="360"/>
        <w:ind w:left="567" w:hanging="567"/>
        <w:jc w:val="left"/>
      </w:pPr>
      <w:r>
        <w:rPr>
          <w:rFonts w:ascii="Times New Roman" w:cs="Times New Roman" w:eastAsia="Times New Roman" w:hAnsi="Times New Roman"/>
          <w:i w:val="false"/>
          <w:iCs w:val="false"/>
          <w:sz w:val="24"/>
          <w:szCs w:val="24"/>
        </w:rPr>
        <w:t xml:space="preserve">O’Rourke, J. ve Seepersad, C. C. (2015). Using biology as a model for sustainability: Insights for ecodesign and bioinspired design practitioners. </w:t>
      </w:r>
      <w:r>
        <w:rPr>
          <w:rFonts w:ascii="Times New Roman" w:cs="Times New Roman" w:eastAsia="Times New Roman" w:hAnsi="Times New Roman"/>
          <w:i/>
          <w:iCs/>
          <w:sz w:val="24"/>
          <w:szCs w:val="24"/>
        </w:rPr>
        <w:t xml:space="preserve">Proceedings of the 20th International Conference on Engineering Design (ICED15)</w:t>
      </w:r>
      <w:r>
        <w:rPr>
          <w:rFonts w:ascii="Times New Roman" w:cs="Times New Roman" w:eastAsia="Times New Roman" w:hAnsi="Times New Roman"/>
          <w:i w:val="false"/>
          <w:iCs w:val="false"/>
          <w:sz w:val="24"/>
          <w:szCs w:val="24"/>
        </w:rPr>
        <w:t xml:space="preserve">, Milano, İtalya, 27–30 Temmuz 2015.</w:t>
      </w:r>
    </w:p>
    <w:p>
      <w:pPr>
        <w:spacing w:after="140" w:line="360"/>
        <w:ind w:left="567" w:hanging="567"/>
        <w:jc w:val="left"/>
      </w:pPr>
      <w:r>
        <w:rPr>
          <w:rFonts w:ascii="Times New Roman" w:cs="Times New Roman" w:eastAsia="Times New Roman" w:hAnsi="Times New Roman"/>
          <w:i w:val="false"/>
          <w:iCs w:val="false"/>
          <w:sz w:val="24"/>
          <w:szCs w:val="24"/>
        </w:rPr>
        <w:t xml:space="preserve">Pedersen Zari, M. ve Storey, J. B. (2007). An ecosystem based biomimetic theory for a regenerative built environment. </w:t>
      </w:r>
      <w:r>
        <w:rPr>
          <w:rFonts w:ascii="Times New Roman" w:cs="Times New Roman" w:eastAsia="Times New Roman" w:hAnsi="Times New Roman"/>
          <w:i/>
          <w:iCs/>
          <w:sz w:val="24"/>
          <w:szCs w:val="24"/>
        </w:rPr>
        <w:t xml:space="preserve">Sustainable Building Conference 07 (SB07)</w:t>
      </w:r>
      <w:r>
        <w:rPr>
          <w:rFonts w:ascii="Times New Roman" w:cs="Times New Roman" w:eastAsia="Times New Roman" w:hAnsi="Times New Roman"/>
          <w:i w:val="false"/>
          <w:iCs w:val="false"/>
          <w:sz w:val="24"/>
          <w:szCs w:val="24"/>
        </w:rPr>
        <w:t xml:space="preserve">, Lizbon, Portekiz, 12–14 Eylül 2007.</w:t>
      </w:r>
    </w:p>
    <w:p>
      <w:pPr>
        <w:spacing w:after="140" w:line="360"/>
        <w:ind w:left="567" w:hanging="567"/>
        <w:jc w:val="left"/>
      </w:pPr>
      <w:r>
        <w:rPr>
          <w:rFonts w:ascii="Times New Roman" w:cs="Times New Roman" w:eastAsia="Times New Roman" w:hAnsi="Times New Roman"/>
          <w:i w:val="false"/>
          <w:iCs w:val="false"/>
          <w:sz w:val="24"/>
          <w:szCs w:val="24"/>
        </w:rPr>
        <w:t xml:space="preserve">Pomponi, F. ve Moncaster, A. (2017). Circular economy for the built environment: A research framework. </w:t>
      </w:r>
      <w:r>
        <w:rPr>
          <w:rFonts w:ascii="Times New Roman" w:cs="Times New Roman" w:eastAsia="Times New Roman" w:hAnsi="Times New Roman"/>
          <w:i/>
          <w:iCs/>
          <w:sz w:val="24"/>
          <w:szCs w:val="24"/>
        </w:rPr>
        <w:t xml:space="preserve">Journal of Cleaner Production, 143</w:t>
      </w:r>
      <w:r>
        <w:rPr>
          <w:rFonts w:ascii="Times New Roman" w:cs="Times New Roman" w:eastAsia="Times New Roman" w:hAnsi="Times New Roman"/>
          <w:i w:val="false"/>
          <w:iCs w:val="false"/>
          <w:sz w:val="24"/>
          <w:szCs w:val="24"/>
        </w:rPr>
        <w:t xml:space="preserve">, 710–718. https://doi.org/10.1016/j.jclepro.2016.12.055</w:t>
      </w:r>
    </w:p>
    <w:p>
      <w:pPr>
        <w:spacing w:after="140" w:line="360"/>
        <w:ind w:left="567" w:hanging="567"/>
        <w:jc w:val="left"/>
      </w:pPr>
      <w:r>
        <w:rPr>
          <w:rFonts w:ascii="Times New Roman" w:cs="Times New Roman" w:eastAsia="Times New Roman" w:hAnsi="Times New Roman"/>
          <w:i w:val="false"/>
          <w:iCs w:val="false"/>
          <w:sz w:val="24"/>
          <w:szCs w:val="24"/>
        </w:rPr>
        <w:t xml:space="preserve">Rios, F. C., Chong, W. K. ve Grau, D. (2015). Design for disassembly and deconstruction: Challenges and opportunities. </w:t>
      </w:r>
      <w:r>
        <w:rPr>
          <w:rFonts w:ascii="Times New Roman" w:cs="Times New Roman" w:eastAsia="Times New Roman" w:hAnsi="Times New Roman"/>
          <w:i/>
          <w:iCs/>
          <w:sz w:val="24"/>
          <w:szCs w:val="24"/>
        </w:rPr>
        <w:t xml:space="preserve">Procedia Engineering, 118</w:t>
      </w:r>
      <w:r>
        <w:rPr>
          <w:rFonts w:ascii="Times New Roman" w:cs="Times New Roman" w:eastAsia="Times New Roman" w:hAnsi="Times New Roman"/>
          <w:i w:val="false"/>
          <w:iCs w:val="false"/>
          <w:sz w:val="24"/>
          <w:szCs w:val="24"/>
        </w:rPr>
        <w:t xml:space="preserve">, 1296–1304. https://doi.org/10.1016/j.proeng.2015.08.485</w:t>
      </w:r>
    </w:p>
    <w:p>
      <w:pPr>
        <w:spacing w:after="140" w:line="360"/>
        <w:ind w:left="567" w:hanging="567"/>
        <w:jc w:val="left"/>
      </w:pPr>
      <w:r>
        <w:rPr>
          <w:rFonts w:ascii="Times New Roman" w:cs="Times New Roman" w:eastAsia="Times New Roman" w:hAnsi="Times New Roman"/>
          <w:i w:val="false"/>
          <w:iCs w:val="false"/>
          <w:sz w:val="24"/>
          <w:szCs w:val="24"/>
        </w:rPr>
        <w:t xml:space="preserve">Rognoli, V. ve Ayala García, C. (2018). Material activism: New hybrid scenarios between design and technology. </w:t>
      </w:r>
      <w:r>
        <w:rPr>
          <w:rFonts w:ascii="Times New Roman" w:cs="Times New Roman" w:eastAsia="Times New Roman" w:hAnsi="Times New Roman"/>
          <w:i/>
          <w:iCs/>
          <w:sz w:val="24"/>
          <w:szCs w:val="24"/>
        </w:rPr>
        <w:t xml:space="preserve">Cuadernos del Centro de Estudios en Diseño y Comunicación</w:t>
      </w:r>
      <w:r>
        <w:rPr>
          <w:rFonts w:ascii="Times New Roman" w:cs="Times New Roman" w:eastAsia="Times New Roman" w:hAnsi="Times New Roman"/>
          <w:i w:val="false"/>
          <w:iCs w:val="false"/>
          <w:sz w:val="24"/>
          <w:szCs w:val="24"/>
        </w:rPr>
        <w:t xml:space="preserve">, (70), 105–115.</w:t>
      </w:r>
    </w:p>
    <w:p>
      <w:pPr>
        <w:spacing w:after="140" w:line="360"/>
        <w:ind w:left="567" w:hanging="567"/>
        <w:jc w:val="left"/>
      </w:pPr>
      <w:r>
        <w:rPr>
          <w:rFonts w:ascii="Times New Roman" w:cs="Times New Roman" w:eastAsia="Times New Roman" w:hAnsi="Times New Roman"/>
          <w:i w:val="false"/>
          <w:iCs w:val="false"/>
          <w:sz w:val="24"/>
          <w:szCs w:val="24"/>
        </w:rPr>
        <w:t xml:space="preserve">Rognoli, V., Bianchini, M., Maffei, S. ve Karana, E. (2015). DIY materials. </w:t>
      </w:r>
      <w:r>
        <w:rPr>
          <w:rFonts w:ascii="Times New Roman" w:cs="Times New Roman" w:eastAsia="Times New Roman" w:hAnsi="Times New Roman"/>
          <w:i/>
          <w:iCs/>
          <w:sz w:val="24"/>
          <w:szCs w:val="24"/>
        </w:rPr>
        <w:t xml:space="preserve">Materials &amp; Design, 86</w:t>
      </w:r>
      <w:r>
        <w:rPr>
          <w:rFonts w:ascii="Times New Roman" w:cs="Times New Roman" w:eastAsia="Times New Roman" w:hAnsi="Times New Roman"/>
          <w:i w:val="false"/>
          <w:iCs w:val="false"/>
          <w:sz w:val="24"/>
          <w:szCs w:val="24"/>
        </w:rPr>
        <w:t xml:space="preserve">, 692–702. https://doi.org/10.1016/j.matdes.2015.07.020</w:t>
      </w:r>
    </w:p>
    <w:p>
      <w:pPr>
        <w:spacing w:after="140" w:line="360"/>
        <w:ind w:left="567" w:hanging="567"/>
        <w:jc w:val="left"/>
      </w:pPr>
      <w:r>
        <w:rPr>
          <w:rFonts w:ascii="Times New Roman" w:cs="Times New Roman" w:eastAsia="Times New Roman" w:hAnsi="Times New Roman"/>
          <w:i w:val="false"/>
          <w:iCs w:val="false"/>
          <w:sz w:val="24"/>
          <w:szCs w:val="24"/>
        </w:rPr>
        <w:t xml:space="preserve">Salthammer, T., Mentese, S. ve Marutzky, R. (2010). Formaldehyde in the indoor environment. </w:t>
      </w:r>
      <w:r>
        <w:rPr>
          <w:rFonts w:ascii="Times New Roman" w:cs="Times New Roman" w:eastAsia="Times New Roman" w:hAnsi="Times New Roman"/>
          <w:i/>
          <w:iCs/>
          <w:sz w:val="24"/>
          <w:szCs w:val="24"/>
        </w:rPr>
        <w:t xml:space="preserve">Chemical Reviews, 110</w:t>
      </w:r>
      <w:r>
        <w:rPr>
          <w:rFonts w:ascii="Times New Roman" w:cs="Times New Roman" w:eastAsia="Times New Roman" w:hAnsi="Times New Roman"/>
          <w:i w:val="false"/>
          <w:iCs w:val="false"/>
          <w:sz w:val="24"/>
          <w:szCs w:val="24"/>
        </w:rPr>
        <w:t xml:space="preserve">(4), 2536–2572. https://doi.org/10.1021/cr800399g</w:t>
      </w:r>
    </w:p>
    <w:p>
      <w:pPr>
        <w:spacing w:after="140" w:line="360"/>
        <w:ind w:left="567" w:hanging="567"/>
        <w:jc w:val="left"/>
      </w:pPr>
      <w:r>
        <w:rPr>
          <w:rFonts w:ascii="Times New Roman" w:cs="Times New Roman" w:eastAsia="Times New Roman" w:hAnsi="Times New Roman"/>
          <w:i w:val="false"/>
          <w:iCs w:val="false"/>
          <w:sz w:val="24"/>
          <w:szCs w:val="24"/>
        </w:rPr>
        <w:t xml:space="preserve">Toklu, E. (2017). Biomass energy potential and utilization in Turkey. </w:t>
      </w:r>
      <w:r>
        <w:rPr>
          <w:rFonts w:ascii="Times New Roman" w:cs="Times New Roman" w:eastAsia="Times New Roman" w:hAnsi="Times New Roman"/>
          <w:i/>
          <w:iCs/>
          <w:sz w:val="24"/>
          <w:szCs w:val="24"/>
        </w:rPr>
        <w:t xml:space="preserve">Renewable Energy, 107</w:t>
      </w:r>
      <w:r>
        <w:rPr>
          <w:rFonts w:ascii="Times New Roman" w:cs="Times New Roman" w:eastAsia="Times New Roman" w:hAnsi="Times New Roman"/>
          <w:i w:val="false"/>
          <w:iCs w:val="false"/>
          <w:sz w:val="24"/>
          <w:szCs w:val="24"/>
        </w:rPr>
        <w:t xml:space="preserve">, 235–244. https://doi.org/10.1016/j.renene.2017.01.044</w:t>
      </w:r>
    </w:p>
    <w:p>
      <w:pPr>
        <w:spacing w:after="140" w:line="360"/>
        <w:ind w:left="567" w:hanging="567"/>
        <w:jc w:val="left"/>
      </w:pPr>
      <w:r>
        <w:rPr>
          <w:rFonts w:ascii="Times New Roman" w:cs="Times New Roman" w:eastAsia="Times New Roman" w:hAnsi="Times New Roman"/>
          <w:i w:val="false"/>
          <w:iCs w:val="false"/>
          <w:sz w:val="24"/>
          <w:szCs w:val="24"/>
        </w:rPr>
        <w:t xml:space="preserve">Tyagi, P. ve Jain, C. (2026). Bio-based and regenerative materials in interior design: A systematic literature review and bibliometric analysis. </w:t>
      </w:r>
      <w:r>
        <w:rPr>
          <w:rFonts w:ascii="Times New Roman" w:cs="Times New Roman" w:eastAsia="Times New Roman" w:hAnsi="Times New Roman"/>
          <w:i/>
          <w:iCs/>
          <w:sz w:val="24"/>
          <w:szCs w:val="24"/>
        </w:rPr>
        <w:t xml:space="preserve">Journal of Engineering and Applied Science</w:t>
      </w:r>
      <w:r>
        <w:rPr>
          <w:rFonts w:ascii="Times New Roman" w:cs="Times New Roman" w:eastAsia="Times New Roman" w:hAnsi="Times New Roman"/>
          <w:i w:val="false"/>
          <w:iCs w:val="false"/>
          <w:sz w:val="24"/>
          <w:szCs w:val="24"/>
        </w:rPr>
        <w:t xml:space="preserve">. https://doi.org/10.1186/s44147-026-00970-3</w:t>
      </w:r>
    </w:p>
    <w:p>
      <w:pPr>
        <w:spacing w:after="140" w:line="360"/>
        <w:ind w:left="567" w:hanging="567"/>
        <w:jc w:val="left"/>
      </w:pPr>
      <w:r>
        <w:rPr>
          <w:rFonts w:ascii="Times New Roman" w:cs="Times New Roman" w:eastAsia="Times New Roman" w:hAnsi="Times New Roman"/>
          <w:i w:val="false"/>
          <w:iCs w:val="false"/>
          <w:sz w:val="24"/>
          <w:szCs w:val="24"/>
        </w:rPr>
        <w:t xml:space="preserve">Ünal, B. (2025). </w:t>
      </w:r>
      <w:r>
        <w:rPr>
          <w:rFonts w:ascii="Times New Roman" w:cs="Times New Roman" w:eastAsia="Times New Roman" w:hAnsi="Times New Roman"/>
          <w:i/>
          <w:iCs/>
          <w:sz w:val="24"/>
          <w:szCs w:val="24"/>
        </w:rPr>
        <w:t xml:space="preserve">Biyoloji bazlı malzemelerin üretiminden mekânsal dirençlilik analizine: Tasarım odaklı deneysel bir yaklaşım</w:t>
      </w:r>
      <w:r>
        <w:rPr>
          <w:rFonts w:ascii="Times New Roman" w:cs="Times New Roman" w:eastAsia="Times New Roman" w:hAnsi="Times New Roman"/>
          <w:i w:val="false"/>
          <w:iCs w:val="false"/>
          <w:sz w:val="24"/>
          <w:szCs w:val="24"/>
        </w:rPr>
        <w:t xml:space="preserve"> [Doktora tezi]. Hacettepe Üniversitesi, Güzel Sanatlar Enstitüsü.</w:t>
      </w:r>
    </w:p>
    <w:p>
      <w:pPr>
        <w:spacing w:after="140" w:line="360"/>
        <w:ind w:left="567" w:hanging="567"/>
        <w:jc w:val="left"/>
      </w:pPr>
      <w:r>
        <w:rPr>
          <w:rFonts w:ascii="Times New Roman" w:cs="Times New Roman" w:eastAsia="Times New Roman" w:hAnsi="Times New Roman"/>
          <w:i w:val="false"/>
          <w:iCs w:val="false"/>
          <w:sz w:val="24"/>
          <w:szCs w:val="24"/>
        </w:rPr>
        <w:t xml:space="preserve">Walker, B., Holling, C. S., Carpenter, S. R. ve Kinzig, A. (2004). Resilience, adaptability and transformability in social–ecological systems. </w:t>
      </w:r>
      <w:r>
        <w:rPr>
          <w:rFonts w:ascii="Times New Roman" w:cs="Times New Roman" w:eastAsia="Times New Roman" w:hAnsi="Times New Roman"/>
          <w:i/>
          <w:iCs/>
          <w:sz w:val="24"/>
          <w:szCs w:val="24"/>
        </w:rPr>
        <w:t xml:space="preserve">Ecology and Society, 9</w:t>
      </w:r>
      <w:r>
        <w:rPr>
          <w:rFonts w:ascii="Times New Roman" w:cs="Times New Roman" w:eastAsia="Times New Roman" w:hAnsi="Times New Roman"/>
          <w:i w:val="false"/>
          <w:iCs w:val="false"/>
          <w:sz w:val="24"/>
          <w:szCs w:val="24"/>
        </w:rPr>
        <w:t xml:space="preserve">(2), 5.</w:t>
      </w:r>
    </w:p>
    <w:sectPr>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f93b8a594cdc4eb34e5bc72411b61ef1072ada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İç Mimarlıkta Sürdürülebilir Malzeme Seçimi ve Döngüsel Tasarım</dc:title>
  <dc:creator>Betül Ünal</dc:creator>
  <dc:description>Kitap bölümü — birleşik metin</dc:description>
  <cp:lastModifiedBy>Un-named</cp:lastModifiedBy>
  <cp:revision>1</cp:revision>
  <dcterms:created xsi:type="dcterms:W3CDTF">2026-10-04T10:34:49.770Z</dcterms:created>
  <dcterms:modified xsi:type="dcterms:W3CDTF">2026-10-04T10:34:49.770Z</dcterms:modified>
</cp:coreProperties>
</file>

<file path=docProps/custom.xml><?xml version="1.0" encoding="utf-8"?>
<Properties xmlns="http://schemas.openxmlformats.org/officeDocument/2006/custom-properties" xmlns:vt="http://schemas.openxmlformats.org/officeDocument/2006/docPropsVTypes"/>
</file>