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pPr>
      <w:r>
        <w:rPr>
          <w:rFonts w:ascii="Times New Roman" w:cs="Times New Roman" w:eastAsia="Times New Roman" w:hAnsi="Times New Roman"/>
          <w:b/>
          <w:bCs/>
          <w:sz w:val="28"/>
          <w:szCs w:val="28"/>
        </w:rPr>
        <w:t xml:space="preserve">4. DÖNGÜSEL MALZEME SİSTEMLERİ VE BİYOTASARIM</w:t>
      </w:r>
    </w:p>
    <w:p>
      <w:pPr>
        <w:pBdr>
          <w:bottom w:val="single" w:color="999999" w:sz="6" w:space="8"/>
        </w:pBdr>
        <w:spacing w:after="400" w:line="240"/>
      </w:pPr>
      <w:r>
        <w:rPr>
          <w:rFonts w:ascii="Times New Roman" w:cs="Times New Roman" w:eastAsia="Times New Roman" w:hAnsi="Times New Roman"/>
          <w:i/>
          <w:iCs/>
          <w:color w:val="555555"/>
          <w:sz w:val="20"/>
          <w:szCs w:val="20"/>
        </w:rPr>
        <w:t xml:space="preserve">Bölüm taslağı · 1 Ekim 2026 · yaklaşık 840 kelime</w:t>
      </w:r>
    </w:p>
    <w:p>
      <w:pPr>
        <w:spacing w:after="160" w:line="360"/>
        <w:jc w:val="both"/>
      </w:pPr>
      <w:r>
        <w:rPr>
          <w:rFonts w:ascii="Times New Roman" w:cs="Times New Roman" w:eastAsia="Times New Roman" w:hAnsi="Times New Roman"/>
          <w:sz w:val="24"/>
          <w:szCs w:val="24"/>
        </w:rPr>
        <w:t xml:space="preserve">Önceki başlıkta biyolojik temelli malzemelerin sınıflandırması ve malzemenin tasarım sürecindeki konumu ele alınmıştı. Bu başlıkta söz konusu malzemelerin döngüsel ekonomi sistemleriyle ilişkisi incelenmekte; biyolojik kökenin tek başına döngüsellik güvencesi oluşturup oluşturmadığı tartışılmaktadır.</w:t>
      </w:r>
    </w:p>
    <w:p>
      <w:pPr>
        <w:pStyle w:val="Heading2"/>
        <w:spacing w:after="180" w:before="320" w:line="360"/>
      </w:pPr>
      <w:r>
        <w:rPr>
          <w:rFonts w:ascii="Times New Roman" w:cs="Times New Roman" w:eastAsia="Times New Roman" w:hAnsi="Times New Roman"/>
          <w:b/>
          <w:bCs/>
          <w:sz w:val="26"/>
          <w:szCs w:val="26"/>
        </w:rPr>
        <w:t xml:space="preserve">4.1. Doğrusal Üretimin Ölçeği</w:t>
      </w:r>
    </w:p>
    <w:p>
      <w:pPr>
        <w:spacing w:after="160" w:line="360"/>
        <w:jc w:val="both"/>
      </w:pPr>
      <w:r>
        <w:rPr>
          <w:rFonts w:ascii="Times New Roman" w:cs="Times New Roman" w:eastAsia="Times New Roman" w:hAnsi="Times New Roman"/>
          <w:sz w:val="24"/>
          <w:szCs w:val="24"/>
        </w:rPr>
        <w:t xml:space="preserve">Yapılı çevrenin kaynak kullanımı ve atık üretimi, döngüsellik tartışmasının zeminini oluşturmaktadır. Edalat (2026), yapı sektörünün diğer tüm endüstriyel sektörlerle karşılaştırıldığında doğal çevre üzerinde en önemli etkiyi yarattığını belirtmekte; sektörün küresel karbondioksit salımının yaklaşık %39’undan sorumlu olduğunu, ham maddelerin yaklaşık %40’ını tükettiğini ve inşaat ile yıkım atıkları yoluyla katı atığın en az %30’unu ürettiğini aktarmaktadır. Yazar ayrıca 2024 yılında kritik 1,5 °C ısınma eşiğinin ilk kez aşıldığını vurgulamaktadır.</w:t>
      </w:r>
    </w:p>
    <w:p>
      <w:pPr>
        <w:spacing w:after="160" w:line="360"/>
        <w:jc w:val="both"/>
      </w:pPr>
      <w:r>
        <w:rPr>
          <w:rFonts w:ascii="Times New Roman" w:cs="Times New Roman" w:eastAsia="Times New Roman" w:hAnsi="Times New Roman"/>
          <w:sz w:val="24"/>
          <w:szCs w:val="24"/>
        </w:rPr>
        <w:t xml:space="preserve">Bu tablo karşısında biyolojik üretim mantığı yapısal bir alternatif sunmaktadır. Andréen ve Goidea’nın (2022) belirttiği gibi biyolojik tasarım sistemi doğası gereği döngüseldir ve malzeme kullanımı için ikna edici bir perspektif oluşturur. Ancak bu yapısal uygunluk, biyolojik temelli malzemelerin fiilen döngüsel sistemlere eklemlendiği anlamına gelmemektedir.</w:t>
      </w:r>
    </w:p>
    <w:p>
      <w:pPr>
        <w:pStyle w:val="Heading2"/>
        <w:spacing w:after="180" w:before="320" w:line="360"/>
      </w:pPr>
      <w:r>
        <w:rPr>
          <w:rFonts w:ascii="Times New Roman" w:cs="Times New Roman" w:eastAsia="Times New Roman" w:hAnsi="Times New Roman"/>
          <w:b/>
          <w:bCs/>
          <w:sz w:val="26"/>
          <w:szCs w:val="26"/>
        </w:rPr>
        <w:t xml:space="preserve">4.2. Atık ve Artıkların Kaynağa Dönüşmesi</w:t>
      </w:r>
    </w:p>
    <w:p>
      <w:pPr>
        <w:spacing w:after="160" w:line="360"/>
        <w:jc w:val="both"/>
      </w:pPr>
      <w:r>
        <w:rPr>
          <w:rFonts w:ascii="Times New Roman" w:cs="Times New Roman" w:eastAsia="Times New Roman" w:hAnsi="Times New Roman"/>
          <w:sz w:val="24"/>
          <w:szCs w:val="24"/>
        </w:rPr>
        <w:t xml:space="preserve">Biyolojik temelli üretimin döngüsellikle ilk kesişme noktası girdi tarafındadır. Lee, Lee ve Lee (2022), son yıllarda değerlendirilemeyen biyokütlenin alternatif hammadde olarak kullanılabilirliğini artırmaya yönelik çabaların, biyokütle hammaddelerine dayalı biyoproseslerle fosil kökenli eşdeğerlerinin yerini alabilecek ürünlerin üretimine yöneldiğini ortaya koymaktadır.</w:t>
      </w:r>
    </w:p>
    <w:p>
      <w:pPr>
        <w:spacing w:after="160" w:line="360"/>
        <w:jc w:val="both"/>
      </w:pPr>
      <w:r>
        <w:rPr>
          <w:rFonts w:ascii="Times New Roman" w:cs="Times New Roman" w:eastAsia="Times New Roman" w:hAnsi="Times New Roman"/>
          <w:sz w:val="24"/>
          <w:szCs w:val="24"/>
        </w:rPr>
        <w:t xml:space="preserve">Edalat (2026) bu eğilimin yapı malzemeleri alanındaki karşılığını ayrıntılandırmaktadır. Yazara göre ahşap dışı biyolojik temelli yapı malzemeleri çoğunlukla atıktan elde edilmekte ve tanecikli biçimlerde işlenmektedir; buna karşılık ahşap esaslı malzemeler tipik olarak kütlesel biçimde üretilmektedir. Ancak burada önemli bir boşluk bulunmaktadır: tarımsal atık dünya genelinde yaygın biçimde bulunmasına karşın inşaat sektöründeki kullanımı sınırlı kalmakta, bu atığın büyük bölümü biyoyakıt ve yem hammaddesi üretimine yönlendirilmektedir.</w:t>
      </w:r>
    </w:p>
    <w:p>
      <w:pPr>
        <w:spacing w:after="160" w:line="360"/>
        <w:jc w:val="both"/>
      </w:pPr>
      <w:r>
        <w:rPr>
          <w:rFonts w:ascii="Times New Roman" w:cs="Times New Roman" w:eastAsia="Times New Roman" w:hAnsi="Times New Roman"/>
          <w:sz w:val="24"/>
          <w:szCs w:val="24"/>
        </w:rPr>
        <w:t xml:space="preserve">Kaynakların coğrafi dağılımı da belirleyicidir. Edalat (2026), ormanların yeryüzü kara alanının yaklaşık üçte birini kapladığını, ancak bu örtünün neredeyse yarısının Rusya, Brezilya, Kanada ve Amerika Birleşik Devletleri’nde yoğunlaştığını; buna karşılık ahşap kaynaklarının Orta Doğu ve Kuzey Afrika gibi bölgelerde belirgin biçimde kıt olduğunu belirtmektedir. Dolayısıyla ahşabın erişilebilirliği bölgesel olarak kısıtlıyken, ahşap dışı tarımsal kaynaklar çok daha yaygındır. Bu dağılım, ahşap kaynakları sınırlı coğrafyalarda tarımsal artıklara dayalı malzemelerin stratejik önemini artırmaktadır.</w:t>
      </w:r>
    </w:p>
    <w:p>
      <w:pPr>
        <w:pStyle w:val="Heading2"/>
        <w:spacing w:after="180" w:before="320" w:line="360"/>
      </w:pPr>
      <w:r>
        <w:rPr>
          <w:rFonts w:ascii="Times New Roman" w:cs="Times New Roman" w:eastAsia="Times New Roman" w:hAnsi="Times New Roman"/>
          <w:b/>
          <w:bCs/>
          <w:sz w:val="26"/>
          <w:szCs w:val="26"/>
        </w:rPr>
        <w:t xml:space="preserve">4.3. Döngüsellik Erken Aşamada Kararlaşır</w:t>
      </w:r>
    </w:p>
    <w:p>
      <w:pPr>
        <w:spacing w:after="160" w:line="360"/>
        <w:jc w:val="both"/>
      </w:pPr>
      <w:r>
        <w:rPr>
          <w:rFonts w:ascii="Times New Roman" w:cs="Times New Roman" w:eastAsia="Times New Roman" w:hAnsi="Times New Roman"/>
          <w:b w:val="false"/>
          <w:bCs w:val="false"/>
          <w:i w:val="false"/>
          <w:iCs w:val="false"/>
          <w:sz w:val="24"/>
          <w:szCs w:val="24"/>
        </w:rPr>
        <w:t xml:space="preserve">Edalat (2026), biyolojik temelli yapı malzemelerinin döngüsel ekonomi modelinin tüm aşamalarını — erken aşamalar olarak tedarik, malzeme tasarımı ve üretim; ömür sonu aşamaları olarak toplama ve geri dönüşüm — yarı sistematik bir derlemeyle incelemiş ve bu aşamalar boyunca </w:t>
      </w:r>
      <w:r>
        <w:rPr>
          <w:rFonts w:ascii="Times New Roman" w:cs="Times New Roman" w:eastAsia="Times New Roman" w:hAnsi="Times New Roman"/>
          <w:b/>
          <w:bCs/>
          <w:i w:val="false"/>
          <w:iCs w:val="false"/>
          <w:sz w:val="24"/>
          <w:szCs w:val="24"/>
        </w:rPr>
        <w:t xml:space="preserve">yirmi iki engel ve araştırma boşluğu</w:t>
      </w:r>
      <w:r>
        <w:rPr>
          <w:rFonts w:ascii="Times New Roman" w:cs="Times New Roman" w:eastAsia="Times New Roman" w:hAnsi="Times New Roman"/>
          <w:b w:val="false"/>
          <w:bCs w:val="false"/>
          <w:i w:val="false"/>
          <w:iCs w:val="false"/>
          <w:sz w:val="24"/>
          <w:szCs w:val="24"/>
        </w:rPr>
        <w:t xml:space="preserve"> tanımlamıştır. Yazara göre hammadde tedariki görece az sorun barındırmakta, üretim ve dağıtım aşamaları kalıcı boşluklar göstermekte, döngüselliğin daha ileri aşamalarında ise önemli engeller sürmektedir.</w:t>
      </w:r>
    </w:p>
    <w:p>
      <w:pPr>
        <w:spacing w:after="160" w:line="360"/>
        <w:jc w:val="both"/>
      </w:pPr>
      <w:r>
        <w:rPr>
          <w:rFonts w:ascii="Times New Roman" w:cs="Times New Roman" w:eastAsia="Times New Roman" w:hAnsi="Times New Roman"/>
          <w:b w:val="false"/>
          <w:bCs w:val="false"/>
          <w:i w:val="false"/>
          <w:iCs w:val="false"/>
          <w:sz w:val="24"/>
          <w:szCs w:val="24"/>
        </w:rPr>
        <w:t xml:space="preserve">Bu saptamanın tasarım açısından sonucu belirleyicidir. Edalat’a (2026) göre söz konusu sınırlılıklar esas olarak </w:t>
      </w:r>
      <w:r>
        <w:rPr>
          <w:rFonts w:ascii="Times New Roman" w:cs="Times New Roman" w:eastAsia="Times New Roman" w:hAnsi="Times New Roman"/>
          <w:b/>
          <w:bCs/>
          <w:i w:val="false"/>
          <w:iCs w:val="false"/>
          <w:sz w:val="24"/>
          <w:szCs w:val="24"/>
        </w:rPr>
        <w:t xml:space="preserve">tasarım aşamasında döngüsel düşüncenin bulunmamasından</w:t>
      </w:r>
      <w:r>
        <w:rPr>
          <w:rFonts w:ascii="Times New Roman" w:cs="Times New Roman" w:eastAsia="Times New Roman" w:hAnsi="Times New Roman"/>
          <w:b w:val="false"/>
          <w:bCs w:val="false"/>
          <w:i w:val="false"/>
          <w:iCs w:val="false"/>
          <w:sz w:val="24"/>
          <w:szCs w:val="24"/>
        </w:rPr>
        <w:t xml:space="preserve"> kaynaklanmaktadır. Yazar bunu somut bir örnekle açıklamaktadır: malzeme tedariki ve erişilebilirliği, sökülebilirlik için tasarım ve bağlayıcı türü — doğal, sentetik ya da hiç kullanılmamış olması — geri dönüştürülebilirlik üzerinde belirleyici bir etkiye sahiptir; buna karşın bu etkenler tasarımda ve araştırmada nadiren göz önünde bulundurulmaktadır.</w:t>
      </w:r>
    </w:p>
    <w:p>
      <w:pPr>
        <w:spacing w:after="160" w:line="360"/>
        <w:jc w:val="both"/>
      </w:pPr>
      <w:r>
        <w:rPr>
          <w:rFonts w:ascii="Times New Roman" w:cs="Times New Roman" w:eastAsia="Times New Roman" w:hAnsi="Times New Roman"/>
          <w:sz w:val="24"/>
          <w:szCs w:val="24"/>
        </w:rPr>
        <w:t xml:space="preserve">Bu, bölümün temel savlarından birini kaynaklı biçimde ortaya koymaktadır: bir malzemenin döngüselliği biyolojik kökeninde değil, bileşiminde ve birleşiminde kararlaşır. Nitekim Edalat (2026) miselyumu, biyobozunurluğu, kendi kendine bağlanma özelliği ve tarımsal atıkla uyumluluğu nedeniyle güçlü bir kapalı döngü potansiyeli taşıyan bir örnek olarak öne çıkarmaktadır. Miselyumun ayırt edici yanı, bağlayıcı sorununu dışarıdan bir madde eklemeden çözmesidir.</w:t>
      </w:r>
    </w:p>
    <w:p>
      <w:pPr>
        <w:spacing w:after="160" w:line="360"/>
        <w:jc w:val="both"/>
      </w:pPr>
      <w:r>
        <w:rPr>
          <w:rFonts w:ascii="Times New Roman" w:cs="Times New Roman" w:eastAsia="Times New Roman" w:hAnsi="Times New Roman"/>
          <w:sz w:val="24"/>
          <w:szCs w:val="24"/>
        </w:rPr>
        <w:t xml:space="preserve">Edalat (2026) bu boşlukları gidermek üzere döngüsel malzeme tasarımı ve seçimi için altı ölçütlü bir çerçeve önermektedir (Tablo 3). Yazar ayrıca sökülebilirlik için tasarımın bu çerçevenin temel bir bileşeni olarak bütünleştirilmesini önemle tavsiye etmektedir.</w:t>
      </w:r>
    </w:p>
    <w:p>
      <w:pPr>
        <w:pStyle w:val="Heading2"/>
        <w:spacing w:after="180" w:before="320" w:line="360"/>
      </w:pPr>
      <w:r>
        <w:rPr>
          <w:rFonts w:ascii="Times New Roman" w:cs="Times New Roman" w:eastAsia="Times New Roman" w:hAnsi="Times New Roman"/>
          <w:b/>
          <w:bCs/>
          <w:sz w:val="26"/>
          <w:szCs w:val="26"/>
        </w:rPr>
        <w:t xml:space="preserve">4.4. Biyolojik Köken Döngüsellik Güvencesi midir?</w:t>
      </w:r>
    </w:p>
    <w:p>
      <w:pPr>
        <w:spacing w:after="160" w:line="360"/>
        <w:jc w:val="both"/>
      </w:pPr>
      <w:r>
        <w:rPr>
          <w:rFonts w:ascii="Times New Roman" w:cs="Times New Roman" w:eastAsia="Times New Roman" w:hAnsi="Times New Roman"/>
          <w:b w:val="false"/>
          <w:bCs w:val="false"/>
          <w:i w:val="false"/>
          <w:iCs w:val="false"/>
          <w:sz w:val="24"/>
          <w:szCs w:val="24"/>
        </w:rPr>
        <w:t xml:space="preserve">Bu başlığın sorusuna alanyazın olumsuz yanıt vermektedir. Edalat (2026), biyolojik temelli yapı malzemelerinin yenilenebilir, yenileyici ve düşük etkili nitelikleri nedeniyle döngüsel biyoekonominin ilkeleriyle yakından örtüşmesine karşın, döngüsel ekonomi sistemlerine eklemlenmelerinin </w:t>
      </w:r>
      <w:r>
        <w:rPr>
          <w:rFonts w:ascii="Times New Roman" w:cs="Times New Roman" w:eastAsia="Times New Roman" w:hAnsi="Times New Roman"/>
          <w:b/>
          <w:bCs/>
          <w:i w:val="false"/>
          <w:iCs w:val="false"/>
          <w:sz w:val="24"/>
          <w:szCs w:val="24"/>
        </w:rPr>
        <w:t xml:space="preserve">kavramsal olarak parçalı ve uygulamada tutarsız</w:t>
      </w:r>
      <w:r>
        <w:rPr>
          <w:rFonts w:ascii="Times New Roman" w:cs="Times New Roman" w:eastAsia="Times New Roman" w:hAnsi="Times New Roman"/>
          <w:b w:val="false"/>
          <w:bCs w:val="false"/>
          <w:i w:val="false"/>
          <w:iCs w:val="false"/>
          <w:sz w:val="24"/>
          <w:szCs w:val="24"/>
        </w:rPr>
        <w:t xml:space="preserve"> kaldığını belirtmektedir. Yazara göre yapı malzemesi alanındaki mevcut döngüsel yaklaşımlar çoğunlukla tutarlılıktan yoksundur ve döngüsel ekonominin temel hedeflerinden sapmaktadır.</w:t>
      </w:r>
    </w:p>
    <w:p>
      <w:pPr>
        <w:spacing w:after="160" w:line="360"/>
        <w:jc w:val="both"/>
      </w:pPr>
      <w:r>
        <w:rPr>
          <w:rFonts w:ascii="Times New Roman" w:cs="Times New Roman" w:eastAsia="Times New Roman" w:hAnsi="Times New Roman"/>
          <w:sz w:val="24"/>
          <w:szCs w:val="24"/>
        </w:rPr>
        <w:t xml:space="preserve">Bu değerlendirme, önceki başlıkta aktarılan iki uyarıyla birlikte okunmalıdır. O’Rourke ve Seepersad (2015), biyolojik organizmaların sunduğu çevresel avantajlara ilişkin iddiaların genel olarak doğru olmakla birlikte her avantaj için önemli istisnalar barındırdığını göstermektedir. Chang, Mohanty ve Misra (2020) ise biyokompozitlerin uzun süreli dayanıklılık performansına ilişkin bilimsel bilginin erişilebilir alanyazında oldukça sınırlı kaldığını ortaya koymaktadır. Döngüsellik iddiası, ömür sonu davranışının bilinmediği bir malzeme için temelsiz kalır.</w:t>
      </w:r>
    </w:p>
    <w:p>
      <w:pPr>
        <w:spacing w:after="160" w:line="360"/>
        <w:jc w:val="both"/>
      </w:pPr>
      <w:r>
        <w:rPr>
          <w:rFonts w:ascii="Times New Roman" w:cs="Times New Roman" w:eastAsia="Times New Roman" w:hAnsi="Times New Roman"/>
          <w:sz w:val="24"/>
          <w:szCs w:val="24"/>
        </w:rPr>
        <w:t xml:space="preserve">Edalat’ın (2026) kaynak çeşitliliğine ilişkin önerisi de bu eleştirel çerçevenin parçasıdır. Yazar, ahşap ile ahşap dışı biyolojik temelli malzemelerin dengeli biçimde kullanılmasını önemle tavsiye etmektedir: ahşaba aşırı bağımlılık ormansızlaşma ve biyoçeşitlilik kaybı riski taşırken, yalnızca ahşap dışı malzemelere dayanmak ölçeklenebilirlikten yoksundur. Ahşap yapısal bütünlük ve standartlaşma sunarken, ahşap dışı malzemeler ısıl, akustik ve ekolojik katkılar sağlamaktadır; yazara göre bu tamamlayıcı güçlerin bütünleştirilmesi döngüselliğe daha dirençli ve tutarlı bir yol sunmaktadır.</w:t>
      </w:r>
    </w:p>
    <w:p>
      <w:pPr>
        <w:pStyle w:val="Heading2"/>
        <w:spacing w:after="180" w:before="320" w:line="360"/>
      </w:pPr>
      <w:r>
        <w:rPr>
          <w:rFonts w:ascii="Times New Roman" w:cs="Times New Roman" w:eastAsia="Times New Roman" w:hAnsi="Times New Roman"/>
          <w:b/>
          <w:bCs/>
          <w:sz w:val="26"/>
          <w:szCs w:val="26"/>
        </w:rPr>
        <w:t xml:space="preserve">4.5. Sistemden Mekâna</w:t>
      </w:r>
    </w:p>
    <w:p>
      <w:pPr>
        <w:spacing w:after="160" w:line="360"/>
        <w:jc w:val="both"/>
      </w:pPr>
      <w:r>
        <w:rPr>
          <w:rFonts w:ascii="Times New Roman" w:cs="Times New Roman" w:eastAsia="Times New Roman" w:hAnsi="Times New Roman"/>
          <w:b w:val="false"/>
          <w:bCs w:val="false"/>
          <w:i w:val="false"/>
          <w:iCs w:val="false"/>
          <w:sz w:val="24"/>
          <w:szCs w:val="24"/>
        </w:rPr>
        <w:t xml:space="preserve">Edalat’ın (2026) saptamalarından ikisi, izleyen başlıklara doğrudan köprü kurmaktadır. Birincisi, ahşap dışı biyolojik temelli malzemelerin </w:t>
      </w:r>
      <w:r>
        <w:rPr>
          <w:rFonts w:ascii="Times New Roman" w:cs="Times New Roman" w:eastAsia="Times New Roman" w:hAnsi="Times New Roman"/>
          <w:b/>
          <w:bCs/>
          <w:i w:val="false"/>
          <w:iCs w:val="false"/>
          <w:sz w:val="24"/>
          <w:szCs w:val="24"/>
        </w:rPr>
        <w:t xml:space="preserve">sınırlı mekanik dayanımları nedeniyle taşıyıcı yapı elemanlarında nadiren kullanıldığıdır</w:t>
      </w:r>
      <w:r>
        <w:rPr>
          <w:rFonts w:ascii="Times New Roman" w:cs="Times New Roman" w:eastAsia="Times New Roman" w:hAnsi="Times New Roman"/>
          <w:b w:val="false"/>
          <w:bCs w:val="false"/>
          <w:i w:val="false"/>
          <w:iCs w:val="false"/>
          <w:sz w:val="24"/>
          <w:szCs w:val="24"/>
        </w:rPr>
        <w:t xml:space="preserve">. Bu durum bir eksiklik olarak okunabileceği gibi, söz konusu malzemelerin öncelikli uygulama alanının taşıyıcı olmayan bileşenler olduğuna dair bir işaret olarak da değerlendirilebilir. İkincisi, yazarın gelecek araştırma yönleri arasında kullanım, onarım ve yeniden kullanım aşamalarının yeterince araştırılmamış ve büyük ölçüde bağlama bağlı olduğunu; kullanım ömrünü uzatma stratejileri ile kullanıcı kaynaklı bakım ve onarılabilirlik pratiklerinin öncelikli alanlar oluşturduğunu belirtmesidir.</w:t>
      </w:r>
    </w:p>
    <w:p>
      <w:pPr>
        <w:spacing w:after="160" w:line="360"/>
        <w:jc w:val="both"/>
      </w:pPr>
      <w:r>
        <w:rPr>
          <w:rFonts w:ascii="Times New Roman" w:cs="Times New Roman" w:eastAsia="Times New Roman" w:hAnsi="Times New Roman"/>
          <w:sz w:val="24"/>
          <w:szCs w:val="24"/>
        </w:rPr>
        <w:t xml:space="preserve">Her iki saptama da tartışmayı malzeme ölçeğinden mekân ölçeğine taşımaktadır. Edalat’ın (2026) kendi ifadesiyle, kuramsal sürdürülebilirlikten uygulamalı döngüselliğe ilerlemek yalnızca daha iyi malzemeler değil, aynı zamanda daha iyi sistemler ve çerçeveler gerektirmektedir.</w:t>
      </w:r>
    </w:p>
    <w:p>
      <w:pPr>
        <w:spacing w:after="140" w:before="420" w:line="240"/>
      </w:pPr>
      <w:r>
        <w:rPr>
          <w:rFonts w:ascii="Times New Roman" w:cs="Times New Roman" w:eastAsia="Times New Roman" w:hAnsi="Times New Roman"/>
          <w:b/>
          <w:bCs/>
          <w:sz w:val="22"/>
          <w:szCs w:val="22"/>
        </w:rPr>
        <w:t xml:space="preserve">Tablo 3. </w:t>
      </w:r>
      <w:r>
        <w:rPr>
          <w:rFonts w:ascii="Times New Roman" w:cs="Times New Roman" w:eastAsia="Times New Roman" w:hAnsi="Times New Roman"/>
          <w:sz w:val="22"/>
          <w:szCs w:val="22"/>
        </w:rPr>
        <w:t xml:space="preserve">Döngüsel biyolojik temelli yapı malzemeleri için tasarım ve seçim ölçütleri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3700"/>
        <w:gridCol w:w="4706"/>
      </w:tblGrid>
      <w:tr>
        <w:trPr>
          <w:tblHeader/>
        </w:trPr>
        <w:tc>
          <w:tcPr>
            <w:tcW w:type="dxa" w:w="620"/>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20"/>
                <w:szCs w:val="20"/>
              </w:rPr>
              <w:t xml:space="preserve"/>
            </w:r>
          </w:p>
        </w:tc>
        <w:tc>
          <w:tcPr>
            <w:tcW w:type="dxa" w:w="3700"/>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20"/>
                <w:szCs w:val="20"/>
              </w:rPr>
              <w:t xml:space="preserve">Ölçüt</w:t>
            </w:r>
          </w:p>
        </w:tc>
        <w:tc>
          <w:tcPr>
            <w:tcW w:type="dxa" w:w="4706"/>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20"/>
                <w:szCs w:val="20"/>
              </w:rPr>
              <w:t xml:space="preserve">Değerlendirdiği soru</w:t>
            </w:r>
          </w:p>
        </w:tc>
      </w:tr>
      <w:tr>
        <w:trPr>
          <w:tblHeader w:val="off"/>
        </w:trPr>
        <w:tc>
          <w:tcPr>
            <w:tcW w:type="dxa" w:w="620"/>
            <w:tcMar>
              <w:top w:type="dxa" w:w="80"/>
              <w:left w:type="dxa" w:w="110"/>
              <w:bottom w:type="dxa" w:w="80"/>
              <w:right w:type="dxa" w:w="110"/>
            </w:tcMar>
          </w:tcPr>
          <w:p>
            <w:pPr>
              <w:spacing w:after="0" w:line="240"/>
            </w:pPr>
            <w:r>
              <w:rPr>
                <w:rFonts w:ascii="Times New Roman" w:cs="Times New Roman" w:eastAsia="Times New Roman" w:hAnsi="Times New Roman"/>
                <w:b/>
                <w:bCs/>
                <w:sz w:val="20"/>
                <w:szCs w:val="20"/>
              </w:rPr>
              <w:t xml:space="preserve">A</w:t>
            </w:r>
          </w:p>
        </w:tc>
        <w:tc>
          <w:tcPr>
            <w:tcW w:type="dxa" w:w="3700"/>
            <w:tcMar>
              <w:top w:type="dxa" w:w="80"/>
              <w:left w:type="dxa" w:w="110"/>
              <w:bottom w:type="dxa" w:w="80"/>
              <w:right w:type="dxa" w:w="110"/>
            </w:tcMar>
          </w:tcPr>
          <w:p>
            <w:pPr>
              <w:spacing w:after="0" w:line="240"/>
            </w:pPr>
            <w:r>
              <w:rPr>
                <w:rFonts w:ascii="Times New Roman" w:cs="Times New Roman" w:eastAsia="Times New Roman" w:hAnsi="Times New Roman"/>
                <w:b/>
                <w:bCs/>
                <w:sz w:val="20"/>
                <w:szCs w:val="20"/>
              </w:rPr>
              <w:t xml:space="preserve">Genel sürdürülebilirlik yönleri</w:t>
            </w:r>
          </w:p>
        </w:tc>
        <w:tc>
          <w:tcPr>
            <w:tcW w:type="dxa" w:w="470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20"/>
                <w:szCs w:val="20"/>
              </w:rPr>
              <w:t xml:space="preserve">Malzeme genel sürdürülebilirlik ölçütlerini karşılıyor mu?</w:t>
            </w:r>
          </w:p>
        </w:tc>
      </w:tr>
      <w:tr>
        <w:trPr>
          <w:tblHeader w:val="off"/>
        </w:trPr>
        <w:tc>
          <w:tcPr>
            <w:tcW w:type="dxa" w:w="620"/>
            <w:tcMar>
              <w:top w:type="dxa" w:w="80"/>
              <w:left w:type="dxa" w:w="110"/>
              <w:bottom w:type="dxa" w:w="80"/>
              <w:right w:type="dxa" w:w="110"/>
            </w:tcMar>
          </w:tcPr>
          <w:p>
            <w:pPr>
              <w:spacing w:after="0" w:line="240"/>
            </w:pPr>
            <w:r>
              <w:rPr>
                <w:rFonts w:ascii="Times New Roman" w:cs="Times New Roman" w:eastAsia="Times New Roman" w:hAnsi="Times New Roman"/>
                <w:b/>
                <w:bCs/>
                <w:sz w:val="20"/>
                <w:szCs w:val="20"/>
              </w:rPr>
              <w:t xml:space="preserve">B</w:t>
            </w:r>
          </w:p>
        </w:tc>
        <w:tc>
          <w:tcPr>
            <w:tcW w:type="dxa" w:w="3700"/>
            <w:tcMar>
              <w:top w:type="dxa" w:w="80"/>
              <w:left w:type="dxa" w:w="110"/>
              <w:bottom w:type="dxa" w:w="80"/>
              <w:right w:type="dxa" w:w="110"/>
            </w:tcMar>
          </w:tcPr>
          <w:p>
            <w:pPr>
              <w:spacing w:after="0" w:line="240"/>
            </w:pPr>
            <w:r>
              <w:rPr>
                <w:rFonts w:ascii="Times New Roman" w:cs="Times New Roman" w:eastAsia="Times New Roman" w:hAnsi="Times New Roman"/>
                <w:b/>
                <w:bCs/>
                <w:sz w:val="20"/>
                <w:szCs w:val="20"/>
              </w:rPr>
              <w:t xml:space="preserve">Atık kökenli ya da yenilenebilir tedarik</w:t>
            </w:r>
          </w:p>
        </w:tc>
        <w:tc>
          <w:tcPr>
            <w:tcW w:type="dxa" w:w="470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20"/>
                <w:szCs w:val="20"/>
              </w:rPr>
              <w:t xml:space="preserve">Girdi bir atık akımından mı, yenilenebilir bir kaynaktan mı geliyor?</w:t>
            </w:r>
          </w:p>
        </w:tc>
      </w:tr>
      <w:tr>
        <w:trPr>
          <w:tblHeader w:val="off"/>
        </w:trPr>
        <w:tc>
          <w:tcPr>
            <w:tcW w:type="dxa" w:w="620"/>
            <w:tcMar>
              <w:top w:type="dxa" w:w="80"/>
              <w:left w:type="dxa" w:w="110"/>
              <w:bottom w:type="dxa" w:w="80"/>
              <w:right w:type="dxa" w:w="110"/>
            </w:tcMar>
          </w:tcPr>
          <w:p>
            <w:pPr>
              <w:spacing w:after="0" w:line="240"/>
            </w:pPr>
            <w:r>
              <w:rPr>
                <w:rFonts w:ascii="Times New Roman" w:cs="Times New Roman" w:eastAsia="Times New Roman" w:hAnsi="Times New Roman"/>
                <w:b/>
                <w:bCs/>
                <w:sz w:val="20"/>
                <w:szCs w:val="20"/>
              </w:rPr>
              <w:t xml:space="preserve">C</w:t>
            </w:r>
          </w:p>
        </w:tc>
        <w:tc>
          <w:tcPr>
            <w:tcW w:type="dxa" w:w="3700"/>
            <w:tcMar>
              <w:top w:type="dxa" w:w="80"/>
              <w:left w:type="dxa" w:w="110"/>
              <w:bottom w:type="dxa" w:w="80"/>
              <w:right w:type="dxa" w:w="110"/>
            </w:tcMar>
          </w:tcPr>
          <w:p>
            <w:pPr>
              <w:spacing w:after="0" w:line="240"/>
            </w:pPr>
            <w:r>
              <w:rPr>
                <w:rFonts w:ascii="Times New Roman" w:cs="Times New Roman" w:eastAsia="Times New Roman" w:hAnsi="Times New Roman"/>
                <w:b/>
                <w:bCs/>
                <w:sz w:val="20"/>
                <w:szCs w:val="20"/>
              </w:rPr>
              <w:t xml:space="preserve">Sera gazı azaltımı ve düşük karbon niteliği</w:t>
            </w:r>
          </w:p>
        </w:tc>
        <w:tc>
          <w:tcPr>
            <w:tcW w:type="dxa" w:w="470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20"/>
                <w:szCs w:val="20"/>
              </w:rPr>
              <w:t xml:space="preserve">Malzeme salım azaltımına katkı sağlıyor mu?</w:t>
            </w:r>
          </w:p>
        </w:tc>
      </w:tr>
      <w:tr>
        <w:trPr>
          <w:tblHeader w:val="off"/>
        </w:trPr>
        <w:tc>
          <w:tcPr>
            <w:tcW w:type="dxa" w:w="620"/>
            <w:tcMar>
              <w:top w:type="dxa" w:w="80"/>
              <w:left w:type="dxa" w:w="110"/>
              <w:bottom w:type="dxa" w:w="80"/>
              <w:right w:type="dxa" w:w="110"/>
            </w:tcMar>
          </w:tcPr>
          <w:p>
            <w:pPr>
              <w:spacing w:after="0" w:line="240"/>
            </w:pPr>
            <w:r>
              <w:rPr>
                <w:rFonts w:ascii="Times New Roman" w:cs="Times New Roman" w:eastAsia="Times New Roman" w:hAnsi="Times New Roman"/>
                <w:b/>
                <w:bCs/>
                <w:sz w:val="20"/>
                <w:szCs w:val="20"/>
              </w:rPr>
              <w:t xml:space="preserve">D</w:t>
            </w:r>
          </w:p>
        </w:tc>
        <w:tc>
          <w:tcPr>
            <w:tcW w:type="dxa" w:w="3700"/>
            <w:tcMar>
              <w:top w:type="dxa" w:w="80"/>
              <w:left w:type="dxa" w:w="110"/>
              <w:bottom w:type="dxa" w:w="80"/>
              <w:right w:type="dxa" w:w="110"/>
            </w:tcMar>
          </w:tcPr>
          <w:p>
            <w:pPr>
              <w:spacing w:after="0" w:line="240"/>
            </w:pPr>
            <w:r>
              <w:rPr>
                <w:rFonts w:ascii="Times New Roman" w:cs="Times New Roman" w:eastAsia="Times New Roman" w:hAnsi="Times New Roman"/>
                <w:b/>
                <w:bCs/>
                <w:sz w:val="20"/>
                <w:szCs w:val="20"/>
              </w:rPr>
              <w:t xml:space="preserve">Geri dönüştürülebilirlik, biyobozunurluk ve ömür sonu</w:t>
            </w:r>
          </w:p>
        </w:tc>
        <w:tc>
          <w:tcPr>
            <w:tcW w:type="dxa" w:w="470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20"/>
                <w:szCs w:val="20"/>
              </w:rPr>
              <w:t xml:space="preserve">Ömür sonunda ne oluyor?</w:t>
            </w:r>
          </w:p>
        </w:tc>
      </w:tr>
      <w:tr>
        <w:trPr>
          <w:tblHeader w:val="off"/>
        </w:trPr>
        <w:tc>
          <w:tcPr>
            <w:tcW w:type="dxa" w:w="620"/>
            <w:tcMar>
              <w:top w:type="dxa" w:w="80"/>
              <w:left w:type="dxa" w:w="110"/>
              <w:bottom w:type="dxa" w:w="80"/>
              <w:right w:type="dxa" w:w="110"/>
            </w:tcMar>
          </w:tcPr>
          <w:p>
            <w:pPr>
              <w:spacing w:after="0" w:line="240"/>
            </w:pPr>
            <w:r>
              <w:rPr>
                <w:rFonts w:ascii="Times New Roman" w:cs="Times New Roman" w:eastAsia="Times New Roman" w:hAnsi="Times New Roman"/>
                <w:b/>
                <w:bCs/>
                <w:sz w:val="20"/>
                <w:szCs w:val="20"/>
              </w:rPr>
              <w:t xml:space="preserve">E</w:t>
            </w:r>
          </w:p>
        </w:tc>
        <w:tc>
          <w:tcPr>
            <w:tcW w:type="dxa" w:w="3700"/>
            <w:tcMar>
              <w:top w:type="dxa" w:w="80"/>
              <w:left w:type="dxa" w:w="110"/>
              <w:bottom w:type="dxa" w:w="80"/>
              <w:right w:type="dxa" w:w="110"/>
            </w:tcMar>
          </w:tcPr>
          <w:p>
            <w:pPr>
              <w:spacing w:after="0" w:line="240"/>
            </w:pPr>
            <w:r>
              <w:rPr>
                <w:rFonts w:ascii="Times New Roman" w:cs="Times New Roman" w:eastAsia="Times New Roman" w:hAnsi="Times New Roman"/>
                <w:b/>
                <w:bCs/>
                <w:sz w:val="20"/>
                <w:szCs w:val="20"/>
              </w:rPr>
              <w:t xml:space="preserve">Coğrafi erişilebilirlik ve tedarik zinciri güvenliği</w:t>
            </w:r>
          </w:p>
        </w:tc>
        <w:tc>
          <w:tcPr>
            <w:tcW w:type="dxa" w:w="470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20"/>
                <w:szCs w:val="20"/>
              </w:rPr>
              <w:t xml:space="preserve">Kaynak bölgesel olarak erişilebilir mi?</w:t>
            </w:r>
          </w:p>
        </w:tc>
      </w:tr>
      <w:tr>
        <w:trPr>
          <w:tblHeader w:val="off"/>
        </w:trPr>
        <w:tc>
          <w:tcPr>
            <w:tcW w:type="dxa" w:w="620"/>
            <w:tcMar>
              <w:top w:type="dxa" w:w="80"/>
              <w:left w:type="dxa" w:w="110"/>
              <w:bottom w:type="dxa" w:w="80"/>
              <w:right w:type="dxa" w:w="110"/>
            </w:tcMar>
          </w:tcPr>
          <w:p>
            <w:pPr>
              <w:spacing w:after="0" w:line="240"/>
            </w:pPr>
            <w:r>
              <w:rPr>
                <w:rFonts w:ascii="Times New Roman" w:cs="Times New Roman" w:eastAsia="Times New Roman" w:hAnsi="Times New Roman"/>
                <w:b/>
                <w:bCs/>
                <w:sz w:val="20"/>
                <w:szCs w:val="20"/>
              </w:rPr>
              <w:t xml:space="preserve">F</w:t>
            </w:r>
          </w:p>
        </w:tc>
        <w:tc>
          <w:tcPr>
            <w:tcW w:type="dxa" w:w="3700"/>
            <w:tcMar>
              <w:top w:type="dxa" w:w="80"/>
              <w:left w:type="dxa" w:w="110"/>
              <w:bottom w:type="dxa" w:w="80"/>
              <w:right w:type="dxa" w:w="110"/>
            </w:tcMar>
          </w:tcPr>
          <w:p>
            <w:pPr>
              <w:spacing w:after="0" w:line="240"/>
            </w:pPr>
            <w:r>
              <w:rPr>
                <w:rFonts w:ascii="Times New Roman" w:cs="Times New Roman" w:eastAsia="Times New Roman" w:hAnsi="Times New Roman"/>
                <w:b/>
                <w:bCs/>
                <w:sz w:val="20"/>
                <w:szCs w:val="20"/>
              </w:rPr>
              <w:t xml:space="preserve">Özel ya da bağlama özgü nitelikler</w:t>
            </w:r>
          </w:p>
        </w:tc>
        <w:tc>
          <w:tcPr>
            <w:tcW w:type="dxa" w:w="470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20"/>
                <w:szCs w:val="20"/>
              </w:rPr>
              <w:t xml:space="preserve">Malzeme bağlama özgü işlevsel nitelikler taşıyor mu?</w:t>
            </w:r>
          </w:p>
        </w:tc>
      </w:tr>
    </w:tbl>
    <w:p>
      <w:pPr>
        <w:spacing w:after="400" w:before="140" w:line="240"/>
      </w:pPr>
      <w:r>
        <w:rPr>
          <w:rFonts w:ascii="Times New Roman" w:cs="Times New Roman" w:eastAsia="Times New Roman" w:hAnsi="Times New Roman"/>
          <w:i/>
          <w:iCs/>
          <w:sz w:val="18"/>
          <w:szCs w:val="18"/>
        </w:rPr>
        <w:t xml:space="preserve">Kaynak: Edalat (2026). Yazar, bu ölçütleri yirmi çalışma üzerinde “dikkate alınmamış”, “kısmen dikkate alınmış” ve “tümüyle dikkate alınmış” biçiminde üç düzeyli olarak değerlendirmiştir. Çerçeveye sökülebilirlik için tasarımın temel bir bileşen olarak bütünleştirilmesi önerilmektedir.</w:t>
      </w:r>
    </w:p>
    <w:p>
      <w:pPr>
        <w:pStyle w:val="Heading1"/>
        <w:spacing w:after="180" w:before="440" w:line="360"/>
      </w:pPr>
      <w:r>
        <w:rPr>
          <w:rFonts w:ascii="Times New Roman" w:cs="Times New Roman" w:eastAsia="Times New Roman" w:hAnsi="Times New Roman"/>
          <w:b/>
          <w:bCs/>
          <w:sz w:val="26"/>
          <w:szCs w:val="26"/>
        </w:rPr>
        <w:t xml:space="preserve">KAYNAKÇA</w:t>
      </w:r>
    </w:p>
    <w:p>
      <w:pPr>
        <w:spacing w:after="140" w:line="360"/>
        <w:ind w:left="567" w:hanging="567"/>
        <w:jc w:val="left"/>
      </w:pPr>
      <w:r>
        <w:rPr>
          <w:rFonts w:ascii="Times New Roman" w:cs="Times New Roman" w:eastAsia="Times New Roman" w:hAnsi="Times New Roman"/>
          <w:i w:val="false"/>
          <w:iCs w:val="false"/>
          <w:sz w:val="24"/>
          <w:szCs w:val="24"/>
        </w:rPr>
        <w:t xml:space="preserve">Andréen, D., &amp; Goidea, A. (2022). Principles of biological design as a model for biodesign and biofabrication in architecture. </w:t>
      </w:r>
      <w:r>
        <w:rPr>
          <w:rFonts w:ascii="Times New Roman" w:cs="Times New Roman" w:eastAsia="Times New Roman" w:hAnsi="Times New Roman"/>
          <w:i/>
          <w:iCs/>
          <w:sz w:val="24"/>
          <w:szCs w:val="24"/>
        </w:rPr>
        <w:t xml:space="preserve">Architecture, Structures and Construction, 2</w:t>
      </w:r>
      <w:r>
        <w:rPr>
          <w:rFonts w:ascii="Times New Roman" w:cs="Times New Roman" w:eastAsia="Times New Roman" w:hAnsi="Times New Roman"/>
          <w:i w:val="false"/>
          <w:iCs w:val="false"/>
          <w:sz w:val="24"/>
          <w:szCs w:val="24"/>
        </w:rPr>
        <w:t xml:space="preserve">, 481–491. https://doi.org/10.1007/s44150-022-00049-6</w:t>
      </w:r>
    </w:p>
    <w:p>
      <w:pPr>
        <w:spacing w:after="140" w:line="360"/>
        <w:ind w:left="567" w:hanging="567"/>
        <w:jc w:val="left"/>
      </w:pPr>
      <w:r>
        <w:rPr>
          <w:rFonts w:ascii="Times New Roman" w:cs="Times New Roman" w:eastAsia="Times New Roman" w:hAnsi="Times New Roman"/>
          <w:i w:val="false"/>
          <w:iCs w:val="false"/>
          <w:sz w:val="24"/>
          <w:szCs w:val="24"/>
        </w:rPr>
        <w:t xml:space="preserve">Chang, B. P., Mohanty, A. K., &amp; Misra, M. (2020). Studies on durability of sustainable biobased composites: A review. </w:t>
      </w:r>
      <w:r>
        <w:rPr>
          <w:rFonts w:ascii="Times New Roman" w:cs="Times New Roman" w:eastAsia="Times New Roman" w:hAnsi="Times New Roman"/>
          <w:i/>
          <w:iCs/>
          <w:sz w:val="24"/>
          <w:szCs w:val="24"/>
        </w:rPr>
        <w:t xml:space="preserve">RSC Advances, 10</w:t>
      </w:r>
      <w:r>
        <w:rPr>
          <w:rFonts w:ascii="Times New Roman" w:cs="Times New Roman" w:eastAsia="Times New Roman" w:hAnsi="Times New Roman"/>
          <w:i w:val="false"/>
          <w:iCs w:val="false"/>
          <w:sz w:val="24"/>
          <w:szCs w:val="24"/>
        </w:rPr>
        <w:t xml:space="preserve">(31), 17955–17999. https://doi.org/10.1039/C9RA09554C</w:t>
      </w:r>
    </w:p>
    <w:p>
      <w:pPr>
        <w:spacing w:after="140" w:line="360"/>
        <w:ind w:left="567" w:hanging="567"/>
        <w:jc w:val="left"/>
      </w:pPr>
      <w:r>
        <w:rPr>
          <w:rFonts w:ascii="Times New Roman" w:cs="Times New Roman" w:eastAsia="Times New Roman" w:hAnsi="Times New Roman"/>
          <w:i w:val="false"/>
          <w:iCs w:val="false"/>
          <w:sz w:val="24"/>
          <w:szCs w:val="24"/>
        </w:rPr>
        <w:t xml:space="preserve">Edalat, S. (2026). Advancing circular economy of bio-based building materials: Critical gaps and future prospects. </w:t>
      </w:r>
      <w:r>
        <w:rPr>
          <w:rFonts w:ascii="Times New Roman" w:cs="Times New Roman" w:eastAsia="Times New Roman" w:hAnsi="Times New Roman"/>
          <w:i/>
          <w:iCs/>
          <w:sz w:val="24"/>
          <w:szCs w:val="24"/>
        </w:rPr>
        <w:t xml:space="preserve">Circular Economy and Sustainability, 6</w:t>
      </w:r>
      <w:r>
        <w:rPr>
          <w:rFonts w:ascii="Times New Roman" w:cs="Times New Roman" w:eastAsia="Times New Roman" w:hAnsi="Times New Roman"/>
          <w:i w:val="false"/>
          <w:iCs w:val="false"/>
          <w:sz w:val="24"/>
          <w:szCs w:val="24"/>
        </w:rPr>
        <w:t xml:space="preserve">, 151. https://doi.org/10.1007/s43615-026-00729-1</w:t>
      </w:r>
    </w:p>
    <w:p>
      <w:pPr>
        <w:spacing w:after="140" w:line="360"/>
        <w:ind w:left="567" w:hanging="567"/>
        <w:jc w:val="left"/>
      </w:pPr>
      <w:r>
        <w:rPr>
          <w:rFonts w:ascii="Times New Roman" w:cs="Times New Roman" w:eastAsia="Times New Roman" w:hAnsi="Times New Roman"/>
          <w:i w:val="false"/>
          <w:iCs w:val="false"/>
          <w:sz w:val="24"/>
          <w:szCs w:val="24"/>
        </w:rPr>
        <w:t xml:space="preserve">Lee, J.-Y., Lee, S.-E., &amp; Lee, D.-W. (2022). Current status and future prospects of biological routes to bio-based products using raw materials, wastes, and residues as renewable resources. </w:t>
      </w:r>
      <w:r>
        <w:rPr>
          <w:rFonts w:ascii="Times New Roman" w:cs="Times New Roman" w:eastAsia="Times New Roman" w:hAnsi="Times New Roman"/>
          <w:i/>
          <w:iCs/>
          <w:sz w:val="24"/>
          <w:szCs w:val="24"/>
        </w:rPr>
        <w:t xml:space="preserve">Critical Reviews in Environmental Science and Technology, 52</w:t>
      </w:r>
      <w:r>
        <w:rPr>
          <w:rFonts w:ascii="Times New Roman" w:cs="Times New Roman" w:eastAsia="Times New Roman" w:hAnsi="Times New Roman"/>
          <w:i w:val="false"/>
          <w:iCs w:val="false"/>
          <w:sz w:val="24"/>
          <w:szCs w:val="24"/>
        </w:rPr>
        <w:t xml:space="preserve">(14). https://doi.org/10.1080/10643389.2021.1880259</w:t>
      </w:r>
    </w:p>
    <w:p>
      <w:pPr>
        <w:spacing w:after="140" w:line="360"/>
        <w:ind w:left="567" w:hanging="567"/>
        <w:jc w:val="left"/>
      </w:pPr>
      <w:r>
        <w:rPr>
          <w:rFonts w:ascii="Times New Roman" w:cs="Times New Roman" w:eastAsia="Times New Roman" w:hAnsi="Times New Roman"/>
          <w:i w:val="false"/>
          <w:iCs w:val="false"/>
          <w:sz w:val="24"/>
          <w:szCs w:val="24"/>
        </w:rPr>
        <w:t xml:space="preserve">O’Rourke, J., &amp; Seepersad, C. C. (2015). Using biology as a model for sustainability: Insights for ecodesign and bioinspired design practitioners. </w:t>
      </w:r>
      <w:r>
        <w:rPr>
          <w:rFonts w:ascii="Times New Roman" w:cs="Times New Roman" w:eastAsia="Times New Roman" w:hAnsi="Times New Roman"/>
          <w:i/>
          <w:iCs/>
          <w:sz w:val="24"/>
          <w:szCs w:val="24"/>
        </w:rPr>
        <w:t xml:space="preserve">Proceedings of the 20th International Conference on Engineering Design (ICED15)</w:t>
      </w:r>
      <w:r>
        <w:rPr>
          <w:rFonts w:ascii="Times New Roman" w:cs="Times New Roman" w:eastAsia="Times New Roman" w:hAnsi="Times New Roman"/>
          <w:i w:val="false"/>
          <w:iCs w:val="false"/>
          <w:sz w:val="24"/>
          <w:szCs w:val="24"/>
        </w:rPr>
        <w:t xml:space="preserve">, Milano, İtalya, 27–30 Temmuz 2015.</w:t>
      </w:r>
    </w:p>
    <w:p>
      <w:pPr>
        <w:pStyle w:val="Heading1"/>
        <w:spacing w:after="180" w:before="480" w:line="360"/>
      </w:pPr>
      <w:r>
        <w:rPr>
          <w:rFonts w:ascii="Times New Roman" w:cs="Times New Roman" w:eastAsia="Times New Roman" w:hAnsi="Times New Roman"/>
          <w:b/>
          <w:bCs/>
          <w:sz w:val="24"/>
          <w:szCs w:val="24"/>
        </w:rPr>
        <w:t xml:space="preserve">EK. Kaynak Doğrulama Notları (yazar kullanımı için)</w:t>
      </w:r>
    </w:p>
    <w:p>
      <w:pPr>
        <w:spacing w:after="160" w:line="360"/>
        <w:jc w:val="both"/>
      </w:pPr>
      <w:r>
        <w:rPr>
          <w:rFonts w:ascii="Times New Roman" w:cs="Times New Roman" w:eastAsia="Times New Roman" w:hAnsi="Times New Roman"/>
          <w:i/>
          <w:iCs/>
          <w:sz w:val="24"/>
          <w:szCs w:val="24"/>
        </w:rPr>
        <w:t xml:space="preserve">Nihai metinde yer almayacaktır; yalnızca kaynak denetimi içindir.</w:t>
      </w:r>
    </w:p>
    <w:p>
      <w:pPr>
        <w:spacing w:after="120" w:line="300"/>
        <w:ind w:left="400" w:hanging="400"/>
        <w:jc w:val="both"/>
      </w:pPr>
      <w:r>
        <w:rPr>
          <w:rFonts w:ascii="Times New Roman" w:cs="Times New Roman" w:eastAsia="Times New Roman" w:hAnsi="Times New Roman"/>
          <w:sz w:val="20"/>
          <w:szCs w:val="20"/>
        </w:rPr>
        <w:t xml:space="preserve">1. Metindeki on sekiz iddianın tamamı, tam metni incelenen kaynaklardan doğrulanmıştır. Edalat (2026) künyesi makale metninden teyit edilmiştir: cilt 6, makale numarası 151, derleme makalesi; alınış 7 Temmuz 2025, kabul 19 Aralık 2025, çevrimiçi yayın 26 Mart 2026, tek yazarlı.</w:t>
      </w:r>
    </w:p>
    <w:p>
      <w:pPr>
        <w:spacing w:after="120" w:line="300"/>
        <w:ind w:left="400" w:hanging="400"/>
        <w:jc w:val="both"/>
      </w:pPr>
      <w:r>
        <w:rPr>
          <w:rFonts w:ascii="Times New Roman" w:cs="Times New Roman" w:eastAsia="Times New Roman" w:hAnsi="Times New Roman"/>
          <w:sz w:val="20"/>
          <w:szCs w:val="20"/>
        </w:rPr>
        <w:t xml:space="preserve">2. 4.1’deki oranlar (%39 CO2, %40 ham madde, en az %30 katı atık) Edalat’ın kendi verisi değil, kaynaklarından aktardığı değerlerdir. Metinde bu nedenle “aktarmaktadır” ifadesi kullanılmıştır. Doğrudan atıf yapılacaksa Edalat’ın kaynakçasındaki ilgili künyeler alınmalıdır.</w:t>
      </w:r>
    </w:p>
    <w:p>
      <w:pPr>
        <w:spacing w:after="120" w:line="300"/>
        <w:ind w:left="400" w:hanging="400"/>
        <w:jc w:val="both"/>
      </w:pPr>
      <w:r>
        <w:rPr>
          <w:rFonts w:ascii="Times New Roman" w:cs="Times New Roman" w:eastAsia="Times New Roman" w:hAnsi="Times New Roman"/>
          <w:sz w:val="20"/>
          <w:szCs w:val="20"/>
        </w:rPr>
        <w:t xml:space="preserve">3. 7. ALT BÖLÜM İÇİN ZORUNLU KONUMLANDIRMA: Edalat’ın (2026) altı ölçütü şunlardır: genel sürdürülebilirlik, atık kökenli veya yenilenebilir tedarik, sera gazı azaltımı, geri dönüştürülebilirlik ve ömür sonu, coğrafi erişilebilirlik, bağlama özgü nitelikler. Bu çerçevede deneyimsel/duyusal bir boyut ve dirençlilik kapasitesi boyutu BULUNMAMAKTADIR. Dolayısıyla 7. alt bölümde önerilecek çerçevenin özgün katkısı tam olarak bu iki boyuttur ve bu, metinde açıkça belirtilmelidir. Aksi hâlde çerçeve, mevcut bir çerçevenin tekrarı olarak görünebilir.</w:t>
      </w:r>
    </w:p>
    <w:p>
      <w:pPr>
        <w:spacing w:after="120" w:line="300"/>
        <w:ind w:left="400" w:hanging="400"/>
        <w:jc w:val="both"/>
      </w:pPr>
      <w:r>
        <w:rPr>
          <w:rFonts w:ascii="Times New Roman" w:cs="Times New Roman" w:eastAsia="Times New Roman" w:hAnsi="Times New Roman"/>
          <w:sz w:val="20"/>
          <w:szCs w:val="20"/>
        </w:rPr>
        <w:t xml:space="preserve">4. Le vd. (2023, 2024) yazarın tercihi doğrultusunda bu alt bölümde kullanılmamıştır. Döngüsel biyolojik temelli yapı malzemesi tanımı 3. alt bölümde Le vd. (2023) üzerinden verilmişti; o atıf da kaldırılacaksa tanımın Edalat (2026) üzerinden yeniden kurulması gerekir.</w:t>
      </w:r>
    </w:p>
    <w:p>
      <w:pPr>
        <w:spacing w:after="120" w:line="300"/>
        <w:ind w:left="400" w:hanging="400"/>
        <w:jc w:val="both"/>
      </w:pPr>
      <w:r>
        <w:rPr>
          <w:rFonts w:ascii="Times New Roman" w:cs="Times New Roman" w:eastAsia="Times New Roman" w:hAnsi="Times New Roman"/>
          <w:sz w:val="20"/>
          <w:szCs w:val="20"/>
        </w:rPr>
        <w:t xml:space="preserve">5. Ellen MacArthur Foundation ile McDonough ve Braungart kaynakları temin edilemediği için biyolojik/teknik besin döngüsü ayrımı ve iç halkalar tartışması metne ALINMAMIŞTIR. Plana göre bu başlıkta yer alacaktı. Temin edilirse 4.1’in sonuna bir paragraf olarak eklenebilir.</w:t>
      </w:r>
    </w:p>
    <w:p>
      <w:pPr>
        <w:spacing w:after="120" w:line="300"/>
        <w:ind w:left="400" w:hanging="400"/>
        <w:jc w:val="both"/>
      </w:pPr>
      <w:r>
        <w:rPr>
          <w:rFonts w:ascii="Times New Roman" w:cs="Times New Roman" w:eastAsia="Times New Roman" w:hAnsi="Times New Roman"/>
          <w:sz w:val="20"/>
          <w:szCs w:val="20"/>
        </w:rPr>
        <w:t xml:space="preserve">6. ISO 20887 temin edilmemiştir; sökülebilirlik için tasarım kavramı Edalat (2026) üzerinden verilmiştir.</w:t>
      </w:r>
    </w:p>
    <w:p>
      <w:pPr>
        <w:spacing w:after="120" w:line="300"/>
        <w:ind w:left="400" w:hanging="400"/>
        <w:jc w:val="both"/>
      </w:pPr>
      <w:r>
        <w:rPr>
          <w:rFonts w:ascii="Times New Roman" w:cs="Times New Roman" w:eastAsia="Times New Roman" w:hAnsi="Times New Roman"/>
          <w:sz w:val="20"/>
          <w:szCs w:val="20"/>
        </w:rPr>
        <w:t xml:space="preserve">7. TABLO NUMARALANDIRMA: Bu alt bölümde Tablo 3 yer almaktadır. Planda 7. alt bölüm için öngörülen tablolar buna bağlı olarak Tablo 4 ve Tablo 5 olacaktır.</w:t>
      </w:r>
    </w:p>
    <w:p>
      <w:pPr>
        <w:spacing w:after="120" w:line="300"/>
        <w:ind w:left="400" w:hanging="400"/>
        <w:jc w:val="both"/>
      </w:pPr>
      <w:r>
        <w:rPr>
          <w:rFonts w:ascii="Times New Roman" w:cs="Times New Roman" w:eastAsia="Times New Roman" w:hAnsi="Times New Roman"/>
          <w:sz w:val="20"/>
          <w:szCs w:val="20"/>
        </w:rPr>
        <w:t xml:space="preserve">8. HACİM: Gövde yaklaşık 840 kelimedir; plandaki hedef 900’dü. Yaklaşık 60 kelimelik genişletme payı vardır.</w:t>
      </w:r>
    </w:p>
    <w:p>
      <w:pPr>
        <w:spacing w:after="120" w:line="300"/>
        <w:ind w:left="400" w:hanging="400"/>
        <w:jc w:val="both"/>
      </w:pPr>
      <w:r>
        <w:rPr>
          <w:rFonts w:ascii="Times New Roman" w:cs="Times New Roman" w:eastAsia="Times New Roman" w:hAnsi="Times New Roman"/>
          <w:sz w:val="20"/>
          <w:szCs w:val="20"/>
        </w:rPr>
        <w:t xml:space="preserve">9. Bu alt bölümde yazarın kendi doktora tezinden hiçbir veri veya atıf kullanılmamıştır.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Döngüsel Malzeme Sistemleri ve Biyotasarım</dc:title>
  <dc:creator>Betül Ünal</dc:creator>
  <dc:description>İç Mimarlıkta Sürdürülebilir Malzeme Seçimi ve Döngüsel Tasarım — 4. bölüm taslağı</dc:description>
  <cp:lastModifiedBy>Un-named</cp:lastModifiedBy>
  <cp:revision>1</cp:revision>
  <dcterms:created xsi:type="dcterms:W3CDTF">2026-10-01T08:28:11.436Z</dcterms:created>
  <dcterms:modified xsi:type="dcterms:W3CDTF">2026-10-01T08:28:11.439Z</dcterms:modified>
</cp:coreProperties>
</file>

<file path=docProps/custom.xml><?xml version="1.0" encoding="utf-8"?>
<Properties xmlns="http://schemas.openxmlformats.org/officeDocument/2006/custom-properties" xmlns:vt="http://schemas.openxmlformats.org/officeDocument/2006/docPropsVTypes"/>
</file>