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0"/>
          <w:szCs w:val="30"/>
        </w:rPr>
        <w:t xml:space="preserve">BİYOTASARIM VE MALZEME SEÇİMİNİN YENİDEN TANIMLANMASI: İÇ MİMARLIKTA DÖNGÜSELLİK VE DİRENÇLİLİK</w:t>
      </w:r>
    </w:p>
    <w:p>
      <w:pPr>
        <w:spacing w:after="520" w:line="360"/>
        <w:jc w:val="center"/>
      </w:pPr>
      <w:r>
        <w:rPr>
          <w:rFonts w:ascii="Times New Roman" w:cs="Times New Roman" w:eastAsia="Times New Roman" w:hAnsi="Times New Roman"/>
          <w:sz w:val="24"/>
          <w:szCs w:val="24"/>
        </w:rPr>
        <w:t xml:space="preserve">Betül Ünal</w:t>
      </w:r>
    </w:p>
    <w:p>
      <w:pPr>
        <w:pStyle w:val="Heading1"/>
        <w:spacing w:after="220" w:before="440" w:line="360"/>
      </w:pPr>
      <w:r>
        <w:rPr>
          <w:rFonts w:ascii="Times New Roman" w:cs="Times New Roman" w:eastAsia="Times New Roman" w:hAnsi="Times New Roman"/>
          <w:b/>
          <w:bCs/>
          <w:sz w:val="26"/>
          <w:szCs w:val="26"/>
        </w:rPr>
        <w:t xml:space="preserve">ÖZ</w:t>
      </w:r>
    </w:p>
    <w:p>
      <w:pPr>
        <w:spacing w:after="200" w:line="360"/>
        <w:jc w:val="both"/>
      </w:pPr>
      <w:r>
        <w:rPr>
          <w:rFonts w:ascii="Times New Roman" w:cs="Times New Roman" w:eastAsia="Times New Roman" w:hAnsi="Times New Roman"/>
          <w:sz w:val="24"/>
          <w:szCs w:val="24"/>
        </w:rPr>
        <w:t xml:space="preserve">Yapılı çevrenin kaynak tüketimi ve atık üretimi, malzeme kararlarının yeniden düşünülmesini zorunlu kılmaktadır. Biyolojik temelli malzemeler sıklıkla geleneksel malzemelerin sürdürülebilir birer alternatifi olarak sunulmakta; ancak bu kurgu malzeme kararının yapısını değiştirmediği için sınırlı bir dönüşüm üretmektedir. Bölüm, iç mimarlıkta biyolojik temelli malzeme seçimini kuramsal bir çerçevede ele almakta ve biyotasarımın yalnızca yeni malzeme seçenekleri sunmakla kalmayıp malzeme seçiminin ölçütlerini ve tasarımcının kaynak, üretim, kullanım ve atıkla kurduğu ilişkiyi yeniden tanımladığını ileri sürmektedir. Çalışma biyotasarımı komşu kavramlardan ayırmakta, biyolojik temelli malzemeleri doğanın tasarım sürecine katılım düzeyine göre sınıflandırmakta ve biyolojik kökenin tek başına ne sürdürülebilirlik ne döngüsellik güvencesi oluşturduğunu göstermektedir: döngüsellik malzemenin kökeninde değil bileşiminde, birleşiminde ve ömür sonu senaryosunda kararlaşmaktadır. Adaptasyon, değişkenlik ve zamansallık özellikleri dirençlilik kavramı üzerinden değerlendirilmekte; bu malzemelerin fiilî uygulama alanının büyük ölçüde iç mekân olduğu ortaya konmaktadır. Son olarak iç mekân ölçeğine özgü altı boyutlu bir malzeme değerlendirme çerçevesi önerilmektedir.</w:t>
      </w:r>
    </w:p>
    <w:p>
      <w:pPr>
        <w:spacing w:after="0" w:line="360"/>
        <w:jc w:val="both"/>
      </w:pPr>
      <w:r>
        <w:rPr>
          <w:rFonts w:ascii="Times New Roman" w:cs="Times New Roman" w:eastAsia="Times New Roman" w:hAnsi="Times New Roman"/>
          <w:i w:val="false"/>
          <w:iCs w:val="false"/>
          <w:sz w:val="24"/>
          <w:szCs w:val="24"/>
        </w:rPr>
        <w:t xml:space="preserve">Anahtar kelimeler: </w:t>
      </w:r>
      <w:r>
        <w:rPr>
          <w:rFonts w:ascii="Times New Roman" w:cs="Times New Roman" w:eastAsia="Times New Roman" w:hAnsi="Times New Roman"/>
          <w:i w:val="false"/>
          <w:iCs w:val="false"/>
          <w:sz w:val="24"/>
          <w:szCs w:val="24"/>
        </w:rPr>
        <w:t xml:space="preserve">biyotasarım, biyolojik temelli malzeme, döngüsel tasarım, malzeme seçimi, mekânsal dirençlilik, iç mimarlık</w:t>
      </w:r>
    </w:p>
    <w:p>
      <w:pPr>
        <w:pStyle w:val="Heading1"/>
        <w:spacing w:after="220" w:before="440" w:line="360"/>
      </w:pPr>
      <w:r>
        <w:rPr>
          <w:rFonts w:ascii="Times New Roman" w:cs="Times New Roman" w:eastAsia="Times New Roman" w:hAnsi="Times New Roman"/>
          <w:b/>
          <w:bCs/>
          <w:sz w:val="26"/>
          <w:szCs w:val="26"/>
        </w:rPr>
        <w:t xml:space="preserve">1. GİRİŞ</w:t>
      </w:r>
    </w:p>
    <w:p>
      <w:pPr>
        <w:spacing w:after="160" w:line="360"/>
        <w:jc w:val="both"/>
      </w:pPr>
      <w:r>
        <w:rPr>
          <w:rFonts w:ascii="Times New Roman" w:cs="Times New Roman" w:eastAsia="Times New Roman" w:hAnsi="Times New Roman"/>
          <w:sz w:val="24"/>
          <w:szCs w:val="24"/>
        </w:rPr>
        <w:t xml:space="preserve">İnsan etkinliğinin yeryüzünün çevresel sistemleri üzerindeki etkisi, bugün yeni bir jeolojik dönem — insan egemenliğindeki Antroposen — olarak adlandırılacak düzeye ulaşmıştır (Heymans ve diğ., 2019). Bu dönüşümün en belirgin taşıyıcılarından biri yapılı çevredir. Edalat (2026), yapı sektörünün diğer tüm endüstriyel sektörlerle karşılaştırıldığında doğal çevre üzerinde en önemli etkiyi yarattığını; sektörün küresel karbondioksit salımının yaklaşık %39’undan sorumlu olduğunu, ham maddelerin yaklaşık %40’ını tükettiğini ve inşaat ile yıkım atıkları yoluyla katı atığın en az %30’unu ürettiğini aktarmaktadır. Etkinin kaynağı yalnızca ölçek değil, üretim mantığıdır: Chayaamor-Heil ve diğ. (2024), ağırlıklı olarak fosil yakıtların ve ham maddelerin çıkarımına dayanan geleneksel inşaat sektörünün çevre kirliliğine ve doğal kaynakların tükenmesine önemli ölçüde katkıda bulunduğunu belirtmekte; Lee ve diğ. (2022) ise mevcut fosil temelli ticari ürünlerin doğal kaynak rezervleri açısından ciddi bir tehdit oluşturduğunu ortaya koymaktadır.</w:t>
      </w:r>
    </w:p>
    <w:p>
      <w:pPr>
        <w:spacing w:after="160" w:line="360"/>
        <w:jc w:val="both"/>
      </w:pPr>
      <w:r>
        <w:rPr>
          <w:rFonts w:ascii="Times New Roman" w:cs="Times New Roman" w:eastAsia="Times New Roman" w:hAnsi="Times New Roman"/>
          <w:sz w:val="24"/>
          <w:szCs w:val="24"/>
        </w:rPr>
        <w:t xml:space="preserve">Biyolojik temelli malzemeler bu tabloya yönelik yanıtlardan biri olarak gündeme gelmektedir. Bourbia ve diğ. (2023), bu malzemelerin yenilenebilir olma, düşük gömülü enerjiye sahip olma ve ısıl düzenleme kapasitesi gibi avantajlar sunduğunu belirtmektedir. Andréen ve Goidea (2022) ise biyomalzemelerin inşaat sektörünün olumsuz ekolojik etkisini azaltmak için potansiyel bir araç oluşturduğunu; ancak bu potansiyelin en üst düzeye çıkarılabilmesi için geleneksel yapı malzemelerinden önemli ölçüde farklı yaklaşımlar gerektirdiğini vurgulamaktadır. Bu uyarı, bölümün çıkış noktasını oluşturmaktadır: biyolojik temelli bir malzemeyi yerleşik bir malzemenin yerine koymak, tasarım yaklaşımını değiştirmediği sürece sınırlı bir dönüşüm üretir.</w:t>
      </w:r>
    </w:p>
    <w:p>
      <w:pPr>
        <w:spacing w:after="160" w:line="360"/>
        <w:jc w:val="both"/>
      </w:pPr>
      <w:r>
        <w:rPr>
          <w:rFonts w:ascii="Times New Roman" w:cs="Times New Roman" w:eastAsia="Times New Roman" w:hAnsi="Times New Roman"/>
          <w:sz w:val="24"/>
          <w:szCs w:val="24"/>
        </w:rPr>
        <w:t xml:space="preserve">Literatür bu sınırlılığı iki düzeyde bildirmektedir. Birincisi kavramsaldır: Kırbaş Akyürek ve diğ. (2020), canlı ve üretilmiş bileşenlerin bir araya gelmesini adlandıran terminolojinin çeşitlilik içinde sıkışıp kaldığını ve bu durumun olgunun anlaşılmasını güçleştirdiğini ortaya koymaktadır. Benzer bir belirsizlik döngüsellik kavramında da görülmektedir; Kirchherr ve diğ. (2017), 114 döngüsel ekonomi tanımını on yedi boyutta kodladıkları çalışmalarında kavramın en sık azaltma, yeniden kullanma ve geri dönüştürme etkinliklerinin bir bileşimi olarak betimlendiğini, buna karşılık döngüselliğin sistemsel bir değişimi gerektirdiğinin çoğu kez vurgulanmadığını göstermektedir. İkincisi malzemenin kendisine ilişkindir: O’Rourke ve Seepersad (2015), biyolojik organizmaların sunduğu çevresel avantajlara ilişkin iddiaların genel olarak doğru olmakla birlikte her avantaj için önemli istisnalar barındırdığını göstermektedir. Dolayısıyla biyolojik köken, sürdürülebilirliğin de döngüselliğin de kendiliğinden güvencesi değildir.</w:t>
      </w:r>
    </w:p>
    <w:p>
      <w:pPr>
        <w:spacing w:after="160" w:line="360"/>
        <w:jc w:val="both"/>
      </w:pPr>
      <w:r>
        <w:rPr>
          <w:rFonts w:ascii="Times New Roman" w:cs="Times New Roman" w:eastAsia="Times New Roman" w:hAnsi="Times New Roman"/>
          <w:sz w:val="24"/>
          <w:szCs w:val="24"/>
        </w:rPr>
        <w:t xml:space="preserve">Tartışmanın iç mimarlık açısından özgül bir karşılığı bulunmaktadır. Edalat (2026), ahşap dışı biyolojik temelli yapı malzemelerinin iç ve dış yüzey kaplamaları, ısıl ve akustik yalıtım ile mobilya üretimi gibi uygulamalarda kullanıldığını; buna karşılık sınırlı mekanik dayanımları nedeniyle taşıyıcı yapı elemanlarında nadiren yer aldığını ortaya koymaktadır. Başka bir deyişle bu malzemelerin fiilî uygulama alanı büyük ölçüde iç mekândır; bu durum iç mimarlığı, söz konusu malzemelerin yapılı çevreye girişinde belirleyici bir ölçek hâline getirmektedir.</w:t>
      </w:r>
    </w:p>
    <w:p>
      <w:pPr>
        <w:spacing w:after="160" w:line="360"/>
        <w:jc w:val="both"/>
      </w:pPr>
      <w:r>
        <w:rPr>
          <w:rFonts w:ascii="Times New Roman" w:cs="Times New Roman" w:eastAsia="Times New Roman" w:hAnsi="Times New Roman"/>
          <w:i/>
          <w:iCs/>
          <w:sz w:val="24"/>
          <w:szCs w:val="24"/>
        </w:rPr>
        <w:t xml:space="preserve">Araştırma sorusu: </w:t>
      </w:r>
      <w:r>
        <w:rPr>
          <w:rFonts w:ascii="Times New Roman" w:cs="Times New Roman" w:eastAsia="Times New Roman" w:hAnsi="Times New Roman"/>
          <w:i w:val="false"/>
          <w:iCs w:val="false"/>
          <w:sz w:val="24"/>
          <w:szCs w:val="24"/>
        </w:rPr>
        <w:t xml:space="preserve">İç mimarlıkta biyolojik temelli malzeme seçimi, sürdürülebilirlikten döngüselliğe ve döngüsellikten dirençliliğe geçişi sağlayan bir tasarım yaklaşımı olarak nasıl kavramsallaştırılabilir?</w:t>
      </w:r>
    </w:p>
    <w:p>
      <w:pPr>
        <w:spacing w:after="160" w:line="360"/>
        <w:jc w:val="both"/>
      </w:pPr>
      <w:r>
        <w:rPr>
          <w:rFonts w:ascii="Times New Roman" w:cs="Times New Roman" w:eastAsia="Times New Roman" w:hAnsi="Times New Roman"/>
          <w:i/>
          <w:iCs/>
          <w:sz w:val="24"/>
          <w:szCs w:val="24"/>
        </w:rPr>
        <w:t xml:space="preserve">Hipotez: </w:t>
      </w:r>
      <w:r>
        <w:rPr>
          <w:rFonts w:ascii="Times New Roman" w:cs="Times New Roman" w:eastAsia="Times New Roman" w:hAnsi="Times New Roman"/>
          <w:i w:val="false"/>
          <w:iCs w:val="false"/>
          <w:sz w:val="24"/>
          <w:szCs w:val="24"/>
        </w:rPr>
        <w:t xml:space="preserve">Biyotasarım ve biyolojik temelli malzemeler, iç mimarlıkta yalnızca daha sürdürülebilir malzeme seçenekleri sunmamakta; malzeme seçiminin ölçütlerini, malzemenin yaşam döngüsünü ve tasarımcının kaynak, üretim, kullanım ve atıkla kurduğu ilişkiyi yeniden tanımlamaktadır. Buna bağlı olarak bir malzemenin döngüselliği ve dirençliliği biyolojik kökeninde değil, tasarım aşamasında verilen bileşim, birleşim ve ömür sonu kararlarında belirlenmektedir.</w:t>
      </w:r>
    </w:p>
    <w:p>
      <w:pPr>
        <w:spacing w:after="160" w:line="360"/>
        <w:jc w:val="both"/>
      </w:pPr>
      <w:r>
        <w:rPr>
          <w:rFonts w:ascii="Times New Roman" w:cs="Times New Roman" w:eastAsia="Times New Roman" w:hAnsi="Times New Roman"/>
          <w:sz w:val="24"/>
          <w:szCs w:val="24"/>
        </w:rPr>
        <w:t xml:space="preserve">Bölüm bu soruyu altı adımda ele almaktadır: biyotasarım kavramının komşu kavramlardan ayrımı (Tablo 1), biyolojik temelli malzemelerin sınıflandırılması (Tablo 2), döngüsel malzeme sistemleri, dirençlilik tartışması, iç mekân ölçeğine geçiş ve bir değerlendirme çerçevesi önerisi (Tablo 3 ve Tablo 4). Sekizinci başlık bulguları üç düzlemde toparlar (Tablo 5). Bölüm, seçilmiş kaynaklara dayanan kuramsal bir derleme niteliğindedir; sistematik bir yazın taraması ya da teknik bir performans değerlendirmesi amaçlamamaktadır.</w:t>
      </w:r>
    </w:p>
    <w:p>
      <w:pPr>
        <w:pStyle w:val="Heading1"/>
        <w:spacing w:after="220" w:before="440" w:line="360"/>
      </w:pPr>
      <w:r>
        <w:rPr>
          <w:rFonts w:ascii="Times New Roman" w:cs="Times New Roman" w:eastAsia="Times New Roman" w:hAnsi="Times New Roman"/>
          <w:b/>
          <w:bCs/>
          <w:sz w:val="26"/>
          <w:szCs w:val="26"/>
        </w:rPr>
        <w:t xml:space="preserve">2. BİYOTASARIM KAVRAMI VE PARADİGMA DÖNÜŞÜMÜ</w:t>
      </w:r>
    </w:p>
    <w:p>
      <w:pPr>
        <w:spacing w:after="160" w:line="360"/>
        <w:jc w:val="both"/>
      </w:pPr>
      <w:r>
        <w:rPr>
          <w:rFonts w:ascii="Times New Roman" w:cs="Times New Roman" w:eastAsia="Times New Roman" w:hAnsi="Times New Roman"/>
          <w:sz w:val="24"/>
          <w:szCs w:val="24"/>
        </w:rPr>
        <w:t xml:space="preserve">Biyoloji ile tasarım arasındaki ilişkiyi tanımlayan kavramlar son yirmi yılda hızla çoğalmış; ancak bu çoğalma ortak bir terminoloji üretmemiştir. Bu başlıkta önce söz konusu belirsizliğin niteliği ortaya konmakta, ardından biyotasarımın komşu kavramlardan hangi noktada ayrıldığı ve bu ayrımın tasarımcının rolü açısından ne anlama geldiği tartışılmaktadır.</w:t>
      </w:r>
    </w:p>
    <w:p>
      <w:pPr>
        <w:pStyle w:val="Heading2"/>
        <w:spacing w:after="170" w:before="320" w:line="360"/>
      </w:pPr>
      <w:r>
        <w:rPr>
          <w:rFonts w:ascii="Times New Roman" w:cs="Times New Roman" w:eastAsia="Times New Roman" w:hAnsi="Times New Roman"/>
          <w:b/>
          <w:bCs/>
          <w:sz w:val="24"/>
          <w:szCs w:val="24"/>
        </w:rPr>
        <w:t xml:space="preserve">2.1. Terminolojik belirsizlik ve komşu kavramlar</w:t>
      </w:r>
    </w:p>
    <w:p>
      <w:pPr>
        <w:spacing w:after="160" w:line="360"/>
        <w:jc w:val="both"/>
      </w:pPr>
      <w:r>
        <w:rPr>
          <w:rFonts w:ascii="Times New Roman" w:cs="Times New Roman" w:eastAsia="Times New Roman" w:hAnsi="Times New Roman"/>
          <w:sz w:val="24"/>
          <w:szCs w:val="24"/>
        </w:rPr>
        <w:t xml:space="preserve">Kırbaş Akyürek ve diğ. (2020), yapı tasarımında canlı ve üretilmiş bileşenlerin bir araya gelmesini konu alan terminolojiyi, seksen yenilikçi örneği ve bu alanda profesyonel olarak çalışan yirmi uzmanın görüşlerini inceleyerek araştırmışlardır. Örneklerin tanımlanmasında “biyo” önekiyle üretilmiş özelleştirilmiş terimler (biyobeton, biyotuğla gibi) ilk sırada yer almakta; bunları “akıllı”, “canlı” ve “büyüyen” nitelemeleri izlemektedir. Yazarların temel bulgusu, bu çeşitliliğe karşın literatürde genel kabul görmüş bir şemsiye terimin bulunmamasıdır. Belirsizliğin nedenini iki yönlü olarak açıklamaktadırlar: bir yanda doğanın, doğal ögelerin, mekanizmaların ve süreçlerin kapsamlı niteliği, diğer yanda aynı disiplin ve tekniklerin farklı disiplinlerce farklı biçimlerde yorumlanması. Tespit, Türkçe literatür açısından ayrıca önemlidir: kavramların kaynak dildeki kullanımda dahi yerleşmemiş olması, Türkçeye aktarımda yaşanan karışıklığın yalnızca çeviri kaynaklı olmadığını gösterir.</w:t>
      </w:r>
    </w:p>
    <w:p>
      <w:pPr>
        <w:spacing w:after="160" w:line="360"/>
        <w:jc w:val="both"/>
      </w:pPr>
      <w:r>
        <w:rPr>
          <w:rFonts w:ascii="Times New Roman" w:cs="Times New Roman" w:eastAsia="Times New Roman" w:hAnsi="Times New Roman"/>
          <w:sz w:val="24"/>
          <w:szCs w:val="24"/>
        </w:rPr>
        <w:t xml:space="preserve">Bu belirsizliğin en yaygın görünümü, biyotasarımın biyomimikriyle bir tutulmasıdır. Kırbaş Akyürek ve diğ. (2020) bu eşitlemenin neden sürdürülemeyeceğini açık biçimde ortaya koymaktadır: biyomimikrinin temel amacı biyolojik süreçleri teknolojilere çevirmektir; biyolojik malzeme kullanımına işaret etmez. Yazarlar aynı gerekçeyle komşu kavramları da ayırt etmektedir. Biyoesinlenme, biyolojik olmayan bilim ve teknoloji alanındaki araştırmaların benzetimini de içermektedir. Biyomerkezcilik esas olarak doğal çevre ile insan arasındaki ilişkiye odaklanır. Biyofili, insanın doğayla bağ kurarak duygusal ve biyolojik gereksinimlerini karşılamayı amaçlar. Biyomimarlık ise doğanın hem canlı hem cansız ögelerinden esinlenmeyi kapsar. Yazarlara göre bu kavramların kapsamı, canlı ve üretilmiş bileşenler arasındaki güncel bağları belirlemek için fazla geniştir (Tablo 1).</w:t>
      </w:r>
    </w:p>
    <w:p>
      <w:pPr>
        <w:keepNext/>
        <w:spacing w:after="140" w:before="400" w:line="240"/>
      </w:pPr>
      <w:r>
        <w:rPr>
          <w:rFonts w:ascii="Times New Roman" w:cs="Times New Roman" w:eastAsia="Times New Roman" w:hAnsi="Times New Roman"/>
          <w:sz w:val="22"/>
          <w:szCs w:val="22"/>
        </w:rPr>
        <w:t xml:space="preserve">Tablo 1. </w:t>
      </w:r>
      <w:r>
        <w:rPr>
          <w:rFonts w:ascii="Times New Roman" w:cs="Times New Roman" w:eastAsia="Times New Roman" w:hAnsi="Times New Roman"/>
          <w:i/>
          <w:iCs/>
          <w:sz w:val="22"/>
          <w:szCs w:val="22"/>
        </w:rPr>
        <w:t xml:space="preserve">Doğa ile tasarım arasındaki ilişkiyi tanımlayan kavramlar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300"/>
        <w:gridCol w:w="2150"/>
        <w:gridCol w:w="1726"/>
      </w:tblGrid>
      <w:tr>
        <w:trPr>
          <w:tblHeader/>
        </w:trPr>
        <w:tc>
          <w:tcPr>
            <w:tcW w:type="dxa" w:w="185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Kavram</w:t>
            </w:r>
          </w:p>
        </w:tc>
        <w:tc>
          <w:tcPr>
            <w:tcW w:type="dxa" w:w="33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Doğayla kurduğu ilişki</w:t>
            </w:r>
          </w:p>
        </w:tc>
        <w:tc>
          <w:tcPr>
            <w:tcW w:type="dxa" w:w="215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Odağı</w:t>
            </w:r>
          </w:p>
        </w:tc>
        <w:tc>
          <w:tcPr>
            <w:tcW w:type="dxa" w:w="1726"/>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Kaynak</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Biyomimikri</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süreçleri teknolojilere çevirir; biyolojik malzeme kullanımına işaret etmez</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Süreç ve strateji aktarımı</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Biyoesinlenme</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olmayan bilim ve teknoloji araştırmalarının benzetimini de içerir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Geniş esin alanı</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Biyomerkezcilik</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Doğal çevre ile insan arasındaki ilişkiye odaklanır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Etik ve ilişkisel konum</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Biyofili</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İnsanın doğayla bağ kurarak duygusal ve biyolojik gereksinimlerini karşılamasını amaçlar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Kullanıcı ve mekân deneyimi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Biyomimarlık</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Doğanın hem canlı hem cansız ögelerinden esinlenmeyi kapsar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Yapı ölçeği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tasarım</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Doğanın kendi süreci: genotipi fenotipe bağlayan morfogenetik süreçler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Model olarak doğa</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Andréen ve Goidea (2022)</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Biyotasarım</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malzeme ve/veya yaklaşımları insan uygulamaları için kullanır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Tasarımcının pratiği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Andréen ve Goidea (2022)</w:t>
            </w:r>
          </w:p>
        </w:tc>
      </w:tr>
    </w:tbl>
    <w:p>
      <w:pPr>
        <w:spacing w:after="340" w:before="130" w:line="240"/>
      </w:pPr>
      <w:r>
        <w:rPr>
          <w:rFonts w:ascii="Times New Roman" w:cs="Times New Roman" w:eastAsia="Times New Roman" w:hAnsi="Times New Roman"/>
          <w:i/>
          <w:iCs/>
          <w:sz w:val="18"/>
          <w:szCs w:val="18"/>
        </w:rPr>
        <w:t xml:space="preserve">Tablodaki kavram tanımları, belirtilen kaynakların kendi sentezlerine dayanmaktadır.</w:t>
      </w:r>
    </w:p>
    <w:p>
      <w:pPr>
        <w:spacing w:after="160" w:line="360"/>
        <w:jc w:val="both"/>
      </w:pPr>
      <w:r>
        <w:rPr>
          <w:rFonts w:ascii="Times New Roman" w:cs="Times New Roman" w:eastAsia="Times New Roman" w:hAnsi="Times New Roman"/>
          <w:sz w:val="24"/>
          <w:szCs w:val="24"/>
        </w:rPr>
        <w:t xml:space="preserve">Tablo 1’in gösterdiği dağılım, kavramların aynı soyutlama düzeyinde bulunmadığını da ortaya koymaktadır: biyomimikri ve biyoesinlenme bir aktarım yöntemini, biyomerkezcilik bir etik konumu, biyofili bir deneyim ilişkisini, biyomimarlık ise bir ölçeği adlandırmaktadır. Bu nedenle aralarındaki seçim yalnızca terim tercihi değil, tartışmanın hangi düzlemde yürütüleceğine ilişkin bir karardır. Bu ayrımlar içinde biyotasarım, yapı tasarımı açısından görece daha uygun bir terim olarak öne çıkmaktadır; nitekim Myers (2018) biyoloji ile teknolojinin kaynaşmasını bu terimle açıklamakta ve bunun biyomimikri yaklaşımının ötesine geçen yeni bir kavram önerdiğini belirtmektedir.</w:t>
      </w:r>
    </w:p>
    <w:p>
      <w:pPr>
        <w:pStyle w:val="Heading2"/>
        <w:spacing w:after="170" w:before="320" w:line="360"/>
      </w:pPr>
      <w:r>
        <w:rPr>
          <w:rFonts w:ascii="Times New Roman" w:cs="Times New Roman" w:eastAsia="Times New Roman" w:hAnsi="Times New Roman"/>
          <w:b/>
          <w:bCs/>
          <w:sz w:val="24"/>
          <w:szCs w:val="24"/>
        </w:rPr>
        <w:t xml:space="preserve">2.2. Biyolojik tasarım ile biyotasarım ayrımı</w:t>
      </w:r>
    </w:p>
    <w:p>
      <w:pPr>
        <w:spacing w:after="160" w:line="360"/>
        <w:jc w:val="both"/>
      </w:pPr>
      <w:r>
        <w:rPr>
          <w:rFonts w:ascii="Times New Roman" w:cs="Times New Roman" w:eastAsia="Times New Roman" w:hAnsi="Times New Roman"/>
          <w:sz w:val="24"/>
          <w:szCs w:val="24"/>
        </w:rPr>
        <w:t xml:space="preserve">Literatürdeki en keskin kavramsal ayrımlardan birini Andréen ve Goidea (2022) kurmaktadır. Yazarlara göre biyotasarım, biyolojik malzemeleri ve/veya yaklaşımları yapılar gibi insan uygulamaları için kullanan tasarımı ifade eder. Biyolojik tasarım ise genotipleri fenotiplere bağlayan morfogenetik süreçlere; genetik koddaki bilgiyi mekânsal biçim olarak ifade eden süreç ve etmenlere işaret etmektedir. Ayrım kavramsal olarak belirleyicidir: biyotasarım tasarımcının pratiğini, biyolojik tasarım ise doğanın kendi sürecini adlandırmaktadır ve ikincisi birincisi için bir model işlevi görür. Yazarlar iki alan arasındaki bağın hem doğrudan hem dolaylı olduğunu belirtmektedir. Doğrudandır; çünkü canlı organizmaların tasarıma dahil edilmesi, bu organizmaların yaşamını sürdüren süreçlerin göz önünde bulundurulmasını ve yaşadıkları yapılı çevrede bu süreçlere yer açılmasını gerektirir. Dolaylıdır; çünkü biyolojik ilkeler daha yüksek düzeyde karşılıklı bağlantı ve karmaşıklıkla çalışmayı olanaklı kıldığında, tasarımla başarılabileceklerin kapsamı genişler.</w:t>
      </w:r>
    </w:p>
    <w:p>
      <w:pPr>
        <w:spacing w:after="160" w:line="360"/>
        <w:jc w:val="both"/>
      </w:pPr>
      <w:r>
        <w:rPr>
          <w:rFonts w:ascii="Times New Roman" w:cs="Times New Roman" w:eastAsia="Times New Roman" w:hAnsi="Times New Roman"/>
          <w:sz w:val="24"/>
          <w:szCs w:val="24"/>
        </w:rPr>
        <w:t xml:space="preserve">Andréen ve Goidea (2022), biyolojik tasarımı bir model olarak alarak dört tasarım ilkesi türetmektedir. Birincisi çeşitlilik, ikincisi biçimin karmaşıklığı ve özgüllüğü, üçüncüsü dirençlilik yoluyla dayanıklılık, dördüncüsü geri besleme ve uyarlanmadır. Yazarlar bu ilkelerin kendi başlarına yeni olmadığını özellikle vurgulamaktadır: modern inşaat sanayisinin doğuşundan önce mimarlık uzun süre bu stratejilerle üretilmiş; hem tarihsel hem güncel vernaküler mimarlık bu stratejileri büyük ölçüde içermiştir (Andréen ve Goidea, 2022). İlkelerden üçüncüsü, beşinci başlıkta ayrıntılandırılacağı üzere, biyomalzemelerle çalışmanın kuramsal gerekçesini oluşturmaktadır.</w:t>
      </w:r>
    </w:p>
    <w:p>
      <w:pPr>
        <w:spacing w:after="160" w:line="360"/>
        <w:jc w:val="both"/>
      </w:pPr>
      <w:r>
        <w:rPr>
          <w:rFonts w:ascii="Times New Roman" w:cs="Times New Roman" w:eastAsia="Times New Roman" w:hAnsi="Times New Roman"/>
          <w:sz w:val="24"/>
          <w:szCs w:val="24"/>
        </w:rPr>
        <w:t xml:space="preserve">Dört ilke bir arada okunduğunda, biyotasarımı biyomimikriden ayıran nokta da görünür hâle gelmektedir. Kırbaş Akyürek ve diğ.’nin (2020) belirttiği gibi biyomimikrinin temel amacı biyolojik süreçleri teknolojilere çevirmektir; bu yaklaşımda aktarılan şey, doğanın geliştirdiği çözümün kendisidir. Andréen ve Goidea’nın (2022) ilkelerinde ise aktarılan şey çözüm değil, çözümü üreten mantıktır: doğanın biçimleri kopyalanmaz, doğanın biçim üretme biçimi incelenerek tasarım süreci yeniden kurgulanır. İlişki bu nedenle bir taklit değil, bir ilke çıkarma ilişkisidir; bu ayrım, izleyen başlıkta malzemelerin sınıflandırılmasında da belirleyici olacaktır.</w:t>
      </w:r>
    </w:p>
    <w:p>
      <w:pPr>
        <w:pStyle w:val="Heading2"/>
        <w:spacing w:after="170" w:before="320" w:line="360"/>
      </w:pPr>
      <w:r>
        <w:rPr>
          <w:rFonts w:ascii="Times New Roman" w:cs="Times New Roman" w:eastAsia="Times New Roman" w:hAnsi="Times New Roman"/>
          <w:b/>
          <w:bCs/>
          <w:sz w:val="24"/>
          <w:szCs w:val="24"/>
        </w:rPr>
        <w:t xml:space="preserve">2.3. Kesişme biçimleri ve tasarımcının rolü</w:t>
      </w:r>
    </w:p>
    <w:p>
      <w:pPr>
        <w:spacing w:after="160" w:line="360"/>
        <w:jc w:val="both"/>
      </w:pPr>
      <w:r>
        <w:rPr>
          <w:rFonts w:ascii="Times New Roman" w:cs="Times New Roman" w:eastAsia="Times New Roman" w:hAnsi="Times New Roman"/>
          <w:sz w:val="24"/>
          <w:szCs w:val="24"/>
        </w:rPr>
        <w:t xml:space="preserve">Biyotasarımın tek bir pratik olmadığı da belirtilmelidir. Camere ve Karana (2018), biyoloji ile tasarımı birbiriyle verimlendiren girişimleri dört kategoride toplamaktadır: artırılmış biyolojide tasarımcılar yeni biyolojik organizmalar tasarlamak üzere hücrelerin yeniden mühendisliğini amaçlar; biyotasarım kurgusunda biyoteknolojik geleceklerin sonuçları spekülatif senaryolar ve deneyimsel prototiplerle tartışmaya açılır; dijital biyofabrikasyonda biyolojik araçlar ileri hesaplama teknolojileriyle birleştirilir; büyüyen tasarım ise ürün tasarımı için yeni malzemelerin geliştirilmesine odaklanır ve ayırt edici noktası, malzeme büyüten tasarımcıların sentetik biyolojinin çözümlerini aramaması ve değiştirilmemiş biyolojik organizmalarla çalışmasıdır. Goidea ve diğ. (2022) ise alanı daha kapsayıcı bir ifadeyle, canlı maddeyle, canlı madde olarak ya da canlı madde için tasarlamak biçiminde tanımlamakta; böylece dört kategorinin ortak paydasını, organizmanın tasarım sürecindeki konumunun değişkenliğini tek bir cümlede toplamaktadır.</w:t>
      </w:r>
    </w:p>
    <w:p>
      <w:pPr>
        <w:spacing w:after="160" w:line="360"/>
        <w:jc w:val="both"/>
      </w:pPr>
      <w:r>
        <w:rPr>
          <w:rFonts w:ascii="Times New Roman" w:cs="Times New Roman" w:eastAsia="Times New Roman" w:hAnsi="Times New Roman"/>
          <w:sz w:val="24"/>
          <w:szCs w:val="24"/>
        </w:rPr>
        <w:t xml:space="preserve">Bu kavramsal çerçevenin tasarım pratiğindeki karşılığı, tasarımcının konumunun değişmesidir. Camere ve Karana (2018), geleneksel olarak tasarımcıların ürün kavramlarını somutlaştırmak için malzeme seçtiklerini; buna karşılık canlı organizmalarla üretilen malzemeler söz konusu olduğunda tasarımcıların giderek malzemenin erken geliştirme aşamalarına katıldığını belirtmekte ve bu geçişi malzeme seçiminden malzeme tasarımına doğru bir kayma olarak adlandırmaktadır. Bu kayma, bölümün hipotezinin kavramsal zeminini oluşturmakta ve izleyen başlıklarda malzeme, döngüsellik ve mekân ölçeklerinde sınanmaktadır.</w:t>
      </w:r>
    </w:p>
    <w:p>
      <w:pPr>
        <w:pStyle w:val="Heading1"/>
        <w:spacing w:after="220" w:before="440" w:line="360"/>
      </w:pPr>
      <w:r>
        <w:rPr>
          <w:rFonts w:ascii="Times New Roman" w:cs="Times New Roman" w:eastAsia="Times New Roman" w:hAnsi="Times New Roman"/>
          <w:b/>
          <w:bCs/>
          <w:sz w:val="26"/>
          <w:szCs w:val="26"/>
        </w:rPr>
        <w:t xml:space="preserve">3. BİYOLOJİK TEMELLİ MALZEMELER</w:t>
      </w:r>
    </w:p>
    <w:p>
      <w:pPr>
        <w:spacing w:after="160" w:line="360"/>
        <w:jc w:val="both"/>
      </w:pPr>
      <w:r>
        <w:rPr>
          <w:rFonts w:ascii="Times New Roman" w:cs="Times New Roman" w:eastAsia="Times New Roman" w:hAnsi="Times New Roman"/>
          <w:sz w:val="24"/>
          <w:szCs w:val="24"/>
        </w:rPr>
        <w:t xml:space="preserve">Önceki başlıkta biyotasarım bir tasarım yaklaşımı olarak ele alınmıştı. Bu başlıkta ise söz konusu yaklaşımın ürettiği malzemeler, yani nesne düzlemi incelenmektedir. Ayrım önemlidir: biyotasarım tasarımcının doğayla kurduğu ilişkiyi tanımlarken, biyomalzemeler bu ilişkinin maddi karşılığını oluşturur.</w:t>
      </w:r>
    </w:p>
    <w:p>
      <w:pPr>
        <w:pStyle w:val="Heading2"/>
        <w:spacing w:after="170" w:before="320" w:line="360"/>
      </w:pPr>
      <w:r>
        <w:rPr>
          <w:rFonts w:ascii="Times New Roman" w:cs="Times New Roman" w:eastAsia="Times New Roman" w:hAnsi="Times New Roman"/>
          <w:b/>
          <w:bCs/>
          <w:sz w:val="24"/>
          <w:szCs w:val="24"/>
        </w:rPr>
        <w:t xml:space="preserve">3.1. Üç yaklaşım: biyomimikri, biyolojik temelli, canlı</w:t>
      </w:r>
    </w:p>
    <w:p>
      <w:pPr>
        <w:spacing w:after="160" w:line="360"/>
        <w:jc w:val="both"/>
      </w:pPr>
      <w:r>
        <w:rPr>
          <w:rFonts w:ascii="Times New Roman" w:cs="Times New Roman" w:eastAsia="Times New Roman" w:hAnsi="Times New Roman"/>
          <w:sz w:val="24"/>
          <w:szCs w:val="24"/>
        </w:rPr>
        <w:t xml:space="preserve">Doğa temelli malzemeler literatürde sıklıkla tek bir başlık altında toplanmakta, bu da kavramsal bir belirsizlik üretmektedir. Chayaamor-Heil ve diğ. (2023), mimarlık ve inşaat alanındaki güncel araştırmaları derledikleri çalışmalarında bu alanı üç ayrı tasarım yaklaşımı olarak ele almaktadır: biyomimikri temelli, biyolojik temelli ve canlı malzeme tasarımları. Birinci kategori, ikinci başlıkta ele alınan biyomimikri yaklaşımının malzeme ölçeğindeki karşılığıdır. Ayrımın belirleyici ölçütü, doğanın tasarım sürecine hangi düzeyde dahil olduğudur. Biyomimikri temelli malzemelerde doğa bir ilke ya da strateji kaynağıdır; malzemenin kendisinde biyolojik bir bileşen bulunmaz. Biyolojik temelli malzemelerde doğa bir girdi kaynağıdır; malzeme biyolojik kökenli hammaddelerden üretilir ancak kullanım anında canlı değildir. Canlı malzemelerde ise organizma malzemenin içinde varlığını sürdürür ve malzemenin davranışı bu canlılığa bağlı kalır (Tablo 2).</w:t>
      </w:r>
    </w:p>
    <w:p>
      <w:pPr>
        <w:keepNext/>
        <w:spacing w:after="140" w:before="400" w:line="240"/>
      </w:pPr>
      <w:r>
        <w:rPr>
          <w:rFonts w:ascii="Times New Roman" w:cs="Times New Roman" w:eastAsia="Times New Roman" w:hAnsi="Times New Roman"/>
          <w:sz w:val="22"/>
          <w:szCs w:val="22"/>
        </w:rPr>
        <w:t xml:space="preserve">Tablo 2. </w:t>
      </w:r>
      <w:r>
        <w:rPr>
          <w:rFonts w:ascii="Times New Roman" w:cs="Times New Roman" w:eastAsia="Times New Roman" w:hAnsi="Times New Roman"/>
          <w:i/>
          <w:iCs/>
          <w:sz w:val="22"/>
          <w:szCs w:val="22"/>
        </w:rPr>
        <w:t xml:space="preserve">Doğa temelli malzeme yaklaşımlarının karşılaştırması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1"/>
        <w:gridCol w:w="2375"/>
        <w:gridCol w:w="2375"/>
        <w:gridCol w:w="2375"/>
      </w:tblGrid>
      <w:tr>
        <w:trPr>
          <w:tblHeader/>
        </w:trPr>
        <w:tc>
          <w:tcPr>
            <w:tcW w:type="dxa" w:w="1901"/>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
            </w:r>
          </w:p>
        </w:tc>
        <w:tc>
          <w:tcPr>
            <w:tcW w:type="dxa" w:w="2375"/>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Biyomimikri temelli</w:t>
            </w:r>
          </w:p>
        </w:tc>
        <w:tc>
          <w:tcPr>
            <w:tcW w:type="dxa" w:w="2375"/>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temelli</w:t>
            </w:r>
          </w:p>
        </w:tc>
        <w:tc>
          <w:tcPr>
            <w:tcW w:type="dxa" w:w="2375"/>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Canlı</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Doğanın rolü</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İlke ve strateji kaynağı</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Girdi kaynağı</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Üretime katılan organizma</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Malzemede biyolojik bileşen</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Yok</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Var, canlı değil</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Var, canlı</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Tasarımcının işi</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ilkeyi aktarmak</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Kaynağı seçmek ve işlemek</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Yaşam koşullarını sürdürmek</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Örnek malzemeler</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 (biçim ve strüktür çözümleri)</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Kenevir, ahşap, mantar meşesi kabuğu, saman, alfa otu¹</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Miselyum, bakteriyel selüloz, alg²</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İç mekânda görünüm</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Yüzey geometrisi, strüktür</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Vernaküler malzemeler, panel, yalıtım³</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Deneysel araştırma ağırlıklı³</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Belirleyici kısıt</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analojinin bağlamdan koparılması</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Ömür sonu senaryosu ve bağlayıcı uyumluluğu⁴</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Ölçek, çok katmanlılık, gereksinimler⁵</w:t>
            </w:r>
          </w:p>
        </w:tc>
      </w:tr>
    </w:tbl>
    <w:p>
      <w:pPr>
        <w:spacing w:after="340" w:before="130" w:line="240"/>
      </w:pPr>
      <w:r>
        <w:rPr>
          <w:rFonts w:ascii="Times New Roman" w:cs="Times New Roman" w:eastAsia="Times New Roman" w:hAnsi="Times New Roman"/>
          <w:i/>
          <w:iCs/>
          <w:sz w:val="18"/>
          <w:szCs w:val="18"/>
        </w:rPr>
        <w:t xml:space="preserve">Sınıflandırma çerçevesi: Chayaamor-Heil ve diğ. (2023). ¹ Bourbia ve diğ. (2023) · ² Karana ve diğ. (2018); Attias ve diğ. (2020) · ³ Tyagi ve Jain (2026) · ⁴ Rios ve diğ. (2015); Edalat (2026) · ⁵ Chayaamor-Heil ve diğ. (2024)</w:t>
      </w:r>
    </w:p>
    <w:p>
      <w:pPr>
        <w:spacing w:after="160" w:line="360"/>
        <w:jc w:val="both"/>
      </w:pPr>
      <w:r>
        <w:rPr>
          <w:rFonts w:ascii="Times New Roman" w:cs="Times New Roman" w:eastAsia="Times New Roman" w:hAnsi="Times New Roman"/>
          <w:sz w:val="24"/>
          <w:szCs w:val="24"/>
        </w:rPr>
        <w:t xml:space="preserve">Tablo 2’nin son satırı, ayrımın yalnızca tanımsal olmadığını göstermektedir: üç yaklaşım malzemenin ömür sonu senaryosu bakımından birbirinden farklı koşullar üretir. Biyomimikri temelli bir çözümde ömür sonu sorusu malzemeye değil geometriye yöneliktir; biyolojik temelli bir malzemede soru bağlayıcı sisteminde düğümlenir; canlı bir malzemede ise organizmanın yaşamını sürdürmesi için gerekli koşullar kullanım süresinin kendisini tanımlar. Dördüncü başlıkta ele alınacak döngüsellik tartışması bu nedenle üç yaklaşım için aynı biçimde kurulamaz.</w:t>
      </w:r>
    </w:p>
    <w:p>
      <w:pPr>
        <w:pStyle w:val="Heading2"/>
        <w:spacing w:after="170" w:before="320" w:line="360"/>
      </w:pPr>
      <w:r>
        <w:rPr>
          <w:rFonts w:ascii="Times New Roman" w:cs="Times New Roman" w:eastAsia="Times New Roman" w:hAnsi="Times New Roman"/>
          <w:b/>
          <w:bCs/>
          <w:sz w:val="24"/>
          <w:szCs w:val="24"/>
        </w:rPr>
        <w:t xml:space="preserve">3.2. Vernaküler kökenden biyofabrikasyona</w:t>
      </w:r>
    </w:p>
    <w:p>
      <w:pPr>
        <w:spacing w:after="160" w:line="360"/>
        <w:jc w:val="both"/>
      </w:pPr>
      <w:r>
        <w:rPr>
          <w:rFonts w:ascii="Times New Roman" w:cs="Times New Roman" w:eastAsia="Times New Roman" w:hAnsi="Times New Roman"/>
          <w:sz w:val="24"/>
          <w:szCs w:val="24"/>
        </w:rPr>
        <w:t xml:space="preserve">Biyolojik temelli malzemeler, yapı literatüründe en geniş yer tutan kategoridir. Bourbia ve diğ. (2023), yapı kabuğunda kullanılan bu malzemeleri derledikleri çalışmalarında kenevir, ahşap, hurma ağacı, mantar meşesi kabuğu, alfa otu ve samanı inceleyerek yenilenebilirlik, düşük gömülü enerji ve ısıl düzenleme kapasitesi gibi ortak özelliklere dikkat çekmektedir. Liste, bu malzemelerin önemli bir bölümünün aslında yeni değil, geleneksel yapı kültürüne ait olduğunu göstermektedir; nitekim Andréen ve Goidea (2022) da önerdikleri ilkelerin modern inşaat sanayisinden önce mimarlıkta uzun süre uygulandığını belirtmektedir.</w:t>
      </w:r>
    </w:p>
    <w:p>
      <w:pPr>
        <w:spacing w:after="160" w:line="360"/>
        <w:jc w:val="both"/>
      </w:pPr>
      <w:r>
        <w:rPr>
          <w:rFonts w:ascii="Times New Roman" w:cs="Times New Roman" w:eastAsia="Times New Roman" w:hAnsi="Times New Roman"/>
          <w:sz w:val="24"/>
          <w:szCs w:val="24"/>
        </w:rPr>
        <w:t xml:space="preserve">Saptama iç mimarlık açısından özellikle anlamlıdır: Tyagi ve Jain (2026), iç mekân tasarımında biyolojik temelli ve yenileyici malzemeler üzerine 104 yayını inceledikleri sistematik derlemede, bambu, kerpiç, saman ve kenevir gibi vernaküler malzemelerin düşük etkili iç mekân uygulamalarında merkezî konumunu koruduğunu; buna karşılık miselyum, bakteriyel selüloz ve alg gibi biyofabrike malzemelerin deneysel araştırmalara hâkim olduğunu ortaya koymaktadır. Alan, bir yanda köklü bir yapı kültürüne, diğer yanda henüz laboratuvar aşamasındaki bir araştırma gündemine yaslanmaktadır. Kategorinin ayırt edici bir başka özelliği, girdi olarak başka bir sürecin çıktısını kullanabilmesidir; Lee ve diğ. (2022), değerlendirilemeyen biyokütlenin alternatif hammadde olarak kullanılabilirliğini artırma çabalarının fosil kökenli eşdeğerlerin yerini alabilecek ürünlerin üretimine yöneldiğini ortaya koymaktadır. Biyolojik temelli bir malzemenin hammaddesi, böylece bir başka üretim sürecinin artığı da olabilir.</w:t>
      </w:r>
    </w:p>
    <w:p>
      <w:pPr>
        <w:spacing w:after="160" w:line="360"/>
        <w:jc w:val="both"/>
      </w:pPr>
      <w:r>
        <w:rPr>
          <w:rFonts w:ascii="Times New Roman" w:cs="Times New Roman" w:eastAsia="Times New Roman" w:hAnsi="Times New Roman"/>
          <w:sz w:val="24"/>
          <w:szCs w:val="24"/>
        </w:rPr>
        <w:t xml:space="preserve">Ölçeğin öteki ucunda canlı malzemeler yer almaktadır. Karana ve diğ. (2018), bakteri, alg veya mantar tarafından üretilen malzemelerin ürün tasarımında giderek daha fazla yenilikçi biyolojik temelli seçenekler olarak kullanıldığını belirtmektedir. Attias ve diğ. (2020), miselyum biyokompozitlerini endüstriyel tasarım ve mimarlık bağlamında inceledikleri çalışmalarında beş bitkisel atık alt tabaka ile dört mantar türünü karşılaştırmalı olarak değerlendirmiştir; bu kurgu, canlı malzemelerde tasarım kararının malzeme bileşimiyle iç içe geçtiğini göstermektedir. Chayaamor-Heil ve diğ. (2024) ise alg, bakteri ve mantarı mimarlık bağlamında ele aldıkları çalışmalarında her organizma için birer vaka incelemesi seçmiş ve çok disiplinli uzmanlarla görüşmeler yürütmüşlerdir. En dikkat çekici bulguları şudur: canlı organizmalardan yeni malzeme ya da tasarım bileşeni geliştirilmesi, ölçek, çok katmanlılık ve gereksinimlerden kaynaklanan kısıtlar nedeniyle mimarlık ve inşaatta, tekstil ve ürün tasarımına kıyasla daha güç gerçekleşmektedir. Ölçek, canlı malzemelerin yapılı çevreye girişinde belirleyici bir eşiktir; taşıyıcı olmayan, görece küçük ölçekli iç mekân bileşenleri bu nedenle öncelikli bir uygulama alanı oluşturabilir.</w:t>
      </w:r>
    </w:p>
    <w:p>
      <w:pPr>
        <w:pStyle w:val="Heading2"/>
        <w:spacing w:after="170" w:before="320" w:line="360"/>
      </w:pPr>
      <w:r>
        <w:rPr>
          <w:rFonts w:ascii="Times New Roman" w:cs="Times New Roman" w:eastAsia="Times New Roman" w:hAnsi="Times New Roman"/>
          <w:b/>
          <w:bCs/>
          <w:sz w:val="24"/>
          <w:szCs w:val="24"/>
        </w:rPr>
        <w:t xml:space="preserve">3.3. Malzemenin etkin bileşene dönüşmesi</w:t>
      </w:r>
    </w:p>
    <w:p>
      <w:pPr>
        <w:spacing w:after="160" w:line="360"/>
        <w:jc w:val="both"/>
      </w:pPr>
      <w:r>
        <w:rPr>
          <w:rFonts w:ascii="Times New Roman" w:cs="Times New Roman" w:eastAsia="Times New Roman" w:hAnsi="Times New Roman"/>
          <w:sz w:val="24"/>
          <w:szCs w:val="24"/>
        </w:rPr>
        <w:t xml:space="preserve">Yukarıda sıralanan malzemelerin ortak özelliği, tasarımcının denetimini sınırlayan davranışlar sergilemeleridir. Bu durum, tasarım pratiğinde malzemenin konumunu değiştirmektedir. Camere ve Karana (2018), sekiz deneyimli uygulamacıyla yürüttükleri görüşmelere dayanarak, canlı organizmalarla malzeme üretmenin tasarımcıların malzemeye ve sürece bakışını, benimsedikleri zihniyeti ve vizyonu değiştirdiğini; dahası “insan yapımı” ve “doğal” gibi yerleşik anlamları sorgulattığını belirtmektedir. Malzemenin edilgen bir girdiden etkin bir bileşene dönüşmesi, bu nedenle yalnızca teknik bir değişiklik değil, tasarımcının malzeme kavrayışını da kapsayan bir değişimdir.</w:t>
      </w:r>
    </w:p>
    <w:p>
      <w:pPr>
        <w:spacing w:after="160" w:line="360"/>
        <w:jc w:val="both"/>
      </w:pPr>
      <w:r>
        <w:rPr>
          <w:rFonts w:ascii="Times New Roman" w:cs="Times New Roman" w:eastAsia="Times New Roman" w:hAnsi="Times New Roman"/>
          <w:sz w:val="24"/>
          <w:szCs w:val="24"/>
        </w:rPr>
        <w:t xml:space="preserve">Dönüşümün ikinci kanalı, malzeme üretiminin tasarımcının kendi pratiğine girmesidir. Rognoli ve diğ. (2015), kişisel üretim teknolojilerinin yaygınlaşmasının ve bireylerin ürünlerini kişiselleştirme isteğinin, dağıtık ve paylaşımlı üretim süreçleriyle deney yapma ve yeni malzemeler tasarlama bakımından önemli olanaklar sunduğunu belirtmektedir. Yazarlar kendin yap malzemeleri, bireysel ya da ortak öz üretim deneyimleriyle, çoğu kez tasarımcının kendi icat ettiği teknik ve süreçlerle, malzemeyle kurcalama sürecinin sonucunda yaratılan malzemeler olarak tanımlamaktadır. Rognoli ve Ayala García (2018) aynı dönüşümü malzeme aktivizmi kavramıyla ele almaktadır: malzeme deneyimimiz, çevremizi saran nesnelerin neredeyse tamamının endüstriyel seri üretimden gelmesi nedeniyle koşullanmış bir deneyimdir; malzeme geliştirme ise büyük ölçüde stratejik sektörlerdeki teknik sorunların çözümü ile ölçeklenebilir uygun maliyetli çözüm arayışının denetimindedir. Malzeme aktivizmi, tasarımcıların düşük teknolojili ve deneysel yaklaşımlarla bu sürece yeniden dahil olmasını önermektedir.</w:t>
      </w:r>
    </w:p>
    <w:p>
      <w:pPr>
        <w:spacing w:after="160" w:line="360"/>
        <w:jc w:val="both"/>
      </w:pPr>
      <w:r>
        <w:rPr>
          <w:rFonts w:ascii="Times New Roman" w:cs="Times New Roman" w:eastAsia="Times New Roman" w:hAnsi="Times New Roman"/>
          <w:sz w:val="24"/>
          <w:szCs w:val="24"/>
        </w:rPr>
        <w:t xml:space="preserve">Ancak malzemenin etkinleşmesi yalnızca bir olanak değil, aynı zamanda bir belirsizlik kaynağıdır. Malzemenin zaman içindeki davranışı tasarım kararının bir parçası hâline geldiğinde, bu davranışın bilinmesi de bir gereklilik olarak ortaya çıkar. Beşinci başlık bu gerekliliği dirençlilik tartışması üzerinden ele almaktadır.</w:t>
      </w:r>
    </w:p>
    <w:p>
      <w:pPr>
        <w:pStyle w:val="Heading1"/>
        <w:spacing w:after="220" w:before="440" w:line="360"/>
      </w:pPr>
      <w:r>
        <w:rPr>
          <w:rFonts w:ascii="Times New Roman" w:cs="Times New Roman" w:eastAsia="Times New Roman" w:hAnsi="Times New Roman"/>
          <w:b/>
          <w:bCs/>
          <w:sz w:val="26"/>
          <w:szCs w:val="26"/>
        </w:rPr>
        <w:t xml:space="preserve">4. DÖNGÜSEL MALZEME SİSTEMLERİ</w:t>
      </w:r>
    </w:p>
    <w:p>
      <w:pPr>
        <w:spacing w:after="160" w:line="360"/>
        <w:jc w:val="both"/>
      </w:pPr>
      <w:r>
        <w:rPr>
          <w:rFonts w:ascii="Times New Roman" w:cs="Times New Roman" w:eastAsia="Times New Roman" w:hAnsi="Times New Roman"/>
          <w:sz w:val="24"/>
          <w:szCs w:val="24"/>
        </w:rPr>
        <w:t xml:space="preserve">Önceki başlıkta biyolojik temelli malzemelerin sınıflandırması ve malzemenin tasarım sürecindeki konumu ele alınmıştı. Bu başlıkta söz konusu malzemelerin döngüsel ekonomi sistemleriyle ilişkisi incelenmekte; biyolojik kökenin tek başına döngüsellik güvencesi oluşturup oluşturmadığı tartışılmaktadır.</w:t>
      </w:r>
    </w:p>
    <w:p>
      <w:pPr>
        <w:pStyle w:val="Heading2"/>
        <w:spacing w:after="170" w:before="320" w:line="360"/>
      </w:pPr>
      <w:r>
        <w:rPr>
          <w:rFonts w:ascii="Times New Roman" w:cs="Times New Roman" w:eastAsia="Times New Roman" w:hAnsi="Times New Roman"/>
          <w:b/>
          <w:bCs/>
          <w:sz w:val="24"/>
          <w:szCs w:val="24"/>
        </w:rPr>
        <w:t xml:space="preserve">4.1. Döngüsel ekonomi ve yapılı çevre</w:t>
      </w:r>
    </w:p>
    <w:p>
      <w:pPr>
        <w:spacing w:after="160" w:line="360"/>
        <w:jc w:val="both"/>
      </w:pPr>
      <w:r>
        <w:rPr>
          <w:rFonts w:ascii="Times New Roman" w:cs="Times New Roman" w:eastAsia="Times New Roman" w:hAnsi="Times New Roman"/>
          <w:sz w:val="24"/>
          <w:szCs w:val="24"/>
        </w:rPr>
        <w:t xml:space="preserve">Döngüsellik tartışmasının kavramsal zemini, kavramın kendisindeki belirsizlikle başlar. Kirchherr ve diğ. (2017), döngüsel ekonomi kavramının hem akademide hem uygulamada ivme kazanmasına karşın eleştirmenlerin kavramın herkes için farklı bir şey ifade ettiğini öne sürdüğünü belirtmekte; 114 tanımı on yedi boyutta kodladıkları çalışmalarında kavramın en sık azaltma, yeniden kullanma ve geri dönüştürme etkinliklerinin bir bileşimi olarak betimlendiğini, buna karşılık döngüselliğin sistemsel bir değişimi gerektirdiğinin çoğu kez vurgulanmadığını göstermektedir. Kavram malzeme ölçeğine indirgendiğinde, tam da bu sistemsel boyut gözden kaçmaktadır.</w:t>
      </w:r>
    </w:p>
    <w:p>
      <w:pPr>
        <w:spacing w:after="160" w:line="360"/>
        <w:jc w:val="both"/>
      </w:pPr>
      <w:r>
        <w:rPr>
          <w:rFonts w:ascii="Times New Roman" w:cs="Times New Roman" w:eastAsia="Times New Roman" w:hAnsi="Times New Roman"/>
          <w:sz w:val="24"/>
          <w:szCs w:val="24"/>
        </w:rPr>
        <w:t xml:space="preserve">Yapılı çevre özelinde Pomponi ve Moncaster (2017), yapı araştırmalarında döngüsel ekonomiyi tanımlayan altı temel boyut belirlemektedir: çevresel, teknolojik, ekonomik, toplumsal, yönetsel ve davranışsal. Yazarlara göre bu boyutları bir araya getiren başvuru çerçevesi, mevcut girişimleri kümelemek ve disiplinler arası çalışmalar için eksik bağlantıları görünür kılmak bakımından değerli bir araçtır. Çerçevenin bu bölüm açısından önemi, döngüselliğin yalnızca malzemenin teknik niteliğiyle açıklanamayacağını göstermesidir; teknolojik boyut altı boyuttan yalnızca biridir.</w:t>
      </w:r>
    </w:p>
    <w:p>
      <w:pPr>
        <w:spacing w:after="160" w:line="360"/>
        <w:jc w:val="both"/>
      </w:pPr>
      <w:r>
        <w:rPr>
          <w:rFonts w:ascii="Times New Roman" w:cs="Times New Roman" w:eastAsia="Times New Roman" w:hAnsi="Times New Roman"/>
          <w:sz w:val="24"/>
          <w:szCs w:val="24"/>
        </w:rPr>
        <w:t xml:space="preserve">Biyolojik üretim mantığı bu zemine yapısal olarak uygundur. Andréen ve Goidea’nın (2022) belirttiği gibi biyolojik tasarım sistemi doğası gereği döngüseldir ve malzeme kullanımı için ikna edici bir perspektif oluşturur. Ancak bu yapısal uygunluk fiilî bir eklemlenme anlamına gelmemektedir: Edalat (2026), biyolojik temelli yapı malzemelerinin döngüsel ekonomi sistemlerine eklemlenmesinin kavramsal olarak parçalı ve uygulamada tutarsız kaldığını belirtmektedir. Bu başlığın tartışması, söz konusu boşluğun nerede doğduğu sorusu üzerine kurulmuştur.</w:t>
      </w:r>
    </w:p>
    <w:p>
      <w:pPr>
        <w:pStyle w:val="Heading2"/>
        <w:spacing w:after="170" w:before="320" w:line="360"/>
      </w:pPr>
      <w:r>
        <w:rPr>
          <w:rFonts w:ascii="Times New Roman" w:cs="Times New Roman" w:eastAsia="Times New Roman" w:hAnsi="Times New Roman"/>
          <w:b/>
          <w:bCs/>
          <w:sz w:val="24"/>
          <w:szCs w:val="24"/>
        </w:rPr>
        <w:t xml:space="preserve">4.2. Atık akımlarının kaynağa dönüşmesi</w:t>
      </w:r>
    </w:p>
    <w:p>
      <w:pPr>
        <w:spacing w:after="160" w:line="360"/>
        <w:jc w:val="both"/>
      </w:pPr>
      <w:r>
        <w:rPr>
          <w:rFonts w:ascii="Times New Roman" w:cs="Times New Roman" w:eastAsia="Times New Roman" w:hAnsi="Times New Roman"/>
          <w:sz w:val="24"/>
          <w:szCs w:val="24"/>
        </w:rPr>
        <w:t xml:space="preserve">Döngüsellikle ilk kesişme noktası girdi tarafındadır. Edalat (2026), ahşap dışı biyolojik temelli yapı malzemelerinin çoğunlukla atıktan elde edildiğini ve tanecikli biçimlerde işlendiğini; buna karşılık tarımsal atığın dünya genelinde yaygın biçimde bulunmasına rağmen inşaat sektöründeki kullanımının sınırlı kaldığını, bu atığın büyük bölümünün biyoyakıt ve yem hammaddesi üretimine yönlendirildiğini belirtmektedir. Attias ve diğ.’nin (2020) beş bitkisel atık alt tabakayı dört mantar türüyle birlikte değerlendiren karşılaştırmalı çalışması, bu akımların malzemeye dönüştürülmesinde alt tabaka ile organizma bileşiminin belirleyici olduğunu göstermektedir.</w:t>
      </w:r>
    </w:p>
    <w:p>
      <w:pPr>
        <w:spacing w:after="160" w:line="360"/>
        <w:jc w:val="both"/>
      </w:pPr>
      <w:r>
        <w:rPr>
          <w:rFonts w:ascii="Times New Roman" w:cs="Times New Roman" w:eastAsia="Times New Roman" w:hAnsi="Times New Roman"/>
          <w:sz w:val="24"/>
          <w:szCs w:val="24"/>
        </w:rPr>
        <w:t xml:space="preserve">Kaynakların coğrafi dağılımı da belirleyicidir: orman örtüsünün neredeyse yarısı dört ülkede yoğunlaşmakta, ahşap kaynakları ise Orta Doğu ve Kuzey Afrika gibi bölgelerde belirgin biçimde kıt kalmaktadır (Edalat, 2026). Ahşabın erişilebilirliği bölgesel olarak kısıtlıyken ahşap dışı tarımsal kaynaklar çok daha yaygındır; bu dağılım, ahşap kaynakları sınırlı coğrafyalarda tarımsal artıklara dayalı malzemelerin stratejik önemini artırmakta ve Pomponi ve Moncaster’ın (2017) çerçevesindeki çevresel ve ekonomik boyutların yerel koşullara göre farklı sonuçlar üretebileceğini göstermektedir.</w:t>
      </w:r>
    </w:p>
    <w:p>
      <w:pPr>
        <w:pStyle w:val="Heading2"/>
        <w:spacing w:after="170" w:before="320" w:line="360"/>
      </w:pPr>
      <w:r>
        <w:rPr>
          <w:rFonts w:ascii="Times New Roman" w:cs="Times New Roman" w:eastAsia="Times New Roman" w:hAnsi="Times New Roman"/>
          <w:b/>
          <w:bCs/>
          <w:sz w:val="24"/>
          <w:szCs w:val="24"/>
        </w:rPr>
        <w:t xml:space="preserve">4.3. Döngüselliğin tasarım aşamasında kararlaşması</w:t>
      </w:r>
    </w:p>
    <w:p>
      <w:pPr>
        <w:spacing w:after="160" w:line="360"/>
        <w:jc w:val="both"/>
      </w:pPr>
      <w:r>
        <w:rPr>
          <w:rFonts w:ascii="Times New Roman" w:cs="Times New Roman" w:eastAsia="Times New Roman" w:hAnsi="Times New Roman"/>
          <w:sz w:val="24"/>
          <w:szCs w:val="24"/>
        </w:rPr>
        <w:t xml:space="preserve">Döngüsel malzeme sistemlerinin en belirleyici saptaması, kararın nerede verildiğine ilişkindir. Rios ve diğ. (2015), yıkım yerine sökümü, geri dönüştürülebilirliği ve sökülebilirlik için tasarımı daha iyi inşaat atığı yönetimi yaklaşımları olarak tanımlamakta; buna karşılık sökülebilirlik için tasarımın ilkelerini ele alan kapsamlı kılavuzlar yayımlanmış olmasına rağmen bu alanda geliştirilmiş yapı sayısının çok az kaldığını belirtmektedir. Yazarların amacı, söz konusu kuram ile uygulama arasındaki boşluğu ortaya koymaktır. Boşluğun kaynağı tasarım aşamasıdır: Edalat (2026) de malzeme tedariki, sökülebilirlik için tasarım ve bağlayıcı türünün — doğal, sentetik ya da hiç kullanılmamış olması — geri dönüştürülebilirlik üzerinde belirleyici bir etkiye sahip olmasına karşın tasarımda ve araştırmada nadiren göz önünde bulundurulduğunu; sınırlılıkların esas olarak tasarım aşamasında döngüsel düşüncenin bulunmamasından kaynaklandığını belirtmektedir.</w:t>
      </w:r>
    </w:p>
    <w:p>
      <w:pPr>
        <w:spacing w:after="160" w:line="360"/>
        <w:jc w:val="both"/>
      </w:pPr>
      <w:r>
        <w:rPr>
          <w:rFonts w:ascii="Times New Roman" w:cs="Times New Roman" w:eastAsia="Times New Roman" w:hAnsi="Times New Roman"/>
          <w:sz w:val="24"/>
          <w:szCs w:val="24"/>
        </w:rPr>
        <w:t xml:space="preserve">Bu, bölümün hipotezinin ilk yarısını kaynaklı biçimde ortaya koymaktadır: bir malzemenin döngüselliği biyolojik kökeninde değil, bileşiminde ve birleşiminde kararlaşır. Miselyum bu bakımdan öğretici bir örnektir; biyobozunurluğu, kendi kendine bağlanma özelliği ve tarımsal atıkla uyumluluğu nedeniyle kapalı döngü potansiyeli taşır ve bağlayıcı sorununu dışarıdan bir madde eklemeden çözer (Attias ve diğ., 2020; Edalat, 2026). Buna karşılık aynı atık, sentetik bir reçineyle bağlandığında döngüsellik iddiası ortadan kalkar; altıncı başlıkta aktarılan iç mekân duvar paneli örneği bu durumu göstermektedir.</w:t>
      </w:r>
    </w:p>
    <w:p>
      <w:pPr>
        <w:spacing w:after="160" w:line="360"/>
        <w:jc w:val="both"/>
      </w:pPr>
      <w:r>
        <w:rPr>
          <w:rFonts w:ascii="Times New Roman" w:cs="Times New Roman" w:eastAsia="Times New Roman" w:hAnsi="Times New Roman"/>
          <w:sz w:val="24"/>
          <w:szCs w:val="24"/>
        </w:rPr>
        <w:t xml:space="preserve">Biyolojik kökenin güvence oluşturmadığı, girişte aktarılan iki uyarıyla birlikte okunduğunda daha açık hâle gelir: çevresel avantaj iddialarının her biri için önemli istisnalar bulunmaktadır (O’Rourke ve Seepersad, 2015) ve biyokompozitlerin uzun süreli dayanıklılığına ilişkin bilgi sınırlıdır (Chang ve diğ., 2020). Döngüsellik iddiası, ömür sonu davranışının bilinmediği bir malzeme için temelsiz kalır. Kaynak çeşitliliği de bu eleştirel çerçevenin parçasıdır: ahşaba aşırı bağımlılık ormansızlaşma ve biyoçeşitlilik kaybı riski taşırken, yalnızca ahşap dışı malzemelere dayanmak ölçeklenebilirlikten yoksundur; iki grubun tamamlayıcı güçlerinin bütünleştirilmesi döngüselliğe daha dirençli bir yol sunmaktadır (Edalat, 2026). Tartışmanın malzeme ölçeğinden mekân ölçeğine taşınmasını gerektiren nokta da burasıdır.</w:t>
      </w:r>
    </w:p>
    <w:p>
      <w:pPr>
        <w:pStyle w:val="Heading1"/>
        <w:spacing w:after="220" w:before="440" w:line="360"/>
      </w:pPr>
      <w:r>
        <w:rPr>
          <w:rFonts w:ascii="Times New Roman" w:cs="Times New Roman" w:eastAsia="Times New Roman" w:hAnsi="Times New Roman"/>
          <w:b/>
          <w:bCs/>
          <w:sz w:val="26"/>
          <w:szCs w:val="26"/>
        </w:rPr>
        <w:t xml:space="preserve">5. DİRENÇLİLİK</w:t>
      </w:r>
    </w:p>
    <w:p>
      <w:pPr>
        <w:spacing w:after="160" w:line="360"/>
        <w:jc w:val="both"/>
      </w:pPr>
      <w:r>
        <w:rPr>
          <w:rFonts w:ascii="Times New Roman" w:cs="Times New Roman" w:eastAsia="Times New Roman" w:hAnsi="Times New Roman"/>
          <w:sz w:val="24"/>
          <w:szCs w:val="24"/>
        </w:rPr>
        <w:t xml:space="preserve">Önceki başlıkta döngüselliğin biyolojik kökenle güvence altına alınamayacağı ortaya konmuştu. Bu başlıkta tartışma bir adım ileri taşınarak, biyolojik temelli malzemelerin tasarım sürecine etkileri dirençlilik kavramı üzerinden ele alınmaktadır.</w:t>
      </w:r>
    </w:p>
    <w:p>
      <w:pPr>
        <w:pStyle w:val="Heading2"/>
        <w:spacing w:after="170" w:before="320" w:line="360"/>
      </w:pPr>
      <w:r>
        <w:rPr>
          <w:rFonts w:ascii="Times New Roman" w:cs="Times New Roman" w:eastAsia="Times New Roman" w:hAnsi="Times New Roman"/>
          <w:b/>
          <w:bCs/>
          <w:sz w:val="24"/>
          <w:szCs w:val="24"/>
        </w:rPr>
        <w:t xml:space="preserve">5.1. Dirençlilik kavramı</w:t>
      </w:r>
    </w:p>
    <w:p>
      <w:pPr>
        <w:spacing w:after="160" w:line="360"/>
        <w:jc w:val="both"/>
      </w:pPr>
      <w:r>
        <w:rPr>
          <w:rFonts w:ascii="Times New Roman" w:cs="Times New Roman" w:eastAsia="Times New Roman" w:hAnsi="Times New Roman"/>
          <w:sz w:val="24"/>
          <w:szCs w:val="24"/>
        </w:rPr>
        <w:t xml:space="preserve">Dirençlilik kavramı yapılı çevre literatüründe birbirinden önemli ölçüde farklı iki anlamda kullanılmaktadır. Heymans ve diğ. (2019), ekolojik kentsel planlama ve tasarım literatürünü sistematik olarak inceledikleri çalışmalarında bu iki tanımı ayırt etmektedir. Eski tanım, bir sistemin bozulmanın ardından dengeye dönme yeteneğine işaret eder ve yazarlara göre sistemlerin verimliliğine ve öngörülebilirliğine odaklanması bakımından modernist paradigmayla tutarlıdır. Daha yeni tanım ise denge dışı karmaşık uyarlanabilir sistemlerle ilişkilidir ve dirençliliği, bir sistemin temel yapısını ve işlevini sürdürürken değişimi soğurma ve değişime uyarlanma yeteneği olarak vurgular. İkinci tanımın kaynağı sosyo-ekolojik sistem araştırmalarıdır; Folke (2006), dirençliliği bir sistemin bozulmayı soğurma ve zaman içinde aynı temel yapı ile işlevi koruyarak yeniden örgütlenme kapasitesi olarak tanımlamaktadır.</w:t>
      </w:r>
    </w:p>
    <w:p>
      <w:pPr>
        <w:spacing w:after="160" w:line="360"/>
        <w:jc w:val="both"/>
      </w:pPr>
      <w:r>
        <w:rPr>
          <w:rFonts w:ascii="Times New Roman" w:cs="Times New Roman" w:eastAsia="Times New Roman" w:hAnsi="Times New Roman"/>
          <w:sz w:val="24"/>
          <w:szCs w:val="24"/>
        </w:rPr>
        <w:t xml:space="preserve">Ayrımın tasarım açısından sonucu şudur: Heymans ve diğ.’nin (2019) belirttiği gibi, sistemler öngörülemez olduğunda sistemin sürdürülebilirliği onun dirençlilik kapasitesine bağlı hâle gelir. Yazarlar bunun planlamacı ve tasarımcılar için, idealleştirilmiş bir sürdürülebilir mekânsal biçim geliştirmekten, sistemin uyarlanma kapasitesinden doğan dirençliliğini kurmak üzere nasıl örgütlenebileceğini düşünmeye geçmek anlamına geldiğini vurgulamaktadır. Sürdürülebilirlik bir biçim hedefi olmaktan çıkıp bir örgütlenme sorusuna dönüşmektedir.</w:t>
      </w:r>
    </w:p>
    <w:p>
      <w:pPr>
        <w:pStyle w:val="Heading2"/>
        <w:spacing w:after="170" w:before="320" w:line="360"/>
      </w:pPr>
      <w:r>
        <w:rPr>
          <w:rFonts w:ascii="Times New Roman" w:cs="Times New Roman" w:eastAsia="Times New Roman" w:hAnsi="Times New Roman"/>
          <w:b/>
          <w:bCs/>
          <w:sz w:val="24"/>
          <w:szCs w:val="24"/>
        </w:rPr>
        <w:t xml:space="preserve">5.2. Dirençli tasarım</w:t>
      </w:r>
    </w:p>
    <w:p>
      <w:pPr>
        <w:spacing w:after="160" w:line="360"/>
        <w:jc w:val="both"/>
      </w:pPr>
      <w:r>
        <w:rPr>
          <w:rFonts w:ascii="Times New Roman" w:cs="Times New Roman" w:eastAsia="Times New Roman" w:hAnsi="Times New Roman"/>
          <w:sz w:val="24"/>
          <w:szCs w:val="24"/>
        </w:rPr>
        <w:t xml:space="preserve">Biyolojik temelli malzemelerin tasarım sürecine dâhil edilmesi, yalnızca kullanılan malzemenin niteliğini değil tasarımcının bu süreçteki konumunu da dönüştürmektedir. Geleneksel yaklaşımda malzeme, verilmiş tasarım kararları doğrultusunda seçilen ve biçimlendirilen bir unsurdur; biyolojik temelli malzemeler ise değişkenlikleri, zamansallıkları ve üretim koşullarındaki belirsizlikleriyle bu kararların yeniden değerlendirilmesini gerektirir. Barati ve Karana (2019), tasarımcı ile malzeme bilimcisi arasındaki erken aşama ortak projelerini inceledikleri çalışmalarında yaratıcılığın tasarımcının zihnine ait bir yeti olmadığını, tasarımcı ile maddi dünya arasında dağılmış bir süreç olduğunu ileri sürmekte; geliştirdikleri malzeme potansiyeli olarak olanaklar kavramıyla odağı tasarımcının yapma ve üretme edimlerine kaydırmaktadır. Tasarımcının işi böylece bir listeden seçim yapmak değil, malzemenin neye olanak tanıdığını üretim yoluyla keşfetmek hâline gelir; keşfedilen şey ise çoğu zaman malzemenin değişkenliğidir. Goidea ve diğ. (2022), miselyum biyokompozitlerde tür seçiminin hem üretim sürecini hem nesnenin performansını değiştirdiğini; büyüme hızı ve genetik kararlılığın yanı sıra dayanım, ısı iletkenliği ve görünüm gibi etkenlerin birlikte devreye girdiğini göstermektedir. Değişkenlik bu çerçevede bir kusur değil, tasarımcının üzerinde çalıştığı parametre kümesidir.</w:t>
      </w:r>
    </w:p>
    <w:p>
      <w:pPr>
        <w:spacing w:after="160" w:line="360"/>
        <w:jc w:val="both"/>
      </w:pPr>
      <w:r>
        <w:rPr>
          <w:rFonts w:ascii="Times New Roman" w:cs="Times New Roman" w:eastAsia="Times New Roman" w:hAnsi="Times New Roman"/>
          <w:sz w:val="24"/>
          <w:szCs w:val="24"/>
        </w:rPr>
        <w:t xml:space="preserve">Değişkenliğin ikiz kavramı zamandır. Karana ve diğ. (2018), miselyum esaslı bir malzemeyle yürütülen tasarım sürecinde tasarımcının mikroorganizmanın failliği, malzemenin kendine özgü zamansallığı ve malzemenin toplum tarafından kabulü biçiminde üç belirsizlik kaynağıyla baş etmek durumunda kaldığını ortaya koymaktadır. İkincisi, büyüme, kuruma ve yaşlanma sürelerinin tasarım kararının dışında değil içinde olduğu anlamına gelir; ne var ki bu zamanın nasıl işlediğine ilişkin bilgi hâlâ sınırlıdır (Chang ve diğ., 2020). Zamanın tasarıma girmesinin doğrudan sonucu, bakımın bir tasarım kararına dönüşmesidir. Graham ve Thrift (2007), modern toplumları ayakta tutan altyapıya ilişkin yerleşik kültürel kurguların onarım ve bakım etkinliklerini dikkat alanının dışına ittiğini ileri sürmektedir; biyolojik temelli malzemelerde bu dışarıda bırakma sürdürülemez, çünkü bakım kullanımın kesintiye uğraması değil koşuludur. Dirençli tasarım böylece önce bir kavram kümesi üretmektedir: keşfedilecek bir malzeme potansiyeli, parametreye dönüşen bir değişkenlik, hesaba katılması gereken bir malzeme zamanı ve baştan kurgulanan bir bakım ilişkisi.</w:t>
      </w:r>
    </w:p>
    <w:p>
      <w:pPr>
        <w:pStyle w:val="Heading2"/>
        <w:spacing w:after="170" w:before="320" w:line="360"/>
      </w:pPr>
      <w:r>
        <w:rPr>
          <w:rFonts w:ascii="Times New Roman" w:cs="Times New Roman" w:eastAsia="Times New Roman" w:hAnsi="Times New Roman"/>
          <w:b/>
          <w:bCs/>
          <w:sz w:val="24"/>
          <w:szCs w:val="24"/>
        </w:rPr>
        <w:t xml:space="preserve">5.3. Dirençlilik öznitelikleri</w:t>
      </w:r>
    </w:p>
    <w:p>
      <w:pPr>
        <w:spacing w:after="160" w:line="360"/>
        <w:jc w:val="both"/>
      </w:pPr>
      <w:r>
        <w:rPr>
          <w:rFonts w:ascii="Times New Roman" w:cs="Times New Roman" w:eastAsia="Times New Roman" w:hAnsi="Times New Roman"/>
          <w:sz w:val="24"/>
          <w:szCs w:val="24"/>
        </w:rPr>
        <w:t xml:space="preserve">Bu kavram kümesinin tasarım özelliklerine çevrilebilmesi için ekolojik dirençlilik araştırmaları bir dayanak sunmaktadır. Biggs ve diğ. (2012), ekosistem hizmetlerinin dirençliliğini güçlendirmeye yönelik yedi genel ilke tanımlamakta; bunların ilk üçünü çeşitlilik ile yedekliliğin korunması, bağlantısallığın yönetilmesi ve yavaş değişkenler ile geri besleme ilişkilerinin yönetilmesi olarak sıralamaktadır. Yazarlara göre ilkeler pratikte çoğu kez birlikte görülür ve birbirine yüksek düzeyde bağımlıdır. Söz konusu ilkeler, Walker ve diğ.’nin (2004) dirençlilik, uyarlanabilirlik ve dönüşebilirlik ayrımıyla birlikte okunduğunda, biyolojik temelli malzemelerle kurulan tasarım sistemleri için dört öznitelik üretmektedir.</w:t>
      </w:r>
    </w:p>
    <w:p>
      <w:pPr>
        <w:spacing w:after="160" w:line="360"/>
        <w:jc w:val="both"/>
      </w:pPr>
      <w:r>
        <w:rPr>
          <w:rFonts w:ascii="Times New Roman" w:cs="Times New Roman" w:eastAsia="Times New Roman" w:hAnsi="Times New Roman"/>
          <w:sz w:val="24"/>
          <w:szCs w:val="24"/>
        </w:rPr>
        <w:t xml:space="preserve">Birincisi çeşitlilik ve yedekliliktir. Tek bir malzemeye ve tek bir birleşim türüne dayanan bir kurguda yerel bir bozulma bütüne yayılırken, birden çok malzemenin ve birbirinin işlevini üstlenebilecek bileşenlerin bulunduğu bir kurguda bozulma yerel kalır; yedeklilik burada fazlalık değil, bozulmanın yayılmasını engelleyen bir örgütlenme biçimidir. İkincisi bağlantısallıktır; Biggs ve diğ.’nin (2012) formülasyonu bağlantısallığın artırılmasını değil yönetilmesini önermektedir. Tasarımda bu, bileşenlerin birbirine nasıl bağlandığı sorusudur: tersinir birleşimler bir bileşenin ötekini bozmadan değiştirilmesine olanak tanırken, kalıcı birleşimler bütün kurguyu tek bir karara bağlar. Rios ve diğ. (2015), sökülebilirlik için tasarım ilkelerine ilişkin kapsamlı kılavuzlar bulunmasına karşın bu alanda geliştirilmiş yapı sayısının çok az kaldığını belirtmektedir.</w:t>
      </w:r>
    </w:p>
    <w:p>
      <w:pPr>
        <w:spacing w:after="160" w:line="360"/>
        <w:jc w:val="both"/>
      </w:pPr>
      <w:r>
        <w:rPr>
          <w:rFonts w:ascii="Times New Roman" w:cs="Times New Roman" w:eastAsia="Times New Roman" w:hAnsi="Times New Roman"/>
          <w:sz w:val="24"/>
          <w:szCs w:val="24"/>
        </w:rPr>
        <w:t xml:space="preserve">Üçüncüsü bakım ve onarılabilirliktir; önceki alt başlıkta kurulan bakım ilişkisi burada bir özniteliğe dönüşür ve bileşenin onarılabilir olup olmadığı, onarım izlerinin kabul edilip edilmediği ve bakımın kim tarafından yapılabileceği sorularında somutlaşır. Dördüncüsü uyarlanabilirlik ve dönüşebilirliktir. Walker ve diğ. (2004), uyarlanabilirliği sistemdeki insan aktörlerin dirençliliği yönetme konusundaki ortak kapasitesi, dönüşebilirliği ise koşullar mevcut sistemi sürdürülemez kıldığında temelden yeni bir sistem yaratma kapasitesi olarak tanımlamaktadır. Kavramın yapı araştırmalarındaki karşılığının yerleşmediği de belirtilmelidir; Askar ve diğ. (2021), uyarlanabilirlik kavramına ilişkin yorumların ve bunlara bağlı paradigmaların zaman içinde değiştiğini, uygulama ve stratejilerin de bu değişimle birlikte geliştiğini ortaya koymaktadır.</w:t>
      </w:r>
    </w:p>
    <w:p>
      <w:pPr>
        <w:spacing w:after="160" w:line="360"/>
        <w:jc w:val="both"/>
      </w:pPr>
      <w:r>
        <w:rPr>
          <w:rFonts w:ascii="Times New Roman" w:cs="Times New Roman" w:eastAsia="Times New Roman" w:hAnsi="Times New Roman"/>
          <w:sz w:val="24"/>
          <w:szCs w:val="24"/>
        </w:rPr>
        <w:t xml:space="preserve">Dört öznitelik ancak ölçekler arası okunduğunda anlam kazanır. Goidea ve diğ. (2022), değişken ölçekler, sistemler ve malzemeler arasındaki karşılıklı bağımlılığın doğrusal olmayan etkileşimler ve hızla artan karmaşıklık ürettiğini belirtmektedir; bir bileşenin dirençliliği, bağlı olduğu sistemin dirençliliğinden ayrı değerlendirilemez. Buradan iki sonuç çıkmaktadır. Birincisi, döngüsellik ile dirençlilik eş anlamlı değildir; ancak çeşitlilik, tersinir bağlantı, onarılabilirlik ve uyarlanabilirlik gibi ortak özellikler üzerinden birbirini destekleyen iki yaklaşım oluştururlar. İkincisi, dört öznitelik de ancak kullanıldıkları, bakıldıkları ve değiştirildikleri ölçekte sınanabilir. İzleyen başlıkta gösterileceği gibi bu ölçek, büyük ölçüde iç mekândır.</w:t>
      </w:r>
    </w:p>
    <w:p>
      <w:pPr>
        <w:pStyle w:val="Heading1"/>
        <w:spacing w:after="220" w:before="440" w:line="360"/>
      </w:pPr>
      <w:r>
        <w:rPr>
          <w:rFonts w:ascii="Times New Roman" w:cs="Times New Roman" w:eastAsia="Times New Roman" w:hAnsi="Times New Roman"/>
          <w:b/>
          <w:bCs/>
          <w:sz w:val="26"/>
          <w:szCs w:val="26"/>
        </w:rPr>
        <w:t xml:space="preserve">6. İÇ MİMARLIKTA MEKÂNSAL DÖNÜŞÜM</w:t>
      </w:r>
    </w:p>
    <w:p>
      <w:pPr>
        <w:spacing w:after="160" w:line="360"/>
        <w:jc w:val="both"/>
      </w:pPr>
      <w:r>
        <w:rPr>
          <w:rFonts w:ascii="Times New Roman" w:cs="Times New Roman" w:eastAsia="Times New Roman" w:hAnsi="Times New Roman"/>
          <w:sz w:val="24"/>
          <w:szCs w:val="24"/>
        </w:rPr>
        <w:t xml:space="preserve">Önceki başlıklarda biyolojik temelli malzemelerin sınıflandırması, döngüsellikle ilişkisi ve dirençlilik kapasitesi malzeme ölçeğinde ele alınmıştı. Bu başlıkta tartışma mekân ölçeğine taşınmakta; söz konusu malzemelerin iç mimarlık pratiğinde hangi konumu aldığı ve bu konumun tasarım kararlarını nasıl değiştirdiği incelenmektedir.</w:t>
      </w:r>
    </w:p>
    <w:p>
      <w:pPr>
        <w:pStyle w:val="Heading2"/>
        <w:spacing w:after="170" w:before="320" w:line="360"/>
      </w:pPr>
      <w:r>
        <w:rPr>
          <w:rFonts w:ascii="Times New Roman" w:cs="Times New Roman" w:eastAsia="Times New Roman" w:hAnsi="Times New Roman"/>
          <w:b/>
          <w:bCs/>
          <w:sz w:val="24"/>
          <w:szCs w:val="24"/>
        </w:rPr>
        <w:t xml:space="preserve">6.1. İç mekânın öncelikli konumu</w:t>
      </w:r>
    </w:p>
    <w:p>
      <w:pPr>
        <w:spacing w:after="160" w:line="360"/>
        <w:jc w:val="both"/>
      </w:pPr>
      <w:r>
        <w:rPr>
          <w:rFonts w:ascii="Times New Roman" w:cs="Times New Roman" w:eastAsia="Times New Roman" w:hAnsi="Times New Roman"/>
          <w:sz w:val="24"/>
          <w:szCs w:val="24"/>
        </w:rPr>
        <w:t xml:space="preserve">Biyolojik temelli malzemelerin yapılı çevredeki yeri, literatürde sanıldığından daha belirgin biçimde tanımlanmıştır. Edalat (2026), inşaat sektöründe ahşap dışı biyolojik temelli yapı malzemelerinin iç ve dış yüzey kaplamaları, ısıl ve akustik yalıtım ile mobilya üretimi gibi uygulamalarda kullanıldığını; buna karşılık ahşap esaslı malzemelerin ağırlıklı olarak yapısal bileşenlerde yer aldığını ve ahşap dışı malzemelerin sınırlı mekanik dayanımları nedeniyle taşıyıcı elemanlarda nadiren kullanıldığını belirtmektedir. İki saptama bir arada okunduğunda ortaya belirgin bir sonuç çıkmaktadır: ahşap dışı biyolojik temelli malzemelerin uygulama alanı zaten büyük ölçüde iç mekândır. Bu durum bir sınırlılık olarak değil, bir konumlanma olarak değerlendirilebilir; taşıyıcı olmayan bileşenler, söz konusu malzemelerin yapısal risk eşiğinin görece düşük olduğu, dolayısıyla denenebilir oldukları alanı oluşturmaktadır.</w:t>
      </w:r>
    </w:p>
    <w:p>
      <w:pPr>
        <w:spacing w:after="160" w:line="360"/>
        <w:jc w:val="both"/>
      </w:pPr>
      <w:r>
        <w:rPr>
          <w:rFonts w:ascii="Times New Roman" w:cs="Times New Roman" w:eastAsia="Times New Roman" w:hAnsi="Times New Roman"/>
          <w:sz w:val="24"/>
          <w:szCs w:val="24"/>
        </w:rPr>
        <w:t xml:space="preserve">Üçüncü başlıkta aktarılan ölçek kısıtı da aynı sonucu desteklemektedir: Chayaamor-Heil ve diğ.’nin (2024) canlı organizmalarla malzeme geliştirmenin mimarlıkta ürün ve tekstil tasarımına kıyasla daha güç gerçekleştiğine ilişkin saptaması, iç mekân bileşenlerinin bu geçişteki konumunu da belirlemektedir. Ölçek ve katmanlılık bakımından mimari bütünle ürün ölçeği arasında yer aldıkları için iç mekân bileşenleri, geçişin yapılabileceği aradaki eşiği oluşturmaktadır. Tyagi ve Jain’in (2026) iç mekân tasarımında biyolojik temelli ve yenileyici malzemeler üzerine yürüttüğü sistematik derleme de alanın bu ölçekte birikmeye başladığını göstermektedir.</w:t>
      </w:r>
    </w:p>
    <w:p>
      <w:pPr>
        <w:pStyle w:val="Heading2"/>
        <w:spacing w:after="170" w:before="320" w:line="360"/>
      </w:pPr>
      <w:r>
        <w:rPr>
          <w:rFonts w:ascii="Times New Roman" w:cs="Times New Roman" w:eastAsia="Times New Roman" w:hAnsi="Times New Roman"/>
          <w:b/>
          <w:bCs/>
          <w:sz w:val="24"/>
          <w:szCs w:val="24"/>
        </w:rPr>
        <w:t xml:space="preserve">6.2. İkame tuzağı ve ömür sonu kararı</w:t>
      </w:r>
    </w:p>
    <w:p>
      <w:pPr>
        <w:spacing w:after="160" w:line="360"/>
        <w:jc w:val="both"/>
      </w:pPr>
      <w:r>
        <w:rPr>
          <w:rFonts w:ascii="Times New Roman" w:cs="Times New Roman" w:eastAsia="Times New Roman" w:hAnsi="Times New Roman"/>
          <w:sz w:val="24"/>
          <w:szCs w:val="24"/>
        </w:rPr>
        <w:t xml:space="preserve">Biyolojik temelli malzemelerin iç mekâna girişinde en yaygın yaklaşım, bu malzemelerin yerleşik malzemelerin yerine konmasıdır. Karana ve diğ. (2018) bu eğilimi doğrudan saptamaktadır: büyütülmüş malzemeler bugüne kadar çoğunlukla geleneksel malzemelerin yerine geçen uygulamalarda kullanılmıştır. Yazarlara göre bu durum, malzemenin kendi niteliklerinin değerlendirilmeden kaldığı anlamına gelir. Malzeme Odaklı Tasarım yöntemi tam da bu nedenle önerilmektedir: yöntem, geliştirilmekte olan bir malzeme için özgün uygulama fikirleri bulmak üzere, malzemenin kendine özgü teknik ve deneyimsel niteliklerinin uygun ve yaratıcı biçimde öne çıkarılmasını ve birbirine bağlanmasını sağlar (Karana ve diğ., 2015). Camere ve Karana’nın (2018) malzeme seçiminden malzeme tasarımına doğru bir kayma olarak adlandırdığı dönüşüm, iç mimarlık ölçeğinde somut bir ölçüt üretmektedir: bir miselyum panelini alçıpanın yerine koymak, biyolojik temelli bir malzemeyi kullanmak ama onu bir biyotasarım nesnesi olarak kullanmamaktır.</w:t>
      </w:r>
    </w:p>
    <w:p>
      <w:pPr>
        <w:spacing w:after="160" w:line="360"/>
        <w:jc w:val="both"/>
      </w:pPr>
      <w:r>
        <w:rPr>
          <w:rFonts w:ascii="Times New Roman" w:cs="Times New Roman" w:eastAsia="Times New Roman" w:hAnsi="Times New Roman"/>
          <w:sz w:val="24"/>
          <w:szCs w:val="24"/>
        </w:rPr>
        <w:t xml:space="preserve">Döngüselliğin bileşim ve birleşimde kararlaştığı sav da iç mekân ölçeğinde somut biçimde gözlenebilmektedir. Edalat (2026), yirmi çalışmayı döngüsellik ölçütleri üzerinden değerlendirdiği incelemesinde, kahve atığı ile üre-formaldehit reçinesi kullanılarak üretilen ve ısıl ile akustik performansı sınanan bir iç mekân duvar paneli çalışmasını ele almaktadır. Değerlendirmenin sonucu dikkat çekicidir: atık kökenli tedarik bakımından çalışma tam puan almakta, buna karşılık geri dönüştürülebilirlik, biyobozunurluk ve ömür sonu ölçütü hiç dikkate alınmamış olarak puanlanmaktadır. Örnek, bölümün savını iç mimarlığın kendi nesnesi üzerinden göstermektedir: bir duvar paneli atıktan üretilmiş olabilir; ancak sentetik bir reçineyle bağlandığında ve ömür sonu senaryosu kurgulanmadığında döngüsel bir bileşen hâline gelmez. Rios ve diğ.’nin (2015) sökülebilirlik için tasarım ilkelerinin kuramda yerleşmiş olmasına karşın uygulamada çok az karşılık bulduğuna ilişkin saptaması, bu boşluğun yapı ölçeğinde de geçerli olduğunu göstermektedir.</w:t>
      </w:r>
    </w:p>
    <w:p>
      <w:pPr>
        <w:pStyle w:val="Heading2"/>
        <w:spacing w:after="170" w:before="320" w:line="360"/>
      </w:pPr>
      <w:r>
        <w:rPr>
          <w:rFonts w:ascii="Times New Roman" w:cs="Times New Roman" w:eastAsia="Times New Roman" w:hAnsi="Times New Roman"/>
          <w:b/>
          <w:bCs/>
          <w:sz w:val="24"/>
          <w:szCs w:val="24"/>
        </w:rPr>
        <w:t xml:space="preserve">6.3. Mekânsal sistem, deneyim ve bir uygulama örneği</w:t>
      </w:r>
    </w:p>
    <w:p>
      <w:pPr>
        <w:spacing w:after="160" w:line="360"/>
        <w:jc w:val="both"/>
      </w:pPr>
      <w:r>
        <w:rPr>
          <w:rFonts w:ascii="Times New Roman" w:cs="Times New Roman" w:eastAsia="Times New Roman" w:hAnsi="Times New Roman"/>
          <w:sz w:val="24"/>
          <w:szCs w:val="24"/>
        </w:rPr>
        <w:t xml:space="preserve">Biyolojik temelli malzemelerin mekânsal karşılığı, tek bir bileşen ölçeğinde değil ölçekler arası bir ilişkide kurulur. Beşinci başlıkta aktarılan karşılıklı bağımlılık ilkesinin iç mekândaki karşılığı, bileşenin bağımsız bir nesne değil, sökülüp yeniden kurulabilen bir sistemin parçası olarak tasarlanmasıdır. Andréen ve Goidea’nın (2022) belirttiği gibi, malzemeler kimyasal olarak ya da ısıyla işlenmemiş olduğunda yapılı çevre tümüyle tersinir hâle gelir ve ekleme ile değişiklikler az çabayla yapılabilir. İç mekânın bu tartışmadaki özgül konumu, Edalat’ın (2026) gelecek araştırma yönleri arasında saydığı boşlukla da örtüşmektedir: döngüsel ekonominin kullanım, onarım ve yeniden kullanım aşamaları yeterince araştırılmamış ve büyük ölçüde bağlama bağlıdır. Bu aşamaların tamamı, kullanıcının malzemeyle doğrudan temas ettiği ölçekte, yani iç mekânda gerçekleşmektedir.</w:t>
      </w:r>
    </w:p>
    <w:p>
      <w:pPr>
        <w:spacing w:after="160" w:line="360"/>
        <w:jc w:val="both"/>
      </w:pPr>
      <w:r>
        <w:rPr>
          <w:rFonts w:ascii="Times New Roman" w:cs="Times New Roman" w:eastAsia="Times New Roman" w:hAnsi="Times New Roman"/>
          <w:sz w:val="24"/>
          <w:szCs w:val="24"/>
        </w:rPr>
        <w:t xml:space="preserve">Bu temas yalnızca teknik bir mesele değildir. Beşinci başlıkta anılan üç belirsizlik kaynağından üçüncüsü — malzemenin toplum tarafından kabulü (Karana ve diğ., 2018) — iç mimarlık açısından özellikle belirleyicidir. Rognoli ve Ayala García’nın (2018) belirttiği gibi malzeme deneyimimiz, çevremizi saran nesnelerin neredeyse tamamının endüstriyel seri üretimden gelmesi nedeniyle koşullanmış bir deneyimdir; bu koşullanma, tekdüzeliği kalite ile, değişkenliği ise kusur ile özdeşleştiren bir beklenti üretir. Oysa biyolojik temelli malzemelerde değişkenlik malzemenin kimliğinin parçasıdır. İç mekân, kullanıcının malzemeye dokunduğu, yaşlanmasını izlediği ve onunla gündelik ilişki kurduğu ölçek olduğu için, bu beklentinin dönüşeceği ya da direneceği yer de burasıdır.</w:t>
      </w:r>
    </w:p>
    <w:p>
      <w:pPr>
        <w:spacing w:after="160" w:line="360"/>
        <w:jc w:val="both"/>
      </w:pPr>
      <w:r>
        <w:rPr>
          <w:rFonts w:ascii="Times New Roman" w:cs="Times New Roman" w:eastAsia="Times New Roman" w:hAnsi="Times New Roman"/>
          <w:sz w:val="24"/>
          <w:szCs w:val="24"/>
        </w:rPr>
        <w:t xml:space="preserve">Yukarıda tartışılan üç ilişki — ikame yerine malzemenin kendi niteliklerinden yola çıkılması, ömür sonu senaryosunun bağlayıcı kararına yansıtılması ve bileşenin yeniden kurgulanabilir bir sistemin parçası olarak ele alınması — atık yumurta kabuğu ile doğal polimer esaslı bir bağlayıcı sistemden geliştirilen bir biyokompozit üzerinden tek bir örnekte birleştirilmiştir (Ünal, 2025). Söz konusu çalışmada malzeme bir ürün önerisi olarak değil tasarım aracı olarak ele alınmış, teknik ve deneyimsel nitelikleri Malzeme Odaklı Tasarım yöntemiyle birlikte değerlendirilmiş ve malzeme değişkenliği sökülüp yeniden kurulabilir modüler bir iç mekân sistemine aktarılmıştır. Teknik performans değerleri bu bölümün kapsamı dışındadır.</w:t>
      </w:r>
    </w:p>
    <w:p>
      <w:pPr>
        <w:pStyle w:val="Heading1"/>
        <w:spacing w:after="220" w:before="440" w:line="360"/>
      </w:pPr>
      <w:r>
        <w:rPr>
          <w:rFonts w:ascii="Times New Roman" w:cs="Times New Roman" w:eastAsia="Times New Roman" w:hAnsi="Times New Roman"/>
          <w:b/>
          <w:bCs/>
          <w:sz w:val="26"/>
          <w:szCs w:val="26"/>
        </w:rPr>
        <w:t xml:space="preserve">7. BİYOMALZEME SEÇİMİ İÇİN BİR DEĞERLENDİRME ÇERÇEVESİ</w:t>
      </w:r>
    </w:p>
    <w:p>
      <w:pPr>
        <w:spacing w:after="160" w:line="360"/>
        <w:jc w:val="both"/>
      </w:pPr>
      <w:r>
        <w:rPr>
          <w:rFonts w:ascii="Times New Roman" w:cs="Times New Roman" w:eastAsia="Times New Roman" w:hAnsi="Times New Roman"/>
          <w:sz w:val="24"/>
          <w:szCs w:val="24"/>
        </w:rPr>
        <w:t xml:space="preserve">Önceki başlıklarda biyolojik temelli malzemelerin kavramsal çerçevesi, döngüsellikle ilişkisi, dirençlilik kapasitesi ve iç mekândaki konumu ele alınmıştı. Bu başlıkta tartışma değerlendirme düzlemine taşınmakta; söz konusu malzemelerin iç mimarlıkta hangi ölçütlerle değerlendirilebileceği sorusu ele alınmaktadır.</w:t>
      </w:r>
    </w:p>
    <w:p>
      <w:pPr>
        <w:pStyle w:val="Heading2"/>
        <w:spacing w:after="170" w:before="320" w:line="360"/>
      </w:pPr>
      <w:r>
        <w:rPr>
          <w:rFonts w:ascii="Times New Roman" w:cs="Times New Roman" w:eastAsia="Times New Roman" w:hAnsi="Times New Roman"/>
          <w:b/>
          <w:bCs/>
          <w:sz w:val="24"/>
          <w:szCs w:val="24"/>
        </w:rPr>
        <w:t xml:space="preserve">7.1. Potansiyeller ve sınırlılıklar</w:t>
      </w:r>
    </w:p>
    <w:p>
      <w:pPr>
        <w:spacing w:after="160" w:line="360"/>
        <w:jc w:val="both"/>
      </w:pPr>
      <w:r>
        <w:rPr>
          <w:rFonts w:ascii="Times New Roman" w:cs="Times New Roman" w:eastAsia="Times New Roman" w:hAnsi="Times New Roman"/>
          <w:sz w:val="24"/>
          <w:szCs w:val="24"/>
        </w:rPr>
        <w:t xml:space="preserve">Biyolojik temelli malzemelere ilişkin literatür, aynı malzeme grubu için hem güçlü potansiyeller hem de kalıcı sınırlılıklar bildirmektedir. Bu iki tarafın ayrı ayrı sıralanması yanıltıcıdır; çünkü çoğu durumda potansiyel ile sınırlılık aynı özelliğin iki yüzüdür. Tablo 3, literatürde bildirilen başlıca potansiyel ve sınırlılıkları yedi boyutta karşılıklı olarak göstermektedir.</w:t>
      </w:r>
    </w:p>
    <w:p>
      <w:pPr>
        <w:keepNext/>
        <w:spacing w:after="140" w:before="400" w:line="240"/>
      </w:pPr>
      <w:r>
        <w:rPr>
          <w:rFonts w:ascii="Times New Roman" w:cs="Times New Roman" w:eastAsia="Times New Roman" w:hAnsi="Times New Roman"/>
          <w:sz w:val="22"/>
          <w:szCs w:val="22"/>
        </w:rPr>
        <w:t xml:space="preserve">Tablo 3. </w:t>
      </w:r>
      <w:r>
        <w:rPr>
          <w:rFonts w:ascii="Times New Roman" w:cs="Times New Roman" w:eastAsia="Times New Roman" w:hAnsi="Times New Roman"/>
          <w:i/>
          <w:iCs/>
          <w:sz w:val="22"/>
          <w:szCs w:val="22"/>
        </w:rPr>
        <w:t xml:space="preserve">Biyolojik temelli malzemelerin potansiyelleri ve sınırlılıkları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888"/>
        <w:gridCol w:w="3888"/>
      </w:tblGrid>
      <w:tr>
        <w:trPr>
          <w:tblHeader/>
        </w:trPr>
        <w:tc>
          <w:tcPr>
            <w:tcW w:type="dxa" w:w="125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Boyut</w:t>
            </w:r>
          </w:p>
        </w:tc>
        <w:tc>
          <w:tcPr>
            <w:tcW w:type="dxa" w:w="3888"/>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Potansiyel</w:t>
            </w:r>
          </w:p>
        </w:tc>
        <w:tc>
          <w:tcPr>
            <w:tcW w:type="dxa" w:w="3888"/>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Sınırlılık</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Kaynak</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Değerlendirilemeyen biyokütlenin alternatif hammaddeye dönüşmesi (Lee ve diğ., 2022); atık alt tabaka ile organizma bileşiminin tasarlanabilmesi (Attias ve diğ., 2020)</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Kısıtlı hammadde kaynakları; bitkisel malzeme maliyetlerinin ülkeden ülkeye değişkenliği (Edalat, 2026)</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Üretim</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Yenilenebilirlik ve düşük gömülü enerji (Bourbia ve diğ., 2023)</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Yüksek maliyetler; merkezsiz ve parçalı tedarik zincirleri (Edalat, 2026)</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Performans</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Isıl düzenleme kapasitesi (Bourbia ve diğ., 2023); mineral yalıtkanlarla karşılaştırılabilir ısıl performans (Edalat, 2026)</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Sınırlı mekanik dayanım ve zayıf yangın dayanımı (Edalat, 2026); uzun süreli dayanıklılık bilgisinin sınırlılığı (Chang ve diğ., 2020)</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Standart</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Bambuda yapısal standartların oluşması: ISO 22156 ve ISO 19624 (Edalat, 2026)</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Çoğu ahşap dışı malzemede kod, kamusal farkındalık ve uzman yüklenici ağı eksikliği (Edalat, 2026); yönetsel boyutun araştırmada zayıf kalması (Pomponi ve Moncaster, 2017)</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Döngüsellik</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Miselyumun kendi kendine bağlanma yoluyla bağlayıcı gereksinimini ortadan kaldırması (Attias ve diğ., 2020)</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Sökülebilirlik için tasarım ilkelerinin uygulamaya çok az geçmiş olması (Rios ve diğ., 2015); ömür sonu planlaması ve toplama altyapısındaki boşluklar (Edalat, 2026)</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Kavramsal</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tasarım sisteminin doğası gereği döngüsel olması (Andréen ve Goidea, 2022)</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Döngüsellik tanımlarının çoğunun sistemsel değişimi vurgulamaması (Kirchherr ve diğ., 2017)</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Deneyim</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Teknik ve deneyimsel niteliklerin tasarıma girdi oluşturması (Karana ve diğ., 2015); öz üretimin tasarımcıya açtığı deney alanı (Rognoli ve diğ., 2015)</w:t>
            </w:r>
          </w:p>
        </w:tc>
        <w:tc>
          <w:tcPr>
            <w:tcW w:type="dxa" w:w="3888"/>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Malzemenin toplum tarafından kabulüne ilişkin belirsizlik (Karana ve diğ., 2018); endüstriyel üretimle koşullanmış tekdüzelik beklentisi (Rognoli ve Ayala García, 2018)</w:t>
            </w:r>
          </w:p>
        </w:tc>
      </w:tr>
    </w:tbl>
    <w:p>
      <w:pPr>
        <w:spacing w:after="160" w:line="360"/>
        <w:jc w:val="both"/>
      </w:pPr>
      <w:r>
        <w:rPr>
          <w:rFonts w:ascii="Times New Roman" w:cs="Times New Roman" w:eastAsia="Times New Roman" w:hAnsi="Times New Roman"/>
          <w:sz w:val="24"/>
          <w:szCs w:val="24"/>
        </w:rPr>
        <w:t xml:space="preserve">Tablo 3’ün okunma biçimi, çerçeve önerisinin de gerekçesini vermektedir. Yedi boyutun beşi malzemenin kendisine, kaynağına ve kurumsal çevresine ilişkindir; yalnızca son boyut kullanıcıyla kurulan ilişkiyi kapsar. Buna karşılık iç mimarlıkta malzeme kararını belirleyen etkenlerin önemli bir bölümü bu son boyutta toplanmaktadır.</w:t>
      </w:r>
    </w:p>
    <w:p>
      <w:pPr>
        <w:pStyle w:val="Heading2"/>
        <w:spacing w:after="170" w:before="320" w:line="360"/>
      </w:pPr>
      <w:r>
        <w:rPr>
          <w:rFonts w:ascii="Times New Roman" w:cs="Times New Roman" w:eastAsia="Times New Roman" w:hAnsi="Times New Roman"/>
          <w:b/>
          <w:bCs/>
          <w:sz w:val="24"/>
          <w:szCs w:val="24"/>
        </w:rPr>
        <w:t xml:space="preserve">7.2. Üç gerilim</w:t>
      </w:r>
    </w:p>
    <w:p>
      <w:pPr>
        <w:spacing w:after="160" w:line="360"/>
        <w:jc w:val="both"/>
      </w:pPr>
      <w:r>
        <w:rPr>
          <w:rFonts w:ascii="Times New Roman" w:cs="Times New Roman" w:eastAsia="Times New Roman" w:hAnsi="Times New Roman"/>
          <w:sz w:val="24"/>
          <w:szCs w:val="24"/>
        </w:rPr>
        <w:t xml:space="preserve">Birincisi değişkenlik ile standartlaşma arasındadır. Biyolojik temelli malzemelerin tasarım açısından en değerli niteliği olan değişkenlik, kurumsal kabul açısından en büyük engelini oluşturmaktadır. Edalat (2026), ahşap dışı malzemelerin çoğunun standartlaşmış kodlardan, kamusal farkındalıktan ve uzmanlaşmış yüklenici ağından yoksun olduğunu; tek belirgin istisnanın yapısal standartların getirilmesiyle uluslararası tanınırlık kazanan bambu olduğunu, ahşabın ise kodlar ve nitelikli işgücüyle desteklenen yerleşik konumu sayesinde daha fazla yeniden kullanım ve geri dönüşüme olanak tanıdığını belirtmektedir. Pomponi ve Moncaster’ın (2017) çerçevesi bu durumu açıklamaktadır: döngüsellik yönetsel ve davranışsal boyutları da kapsar; malzemenin teknik niteliği tek başına yeterli değildir.</w:t>
      </w:r>
    </w:p>
    <w:p>
      <w:pPr>
        <w:spacing w:after="160" w:line="360"/>
        <w:jc w:val="both"/>
      </w:pPr>
      <w:r>
        <w:rPr>
          <w:rFonts w:ascii="Times New Roman" w:cs="Times New Roman" w:eastAsia="Times New Roman" w:hAnsi="Times New Roman"/>
          <w:sz w:val="24"/>
          <w:szCs w:val="24"/>
        </w:rPr>
        <w:t xml:space="preserve">İkincisi yerellik ile ölçeklenebilirlik arasındadır. Biyolojik temelli üretimin yerel kaynaklara dayanabilmesi önemli bir avantajdır; ancak bu avantaj pazar ölçeğinde bir dezavantaja dönüşebilmektedir. Edalat (2026), üretim ve dağıtım aşamalarında yüksek maliyetler, sınırlı pazar payı, merkezsiz ve parçalı tedarik zincirleri, düşük pazar şeffaflığı ve uzmanlaşmış işgücü kıtlığı gibi kalıcı güçlükler saptamaktadır. Buna karşılık Rognoli ve diğ. (2015), kişisel üretim teknolojilerinin yaygınlaşmasının dağıtık ve paylaşımlı üretim süreçleriyle deney yapmayı olanaklı kıldığını göstermektedir. İki saptama birlikte okunduğunda, merkezsizliğin sanayi ölçeğinde bir engel, tasarım pratiği ölçeğinde ise bir olanak oluşturduğu görülmektedir.</w:t>
      </w:r>
    </w:p>
    <w:p>
      <w:pPr>
        <w:spacing w:after="160" w:line="360"/>
        <w:jc w:val="both"/>
      </w:pPr>
      <w:r>
        <w:rPr>
          <w:rFonts w:ascii="Times New Roman" w:cs="Times New Roman" w:eastAsia="Times New Roman" w:hAnsi="Times New Roman"/>
          <w:sz w:val="24"/>
          <w:szCs w:val="24"/>
        </w:rPr>
        <w:t xml:space="preserve">Üçüncüsü biyolojik dönüşebilirlik ile dayanıklılık arasındadır ve bölümün hipotezini en açık biçimde sınayan gerilimdir. Edalat (2026), koyun ve kenevir yünü gibi ham biyolojik yalıtkanların geri dönüştürülebilirlik ve mineral esaslı yalıtkanlarla karşılaştırılabilir ısıl performans nedeniyle ilgi görmesine karşın zayıf yangın dayanımı ve yüksek maliyetle karşılaştığını; buna karşılık mineral yünlerin tümüyle ve sınırsız biçimde yeni ürünlere geri dönüştürülebildiğini ve bu nedenle kapalı döngü uygulamalarıyla daha etkili biçimde örtüştüğünü aktarmaktadır. Yani bu özgül karşılaştırmada, biyolojik kökenli olmayan bir malzeme, biyolojik kökenli alternatifinden daha döngüsel davranmaktadır. Samanın tümüyle biyobozunur olması da zamanla kademeli bozunmaya açıklık anlamına gelmekte ve ön üretimli olmayan biçimlerin geri kazanımını güçleştirmektedir. Biyobozunurluk, kendi başına döngüsellik üretmemekte; aksine geri kazanımı zorlaştırabilmektedir.</w:t>
      </w:r>
    </w:p>
    <w:p>
      <w:pPr>
        <w:pStyle w:val="Heading2"/>
        <w:spacing w:after="170" w:before="320" w:line="360"/>
      </w:pPr>
      <w:r>
        <w:rPr>
          <w:rFonts w:ascii="Times New Roman" w:cs="Times New Roman" w:eastAsia="Times New Roman" w:hAnsi="Times New Roman"/>
          <w:b/>
          <w:bCs/>
          <w:sz w:val="24"/>
          <w:szCs w:val="24"/>
        </w:rPr>
        <w:t xml:space="preserve">7.3. Altı boyutlu bir değerlendirme çerçevesi</w:t>
      </w:r>
    </w:p>
    <w:p>
      <w:pPr>
        <w:spacing w:after="160" w:line="360"/>
        <w:jc w:val="both"/>
      </w:pPr>
      <w:r>
        <w:rPr>
          <w:rFonts w:ascii="Times New Roman" w:cs="Times New Roman" w:eastAsia="Times New Roman" w:hAnsi="Times New Roman"/>
          <w:sz w:val="24"/>
          <w:szCs w:val="24"/>
        </w:rPr>
        <w:t xml:space="preserve">Yukarıdaki üç gerilim, bir malzemenin tek bir ölçüt kümesiyle değerlendirilemeyeceğini göstermektedir. Kirchherr ve diğ. (2017), döngüsellik tanımlarının çoğunun sistemsel değişimi vurgulamadığını; Pomponi ve Moncaster (2017) ise yapılı çevrede döngüselliğin altı boyutta kurulduğunu ortaya koymaktadır. Edalat (2026) de malzeme tasarımcılarının yaşam döngüsü değerlendirmesine ve sera gazı azaltımına orantısız biçimde odaklanmasının tedarik zinciri dirençliliği ve malzeme döngüselliği gibi en az onun kadar hayati yönleri ihmal ettiğini belirtmektedir. Üç saptama aynı sonuca varmaktadır: eksik olan, daha iyi bir malzeme listesi değil; malzeme kararını farklı düzlemlerde birlikte okuyan bir çerçevedir.</w:t>
      </w:r>
    </w:p>
    <w:p>
      <w:pPr>
        <w:spacing w:after="160" w:line="360"/>
        <w:jc w:val="both"/>
      </w:pPr>
      <w:r>
        <w:rPr>
          <w:rFonts w:ascii="Times New Roman" w:cs="Times New Roman" w:eastAsia="Times New Roman" w:hAnsi="Times New Roman"/>
          <w:sz w:val="24"/>
          <w:szCs w:val="24"/>
        </w:rPr>
        <w:t xml:space="preserve">Tablo 4, bu gereksinime yanıt olarak iç mekân ölçeği için altı boyutlu bir değerlendirme çerçevesi önermektedir. Çerçevenin kaynağı tek bir çalışma değildir; her boyut, bölüm boyunca tartışılan farklı kaynak kümelerine dayanmaktadır. İlk üç boyut malzemenin maddi örgütlenmesini, son üç boyut ise malzemenin kullanıcıyla, zamanla ve kurumsal çevreyle ilişkisini kapsar.</w:t>
      </w:r>
    </w:p>
    <w:p>
      <w:pPr>
        <w:keepNext/>
        <w:spacing w:after="140" w:before="400" w:line="240"/>
      </w:pPr>
      <w:r>
        <w:rPr>
          <w:rFonts w:ascii="Times New Roman" w:cs="Times New Roman" w:eastAsia="Times New Roman" w:hAnsi="Times New Roman"/>
          <w:sz w:val="22"/>
          <w:szCs w:val="22"/>
        </w:rPr>
        <w:t xml:space="preserve">Tablo 4. </w:t>
      </w:r>
      <w:r>
        <w:rPr>
          <w:rFonts w:ascii="Times New Roman" w:cs="Times New Roman" w:eastAsia="Times New Roman" w:hAnsi="Times New Roman"/>
          <w:i/>
          <w:iCs/>
          <w:sz w:val="22"/>
          <w:szCs w:val="22"/>
        </w:rPr>
        <w:t xml:space="preserve">İç mekân ölçeği için önerilen altı boyutlu değerlendirme çerçevesi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900"/>
        <w:gridCol w:w="3400"/>
        <w:gridCol w:w="3176"/>
      </w:tblGrid>
      <w:tr>
        <w:trPr>
          <w:tblHeader/>
        </w:trPr>
        <w:tc>
          <w:tcPr>
            <w:tcW w:type="dxa" w:w="55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
            </w:r>
          </w:p>
        </w:tc>
        <w:tc>
          <w:tcPr>
            <w:tcW w:type="dxa" w:w="19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Boyut</w:t>
            </w:r>
          </w:p>
        </w:tc>
        <w:tc>
          <w:tcPr>
            <w:tcW w:type="dxa" w:w="34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Tasarımcının sorusu</w:t>
            </w:r>
          </w:p>
        </w:tc>
        <w:tc>
          <w:tcPr>
            <w:tcW w:type="dxa" w:w="3176"/>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Kuramsal dayanak</w:t>
            </w:r>
          </w:p>
        </w:tc>
      </w:tr>
      <w:tr>
        <w:tc>
          <w:tcPr>
            <w:tcW w:type="dxa" w:w="5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A</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Kaynak ve tedarik</w:t>
            </w:r>
          </w:p>
        </w:tc>
        <w:tc>
          <w:tcPr>
            <w:tcW w:type="dxa" w:w="3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Girdi bir atık akımından mı geliyor? Kaynak bölgesel olarak erişilebilir mi? Alt tabaka ile organizma bileşimi tasarlanmış mı?</w:t>
            </w:r>
          </w:p>
        </w:tc>
        <w:tc>
          <w:tcPr>
            <w:tcW w:type="dxa" w:w="317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Lee ve diğ. (2022); Attias ve diğ. (2020)</w:t>
            </w:r>
          </w:p>
        </w:tc>
      </w:tr>
      <w:tr>
        <w:tc>
          <w:tcPr>
            <w:tcW w:type="dxa" w:w="5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Bileşim ve birleşim</w:t>
            </w:r>
          </w:p>
        </w:tc>
        <w:tc>
          <w:tcPr>
            <w:tcW w:type="dxa" w:w="3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Bağlayıcı doğal mı, sentetik mi, yok mu? Bileşen hasarsız sökülebiliyor mu? Birleşim tersinir mi?</w:t>
            </w:r>
          </w:p>
        </w:tc>
        <w:tc>
          <w:tcPr>
            <w:tcW w:type="dxa" w:w="317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Rios ve diğ. (2015); Edalat (2026)</w:t>
            </w:r>
          </w:p>
        </w:tc>
      </w:tr>
      <w:tr>
        <w:tc>
          <w:tcPr>
            <w:tcW w:type="dxa" w:w="5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C</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Ömür sonu senaryosu</w:t>
            </w:r>
          </w:p>
        </w:tc>
        <w:tc>
          <w:tcPr>
            <w:tcW w:type="dxa" w:w="3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Bileşen ömrünün sonunda hangi döngüye giriyor? Senaryo tasarım aşamasında tanımlanmış mı?</w:t>
            </w:r>
          </w:p>
        </w:tc>
        <w:tc>
          <w:tcPr>
            <w:tcW w:type="dxa" w:w="317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Kirchherr ve diğ. (2017); Chang ve diğ. (2020); Edalat (2026)</w:t>
            </w:r>
          </w:p>
        </w:tc>
      </w:tr>
      <w:tr>
        <w:tc>
          <w:tcPr>
            <w:tcW w:type="dxa" w:w="5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Deneyimsel performans</w:t>
            </w:r>
          </w:p>
        </w:tc>
        <w:tc>
          <w:tcPr>
            <w:tcW w:type="dxa" w:w="3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Malzeme kullanıcıda hangi duyusal ve anlamsal deneyimi oluşturuyor? Yaşlandığında nasıl davranıyor? Değişkenliği kabul görüyor mu?</w:t>
            </w:r>
          </w:p>
        </w:tc>
        <w:tc>
          <w:tcPr>
            <w:tcW w:type="dxa" w:w="317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Karana ve diğ. (2015); Karana ve diğ. (2018); Rognoli ve Ayala García (2018)</w:t>
            </w:r>
          </w:p>
        </w:tc>
      </w:tr>
      <w:tr>
        <w:tc>
          <w:tcPr>
            <w:tcW w:type="dxa" w:w="5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E</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Dirençlilik kapasitesi</w:t>
            </w:r>
          </w:p>
        </w:tc>
        <w:tc>
          <w:tcPr>
            <w:tcW w:type="dxa" w:w="3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Kurgu çeşitlilik ve yedeklilik taşıyor mu? Birleşimler tersinir mi? Bileşen onarılabiliyor mu? Mekân uyarlanabilir ve dönüşebilir mi?</w:t>
            </w:r>
          </w:p>
        </w:tc>
        <w:tc>
          <w:tcPr>
            <w:tcW w:type="dxa" w:w="317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Walker ve diğ. (2004); Biggs ve diğ. (2012); Graham ve Thrift (2007); Rios ve diğ. (2015)</w:t>
            </w:r>
          </w:p>
        </w:tc>
      </w:tr>
      <w:tr>
        <w:tc>
          <w:tcPr>
            <w:tcW w:type="dxa" w:w="55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F</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Kurumsal ve toplumsal çerçeve</w:t>
            </w:r>
          </w:p>
        </w:tc>
        <w:tc>
          <w:tcPr>
            <w:tcW w:type="dxa" w:w="3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Malzemeyi destekleyen standart, kod, uzman ağı ve üretim kanalı var mı? Kullanıcı kabulü nasıl kurulacak?</w:t>
            </w:r>
          </w:p>
        </w:tc>
        <w:tc>
          <w:tcPr>
            <w:tcW w:type="dxa" w:w="3176"/>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Pomponi ve Moncaster (2017); Rognoli ve diğ. (2015)</w:t>
            </w:r>
          </w:p>
        </w:tc>
      </w:tr>
    </w:tbl>
    <w:p>
      <w:pPr>
        <w:spacing w:after="340" w:before="130" w:line="240"/>
      </w:pPr>
      <w:r>
        <w:rPr>
          <w:rFonts w:ascii="Times New Roman" w:cs="Times New Roman" w:eastAsia="Times New Roman" w:hAnsi="Times New Roman"/>
          <w:i/>
          <w:iCs/>
          <w:sz w:val="18"/>
          <w:szCs w:val="18"/>
        </w:rPr>
        <w:t xml:space="preserve">Çerçeve bu bölümün önerisidir; boyutların dayandığı saptamalar belirtilen kaynaklardan alınmıştır.</w:t>
      </w:r>
    </w:p>
    <w:p>
      <w:pPr>
        <w:spacing w:after="160" w:line="360"/>
        <w:jc w:val="both"/>
      </w:pPr>
      <w:r>
        <w:rPr>
          <w:rFonts w:ascii="Times New Roman" w:cs="Times New Roman" w:eastAsia="Times New Roman" w:hAnsi="Times New Roman"/>
          <w:sz w:val="24"/>
          <w:szCs w:val="24"/>
        </w:rPr>
        <w:t xml:space="preserve">Çerçevenin kullanım mantığı sıralı değil eşzamanlıdır: bir bileşenin yalnızca ilk üç boyutu karşılaması, iç mekân bağlamında yeterli bir değerlendirme sağlamaz. Nitekim altıncı başlıkta aktarılan kahve atıklı duvar paneli örneği, atık kökenli tedarik boyutunu tümüyle karşılamasına karşın ömür sonu boyutunu hiç karşılamayan bir bileşenin döngüsel sayılamayacağını göstermektedir. Aynı mantık son üç boyut için de geçerlidir: deneyimsel performansı güçlü olmakla birlikte onarılamayan, sökülemeyen ya da yenilenemeyen bir bileşen dirençlilik boyutunu karşılamaz.</w:t>
      </w:r>
    </w:p>
    <w:p>
      <w:pPr>
        <w:pStyle w:val="Heading1"/>
        <w:spacing w:after="220" w:before="440" w:line="360"/>
      </w:pPr>
      <w:r>
        <w:rPr>
          <w:rFonts w:ascii="Times New Roman" w:cs="Times New Roman" w:eastAsia="Times New Roman" w:hAnsi="Times New Roman"/>
          <w:b/>
          <w:bCs/>
          <w:sz w:val="26"/>
          <w:szCs w:val="26"/>
        </w:rPr>
        <w:t xml:space="preserve">8. SONUÇ</w:t>
      </w:r>
    </w:p>
    <w:p>
      <w:pPr>
        <w:spacing w:after="160" w:line="360"/>
        <w:jc w:val="both"/>
      </w:pPr>
      <w:r>
        <w:rPr>
          <w:rFonts w:ascii="Times New Roman" w:cs="Times New Roman" w:eastAsia="Times New Roman" w:hAnsi="Times New Roman"/>
          <w:sz w:val="24"/>
          <w:szCs w:val="24"/>
        </w:rPr>
        <w:t xml:space="preserve">Bu bölüm, iç mimarlıkta biyolojik temelli malzeme seçiminin sürdürülebilirlikten döngüselliğe ve döngüsellikten dirençliliğe geçişi sağlayan bir tasarım yaklaşımı olarak nasıl kavramsallaştırılabileceği sorusunu ele almıştır. Yürütülen tartışma, bu üç kavramın birbirinin yerine geçen eşanlamlılar değil, birbirini kapsayan ve birbirine ölçüt ekleyen üç ayrı düzlem oluşturduğunu göstermektedir. Birinci düzlemde sürdürülebilirlik malzemenin çevresel etkisini azaltmayı hedefler; ikinci düzlemde döngüsellik malzemenin yaşam döngüsünü ve ömür sonu senaryosunu karar sürecine dahil eder; üçüncü düzlemde dirençlilik değerlendirmeye zamanı ve değişimi ekler (Tablo 5).</w:t>
      </w:r>
    </w:p>
    <w:p>
      <w:pPr>
        <w:keepNext/>
        <w:spacing w:after="140" w:before="400" w:line="240"/>
      </w:pPr>
      <w:r>
        <w:rPr>
          <w:rFonts w:ascii="Times New Roman" w:cs="Times New Roman" w:eastAsia="Times New Roman" w:hAnsi="Times New Roman"/>
          <w:sz w:val="22"/>
          <w:szCs w:val="22"/>
        </w:rPr>
        <w:t xml:space="preserve">Tablo 5. </w:t>
      </w:r>
      <w:r>
        <w:rPr>
          <w:rFonts w:ascii="Times New Roman" w:cs="Times New Roman" w:eastAsia="Times New Roman" w:hAnsi="Times New Roman"/>
          <w:i/>
          <w:iCs/>
          <w:sz w:val="22"/>
          <w:szCs w:val="22"/>
        </w:rPr>
        <w:t xml:space="preserve">Sürdürülebilirlik, döngüsellik ve dirençlilik: üç değerlendirme düzlemi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63"/>
        <w:gridCol w:w="2563"/>
      </w:tblGrid>
      <w:tr>
        <w:trPr>
          <w:tblHeader/>
        </w:trPr>
        <w:tc>
          <w:tcPr>
            <w:tcW w:type="dxa" w:w="15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Düzlem</w:t>
            </w:r>
          </w:p>
        </w:tc>
        <w:tc>
          <w:tcPr>
            <w:tcW w:type="dxa" w:w="24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Sorduğu soru</w:t>
            </w:r>
          </w:p>
        </w:tc>
        <w:tc>
          <w:tcPr>
            <w:tcW w:type="dxa" w:w="2563"/>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Karar sürecine eklediği ölçüt</w:t>
            </w:r>
          </w:p>
        </w:tc>
        <w:tc>
          <w:tcPr>
            <w:tcW w:type="dxa" w:w="2563"/>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Tek başına yetersiz kaldığı nokta</w:t>
            </w:r>
          </w:p>
        </w:tc>
      </w:tr>
      <w:tr>
        <w:tc>
          <w:tcPr>
            <w:tcW w:type="dxa" w:w="15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Sürdürülebilirlik</w:t>
            </w:r>
          </w:p>
        </w:tc>
        <w:tc>
          <w:tcPr>
            <w:tcW w:type="dxa" w:w="2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Malzemenin çevresel etkisi nedir?</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Kaynak, salım ve enerji ölçütleri</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Biyolojik köken çevresel avantajı güvence altına almaz; her avantaj için önemli istisnalar bulunur¹</w:t>
            </w:r>
          </w:p>
        </w:tc>
      </w:tr>
      <w:tr>
        <w:tc>
          <w:tcPr>
            <w:tcW w:type="dxa" w:w="15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Döngüsellik</w:t>
            </w:r>
          </w:p>
        </w:tc>
        <w:tc>
          <w:tcPr>
            <w:tcW w:type="dxa" w:w="2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Malzeme ömrünün sonunda ne oluyor?</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Bileşim, birleşim, bağlayıcı türü, sökülebilirlik ve ömür sonu senaryosu</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Tanımların çoğu sistemsel değişimi vurgulamaz; sökülebilirlik ilkeleri uygulamaya geçmemiştir²</w:t>
            </w:r>
          </w:p>
        </w:tc>
      </w:tr>
      <w:tr>
        <w:tc>
          <w:tcPr>
            <w:tcW w:type="dxa" w:w="15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Dirençlilik</w:t>
            </w:r>
          </w:p>
        </w:tc>
        <w:tc>
          <w:tcPr>
            <w:tcW w:type="dxa" w:w="2400"/>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Sistem değişim karşısında sürekliliğini koruyabiliyor mu?</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Çeşitlilik ve yedeklilik, tersinir bağlantı, onarılabilirlik, uyarlanabilirlik</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sz w:val="19"/>
                <w:szCs w:val="19"/>
              </w:rPr>
              <w:t xml:space="preserve">Uzun süreli davranışa ilişkin bilgi büyük ölçüde eksik olduğundan değerlendirme kuramsal düzeyde kalır³</w:t>
            </w:r>
          </w:p>
        </w:tc>
      </w:tr>
    </w:tbl>
    <w:p>
      <w:pPr>
        <w:spacing w:after="340" w:before="130" w:line="240"/>
      </w:pPr>
      <w:r>
        <w:rPr>
          <w:rFonts w:ascii="Times New Roman" w:cs="Times New Roman" w:eastAsia="Times New Roman" w:hAnsi="Times New Roman"/>
          <w:i/>
          <w:iCs/>
          <w:sz w:val="18"/>
          <w:szCs w:val="18"/>
        </w:rPr>
        <w:t xml:space="preserve">¹ O’Rourke ve Seepersad (2015) · ² Kirchherr ve diğ. (2017); Rios ve diğ. (2015) · ³ Walker ve diğ. (2004); Biggs ve diğ. (2012); Chang ve diğ. (2020)</w:t>
      </w:r>
    </w:p>
    <w:p>
      <w:pPr>
        <w:spacing w:after="160" w:line="360"/>
        <w:jc w:val="both"/>
      </w:pPr>
      <w:r>
        <w:rPr>
          <w:rFonts w:ascii="Times New Roman" w:cs="Times New Roman" w:eastAsia="Times New Roman" w:hAnsi="Times New Roman"/>
          <w:sz w:val="24"/>
          <w:szCs w:val="24"/>
        </w:rPr>
        <w:t xml:space="preserve">Tablo 5’in son kolonu, bölümün yöntemsel tutumunu da özetlemektedir: her düzlem bir sonrakini gerektirmekte, hiçbiri tek başına yeterli olmamaktadır. Üç düzlemin iç mimarlıkta kesiştiği nokta ise bölümün ikinci saptamasını oluşturmaktadır. Ahşap dışı biyolojik temelli malzemelerin fiilî uygulama alanı büyük ölçüde iç mekândır; bu malzemeler sınırlı mekanik dayanımları nedeniyle taşıyıcı elemanlarda nadiren yer almaktadır (Edalat, 2026). Dolayısıyla iç mimarlık, söz konusu malzemelerin yapılı çevreye girişinde belirleyici ölçeği oluşturmaktadır.</w:t>
      </w:r>
    </w:p>
    <w:p>
      <w:pPr>
        <w:spacing w:after="160" w:line="360"/>
        <w:jc w:val="both"/>
      </w:pPr>
      <w:r>
        <w:rPr>
          <w:rFonts w:ascii="Times New Roman" w:cs="Times New Roman" w:eastAsia="Times New Roman" w:hAnsi="Times New Roman"/>
          <w:sz w:val="24"/>
          <w:szCs w:val="24"/>
        </w:rPr>
        <w:t xml:space="preserve">Bölümde önerilen altı boyutlu değerlendirme çerçevesi bu zemine dayanmaktadır (Tablo 4). Çerçevenin sınırlılıkları da belirtilmelidir: öneri kuramsal düzeyde kalmakta, tasarım pratiğinde sınanmamıştır. Boyutların her biri için ölçülebilir bir değerlendirme yöntemi henüz bulunmamakta; özellikle deneyimsel performans ve dirençlilik kapasitesi için yerleşik bir ölçüm yaklaşımı yoktur. Ayrıca çerçeve taşıyıcı olmayan iç mekân bileşenleri için kurulmuş olup yapısal ölçeğe genellenemez.</w:t>
      </w:r>
    </w:p>
    <w:p>
      <w:pPr>
        <w:spacing w:after="160" w:line="360"/>
        <w:jc w:val="both"/>
      </w:pPr>
      <w:r>
        <w:rPr>
          <w:rFonts w:ascii="Times New Roman" w:cs="Times New Roman" w:eastAsia="Times New Roman" w:hAnsi="Times New Roman"/>
          <w:sz w:val="24"/>
          <w:szCs w:val="24"/>
        </w:rPr>
        <w:t xml:space="preserve">Bu sınırlılıklar doğrudan bir araştırma gündemine işaret etmektedir. Deneyimsel performans ve dirençlilik kapasitesi boyutları için ölçülebilir değerlendirme yaklaşımları geliştirilmeli; Biggs ve diğ.’nin (2012) ekolojik ölçekte tanımladığı ilkelerin iç mekân bileşenlerine nasıl uyarlanacağı ayrıca çalışılmalı; iç mekân bileşenlerinde bağlayıcı sistemleri ve tersinir birleşim detayları araştırılmalıdır, çünkü Rios ve diğ. (2015) sökülebilirlik için tasarımda kuram ile uygulama arasındaki boşluğu açıkça ortaya koymaktadır. Biyolojik temelli iç mekân bileşenlerinin uzun süreli davranışı izlenmeli (Chang ve diğ., 2020); döngüselliğin yönetsel ve davranışsal boyutları ise iç mekân bağlamında incelenmelidir (Pomponi ve Moncaster, 2017).</w:t>
      </w:r>
    </w:p>
    <w:p>
      <w:pPr>
        <w:spacing w:after="160" w:line="360"/>
        <w:jc w:val="both"/>
      </w:pPr>
      <w:r>
        <w:rPr>
          <w:rFonts w:ascii="Times New Roman" w:cs="Times New Roman" w:eastAsia="Times New Roman" w:hAnsi="Times New Roman"/>
          <w:sz w:val="24"/>
          <w:szCs w:val="24"/>
        </w:rPr>
        <w:t xml:space="preserve">Son olarak, bu yaklaşımın iç mimarlık açısından ima ettiği değişim malzeme listelerinin yenilenmesinden daha kapsamlıdır. Camere ve Karana’nın (2018) saptadığı malzeme seçiminden malzeme tasarımına kayma, tasarımcının malzemeyle kurduğu ilişkinin yeniden tanımlanması anlamına gelmektedir. Heymans ve diğ.’nin (2019) saptaması bu dönüşümün yönünü de göstermektedir: sistemin sürdürülebilirliği dirençlilik kapasitesine bağlıdır ve bu kapasite, kentlerin insan ve insan-dışı tüm sakinlerini kapsamak durumundadır; yalnızca insan toplumunun dirençliliğine odaklanmak sosyo-ekolojik sistemin dirençliliğini aşındırabilmektedir. İç mekân, bu ilişkinin gündelik ölçekte kurulduğu yer olduğu için, söz konusu dönüşümün hem sınanacağı hem de görünür olacağı alandır.</w:t>
      </w:r>
    </w:p>
    <w:p>
      <w:pPr>
        <w:pStyle w:val="Heading1"/>
        <w:spacing w:after="220" w:before="44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ve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Askar, R., Bragança, L. ve Gervásio, H. (2021). Adaptability of buildings: A critical review on the concept evolution. </w:t>
      </w:r>
      <w:r>
        <w:rPr>
          <w:rFonts w:ascii="Times New Roman" w:cs="Times New Roman" w:eastAsia="Times New Roman" w:hAnsi="Times New Roman"/>
          <w:i/>
          <w:iCs/>
          <w:sz w:val="24"/>
          <w:szCs w:val="24"/>
        </w:rPr>
        <w:t xml:space="preserve">Applied Sciences, 11</w:t>
      </w:r>
      <w:r>
        <w:rPr>
          <w:rFonts w:ascii="Times New Roman" w:cs="Times New Roman" w:eastAsia="Times New Roman" w:hAnsi="Times New Roman"/>
          <w:i w:val="false"/>
          <w:iCs w:val="false"/>
          <w:sz w:val="24"/>
          <w:szCs w:val="24"/>
        </w:rPr>
        <w:t xml:space="preserve">(10), 4483. https://doi.org/10.3390/app11104483</w:t>
      </w:r>
    </w:p>
    <w:p>
      <w:pPr>
        <w:spacing w:after="140" w:line="360"/>
        <w:ind w:left="567" w:hanging="567"/>
        <w:jc w:val="left"/>
      </w:pPr>
      <w:r>
        <w:rPr>
          <w:rFonts w:ascii="Times New Roman" w:cs="Times New Roman" w:eastAsia="Times New Roman" w:hAnsi="Times New Roman"/>
          <w:i w:val="false"/>
          <w:iCs w:val="false"/>
          <w:sz w:val="24"/>
          <w:szCs w:val="24"/>
        </w:rPr>
        <w:t xml:space="preserve">Attias, N., Danai, O., Abitbol, T., Tarazi, E., Ezov, N., Pereman, I. ve Grobman, Y. J. (2020). Mycelium bio-composites in industrial design and architecture: Comparative review and experimental analysis. </w:t>
      </w:r>
      <w:r>
        <w:rPr>
          <w:rFonts w:ascii="Times New Roman" w:cs="Times New Roman" w:eastAsia="Times New Roman" w:hAnsi="Times New Roman"/>
          <w:i/>
          <w:iCs/>
          <w:sz w:val="24"/>
          <w:szCs w:val="24"/>
        </w:rPr>
        <w:t xml:space="preserve">Journal of Cleaner Production, 246</w:t>
      </w:r>
      <w:r>
        <w:rPr>
          <w:rFonts w:ascii="Times New Roman" w:cs="Times New Roman" w:eastAsia="Times New Roman" w:hAnsi="Times New Roman"/>
          <w:i w:val="false"/>
          <w:iCs w:val="false"/>
          <w:sz w:val="24"/>
          <w:szCs w:val="24"/>
        </w:rPr>
        <w:t xml:space="preserve">, 119037. https://doi.org/10.1016/j.jclepro.2019.119037</w:t>
      </w:r>
    </w:p>
    <w:p>
      <w:pPr>
        <w:spacing w:after="140" w:line="360"/>
        <w:ind w:left="567" w:hanging="567"/>
        <w:jc w:val="left"/>
      </w:pPr>
      <w:r>
        <w:rPr>
          <w:rFonts w:ascii="Times New Roman" w:cs="Times New Roman" w:eastAsia="Times New Roman" w:hAnsi="Times New Roman"/>
          <w:i w:val="false"/>
          <w:iCs w:val="false"/>
          <w:sz w:val="24"/>
          <w:szCs w:val="24"/>
        </w:rPr>
        <w:t xml:space="preserve">Barati, B. ve Karana, E. (2019). Affordances as materials potential: What design can do for materials development. </w:t>
      </w:r>
      <w:r>
        <w:rPr>
          <w:rFonts w:ascii="Times New Roman" w:cs="Times New Roman" w:eastAsia="Times New Roman" w:hAnsi="Times New Roman"/>
          <w:i/>
          <w:iCs/>
          <w:sz w:val="24"/>
          <w:szCs w:val="24"/>
        </w:rPr>
        <w:t xml:space="preserve">International Journal of Design, 13</w:t>
      </w:r>
      <w:r>
        <w:rPr>
          <w:rFonts w:ascii="Times New Roman" w:cs="Times New Roman" w:eastAsia="Times New Roman" w:hAnsi="Times New Roman"/>
          <w:i w:val="false"/>
          <w:iCs w:val="false"/>
          <w:sz w:val="24"/>
          <w:szCs w:val="24"/>
        </w:rPr>
        <w:t xml:space="preserve">(3), 105–123.</w:t>
      </w:r>
    </w:p>
    <w:p>
      <w:pPr>
        <w:spacing w:after="140" w:line="360"/>
        <w:ind w:left="567" w:hanging="567"/>
        <w:jc w:val="left"/>
      </w:pPr>
      <w:r>
        <w:rPr>
          <w:rFonts w:ascii="Times New Roman" w:cs="Times New Roman" w:eastAsia="Times New Roman" w:hAnsi="Times New Roman"/>
          <w:i w:val="false"/>
          <w:iCs w:val="false"/>
          <w:sz w:val="24"/>
          <w:szCs w:val="24"/>
        </w:rPr>
        <w:t xml:space="preserve">Biggs, R., Schlüter, M., Biggs, D., Bohensky, E. L., BurnSilver, S., Cundill, G., Dakos, V., Daw, T. M., Evans, L. S., Kotschy, K., Leitch, A. M., Meek, C., Quinlan, A., Raudsepp-Hearne, C., Robards, M. D., Schoon, M. L., Schultz, L. ve West, P. C. (2012). Toward principles for enhancing the resilience of ecosystem services. </w:t>
      </w:r>
      <w:r>
        <w:rPr>
          <w:rFonts w:ascii="Times New Roman" w:cs="Times New Roman" w:eastAsia="Times New Roman" w:hAnsi="Times New Roman"/>
          <w:i/>
          <w:iCs/>
          <w:sz w:val="24"/>
          <w:szCs w:val="24"/>
        </w:rPr>
        <w:t xml:space="preserve">Annual Review of Environment and Resources, 37</w:t>
      </w:r>
      <w:r>
        <w:rPr>
          <w:rFonts w:ascii="Times New Roman" w:cs="Times New Roman" w:eastAsia="Times New Roman" w:hAnsi="Times New Roman"/>
          <w:i w:val="false"/>
          <w:iCs w:val="false"/>
          <w:sz w:val="24"/>
          <w:szCs w:val="24"/>
        </w:rPr>
        <w:t xml:space="preserve">, 421–448. https://doi.org/10.1146/annurev-environ-051211-123836</w:t>
      </w:r>
    </w:p>
    <w:p>
      <w:pPr>
        <w:spacing w:after="140" w:line="360"/>
        <w:ind w:left="567" w:hanging="567"/>
        <w:jc w:val="left"/>
      </w:pPr>
      <w:r>
        <w:rPr>
          <w:rFonts w:ascii="Times New Roman" w:cs="Times New Roman" w:eastAsia="Times New Roman" w:hAnsi="Times New Roman"/>
          <w:i w:val="false"/>
          <w:iCs w:val="false"/>
          <w:sz w:val="24"/>
          <w:szCs w:val="24"/>
        </w:rPr>
        <w:t xml:space="preserve">Bourbia, S., Kazeoui, H. ve Belarbi, R. (2023). A review on recent research on bio-based building materials and their applications. </w:t>
      </w:r>
      <w:r>
        <w:rPr>
          <w:rFonts w:ascii="Times New Roman" w:cs="Times New Roman" w:eastAsia="Times New Roman" w:hAnsi="Times New Roman"/>
          <w:i/>
          <w:iCs/>
          <w:sz w:val="24"/>
          <w:szCs w:val="24"/>
        </w:rPr>
        <w:t xml:space="preserve">Materials for Renewable and Sustainable Energy, 12</w:t>
      </w:r>
      <w:r>
        <w:rPr>
          <w:rFonts w:ascii="Times New Roman" w:cs="Times New Roman" w:eastAsia="Times New Roman" w:hAnsi="Times New Roman"/>
          <w:i w:val="false"/>
          <w:iCs w:val="false"/>
          <w:sz w:val="24"/>
          <w:szCs w:val="24"/>
        </w:rPr>
        <w:t xml:space="preserve">, 117–139. https://doi.org/10.1007/s40243-023-00234-7</w:t>
      </w:r>
    </w:p>
    <w:p>
      <w:pPr>
        <w:spacing w:after="140" w:line="360"/>
        <w:ind w:left="567" w:hanging="567"/>
        <w:jc w:val="left"/>
      </w:pPr>
      <w:r>
        <w:rPr>
          <w:rFonts w:ascii="Times New Roman" w:cs="Times New Roman" w:eastAsia="Times New Roman" w:hAnsi="Times New Roman"/>
          <w:i w:val="false"/>
          <w:iCs w:val="false"/>
          <w:sz w:val="24"/>
          <w:szCs w:val="24"/>
        </w:rPr>
        <w:t xml:space="preserve">Camere, S. ve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ve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Houette, T., Demirci, Ö. ve Badarnah, L. (2024). The potential of co-designing with living organisms: Towards a new ecological paradigm in architecture. </w:t>
      </w:r>
      <w:r>
        <w:rPr>
          <w:rFonts w:ascii="Times New Roman" w:cs="Times New Roman" w:eastAsia="Times New Roman" w:hAnsi="Times New Roman"/>
          <w:i/>
          <w:iCs/>
          <w:sz w:val="24"/>
          <w:szCs w:val="24"/>
        </w:rPr>
        <w:t xml:space="preserve">Sustainability, 16</w:t>
      </w:r>
      <w:r>
        <w:rPr>
          <w:rFonts w:ascii="Times New Roman" w:cs="Times New Roman" w:eastAsia="Times New Roman" w:hAnsi="Times New Roman"/>
          <w:i w:val="false"/>
          <w:iCs w:val="false"/>
          <w:sz w:val="24"/>
          <w:szCs w:val="24"/>
        </w:rPr>
        <w:t xml:space="preserve">(2), 673. https://doi.org/10.3390/su16020673</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Perricone, V., Gruber, P. ve Guéna, F. (2023). Bioinspired, biobased and living material designs: A review of recent research in architecture and construction. </w:t>
      </w:r>
      <w:r>
        <w:rPr>
          <w:rFonts w:ascii="Times New Roman" w:cs="Times New Roman" w:eastAsia="Times New Roman" w:hAnsi="Times New Roman"/>
          <w:i/>
          <w:iCs/>
          <w:sz w:val="24"/>
          <w:szCs w:val="24"/>
        </w:rPr>
        <w:t xml:space="preserve">Bioinspiration &amp; Biomimetics, 18</w:t>
      </w:r>
      <w:r>
        <w:rPr>
          <w:rFonts w:ascii="Times New Roman" w:cs="Times New Roman" w:eastAsia="Times New Roman" w:hAnsi="Times New Roman"/>
          <w:i w:val="false"/>
          <w:iCs w:val="false"/>
          <w:sz w:val="24"/>
          <w:szCs w:val="24"/>
        </w:rPr>
        <w:t xml:space="preserve">(4), 041001. https://doi.org/10.1088/1748-3190/acd82e</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Folke, C. (2006). Resilience: The emergence of a perspective for social–ecological systems analyses. </w:t>
      </w:r>
      <w:r>
        <w:rPr>
          <w:rFonts w:ascii="Times New Roman" w:cs="Times New Roman" w:eastAsia="Times New Roman" w:hAnsi="Times New Roman"/>
          <w:i/>
          <w:iCs/>
          <w:sz w:val="24"/>
          <w:szCs w:val="24"/>
        </w:rPr>
        <w:t xml:space="preserve">Global Environmental Change, 16</w:t>
      </w:r>
      <w:r>
        <w:rPr>
          <w:rFonts w:ascii="Times New Roman" w:cs="Times New Roman" w:eastAsia="Times New Roman" w:hAnsi="Times New Roman"/>
          <w:i w:val="false"/>
          <w:iCs w:val="false"/>
          <w:sz w:val="24"/>
          <w:szCs w:val="24"/>
        </w:rPr>
        <w:t xml:space="preserve">(3), 253–267. https://doi.org/10.1016/j.gloenvcha.2006.04.002</w:t>
      </w:r>
    </w:p>
    <w:p>
      <w:pPr>
        <w:spacing w:after="140" w:line="360"/>
        <w:ind w:left="567" w:hanging="567"/>
        <w:jc w:val="left"/>
      </w:pPr>
      <w:r>
        <w:rPr>
          <w:rFonts w:ascii="Times New Roman" w:cs="Times New Roman" w:eastAsia="Times New Roman" w:hAnsi="Times New Roman"/>
          <w:i w:val="false"/>
          <w:iCs w:val="false"/>
          <w:sz w:val="24"/>
          <w:szCs w:val="24"/>
        </w:rPr>
        <w:t xml:space="preserve">Goidea, A., Floudas, D. ve Andréen, D. (2022). Transcalar design: An approach to biodesign in the built environment. </w:t>
      </w:r>
      <w:r>
        <w:rPr>
          <w:rFonts w:ascii="Times New Roman" w:cs="Times New Roman" w:eastAsia="Times New Roman" w:hAnsi="Times New Roman"/>
          <w:i/>
          <w:iCs/>
          <w:sz w:val="24"/>
          <w:szCs w:val="24"/>
        </w:rPr>
        <w:t xml:space="preserve">Infrastructures, 7</w:t>
      </w:r>
      <w:r>
        <w:rPr>
          <w:rFonts w:ascii="Times New Roman" w:cs="Times New Roman" w:eastAsia="Times New Roman" w:hAnsi="Times New Roman"/>
          <w:i w:val="false"/>
          <w:iCs w:val="false"/>
          <w:sz w:val="24"/>
          <w:szCs w:val="24"/>
        </w:rPr>
        <w:t xml:space="preserve">(4), 50. https://doi.org/10.3390/infrastructures7040050</w:t>
      </w:r>
    </w:p>
    <w:p>
      <w:pPr>
        <w:spacing w:after="140" w:line="360"/>
        <w:ind w:left="567" w:hanging="567"/>
        <w:jc w:val="left"/>
      </w:pPr>
      <w:r>
        <w:rPr>
          <w:rFonts w:ascii="Times New Roman" w:cs="Times New Roman" w:eastAsia="Times New Roman" w:hAnsi="Times New Roman"/>
          <w:i w:val="false"/>
          <w:iCs w:val="false"/>
          <w:sz w:val="24"/>
          <w:szCs w:val="24"/>
        </w:rPr>
        <w:t xml:space="preserve">Graham, S. ve Thrift, N. (2007). Out of order: Understanding repair and maintenance. </w:t>
      </w:r>
      <w:r>
        <w:rPr>
          <w:rFonts w:ascii="Times New Roman" w:cs="Times New Roman" w:eastAsia="Times New Roman" w:hAnsi="Times New Roman"/>
          <w:i/>
          <w:iCs/>
          <w:sz w:val="24"/>
          <w:szCs w:val="24"/>
        </w:rPr>
        <w:t xml:space="preserve">Theory, Culture &amp; Society, 24</w:t>
      </w:r>
      <w:r>
        <w:rPr>
          <w:rFonts w:ascii="Times New Roman" w:cs="Times New Roman" w:eastAsia="Times New Roman" w:hAnsi="Times New Roman"/>
          <w:i w:val="false"/>
          <w:iCs w:val="false"/>
          <w:sz w:val="24"/>
          <w:szCs w:val="24"/>
        </w:rPr>
        <w:t xml:space="preserve">(3), 1–25. https://doi.org/10.1177/0263276407075954</w:t>
      </w:r>
    </w:p>
    <w:p>
      <w:pPr>
        <w:spacing w:after="140" w:line="360"/>
        <w:ind w:left="567" w:hanging="567"/>
        <w:jc w:val="left"/>
      </w:pPr>
      <w:r>
        <w:rPr>
          <w:rFonts w:ascii="Times New Roman" w:cs="Times New Roman" w:eastAsia="Times New Roman" w:hAnsi="Times New Roman"/>
          <w:i w:val="false"/>
          <w:iCs w:val="false"/>
          <w:sz w:val="24"/>
          <w:szCs w:val="24"/>
        </w:rPr>
        <w:t xml:space="preserve">Heymans, A., Breadsell, J., Morrison, G. M., Byrne, J. J. ve Eon, C. (2019). Ecological urban planning and design: A systematic literature review. </w:t>
      </w:r>
      <w:r>
        <w:rPr>
          <w:rFonts w:ascii="Times New Roman" w:cs="Times New Roman" w:eastAsia="Times New Roman" w:hAnsi="Times New Roman"/>
          <w:i/>
          <w:iCs/>
          <w:sz w:val="24"/>
          <w:szCs w:val="24"/>
        </w:rPr>
        <w:t xml:space="preserve">Sustainability, 11</w:t>
      </w:r>
      <w:r>
        <w:rPr>
          <w:rFonts w:ascii="Times New Roman" w:cs="Times New Roman" w:eastAsia="Times New Roman" w:hAnsi="Times New Roman"/>
          <w:i w:val="false"/>
          <w:iCs w:val="false"/>
          <w:sz w:val="24"/>
          <w:szCs w:val="24"/>
        </w:rPr>
        <w:t xml:space="preserve">(13), 3723. https://doi.org/10.3390/su11133723</w:t>
      </w:r>
    </w:p>
    <w:p>
      <w:pPr>
        <w:spacing w:after="140" w:line="360"/>
        <w:ind w:left="567" w:hanging="567"/>
        <w:jc w:val="left"/>
      </w:pPr>
      <w:r>
        <w:rPr>
          <w:rFonts w:ascii="Times New Roman" w:cs="Times New Roman" w:eastAsia="Times New Roman" w:hAnsi="Times New Roman"/>
          <w:i w:val="false"/>
          <w:iCs w:val="false"/>
          <w:sz w:val="24"/>
          <w:szCs w:val="24"/>
        </w:rPr>
        <w:t xml:space="preserve">Karana, E., Barati, B., Rognoli, V. ve Zeeuw van der Laan, A. (2015). Material driven design (MDD): A method to design for material experiences. </w:t>
      </w:r>
      <w:r>
        <w:rPr>
          <w:rFonts w:ascii="Times New Roman" w:cs="Times New Roman" w:eastAsia="Times New Roman" w:hAnsi="Times New Roman"/>
          <w:i/>
          <w:iCs/>
          <w:sz w:val="24"/>
          <w:szCs w:val="24"/>
        </w:rPr>
        <w:t xml:space="preserve">International Journal of Design, 9</w:t>
      </w:r>
      <w:r>
        <w:rPr>
          <w:rFonts w:ascii="Times New Roman" w:cs="Times New Roman" w:eastAsia="Times New Roman" w:hAnsi="Times New Roman"/>
          <w:i w:val="false"/>
          <w:iCs w:val="false"/>
          <w:sz w:val="24"/>
          <w:szCs w:val="24"/>
        </w:rPr>
        <w:t xml:space="preserve">(2), 35–54.</w:t>
      </w:r>
    </w:p>
    <w:p>
      <w:pPr>
        <w:spacing w:after="140" w:line="360"/>
        <w:ind w:left="567" w:hanging="567"/>
        <w:jc w:val="left"/>
      </w:pPr>
      <w:r>
        <w:rPr>
          <w:rFonts w:ascii="Times New Roman" w:cs="Times New Roman" w:eastAsia="Times New Roman" w:hAnsi="Times New Roman"/>
          <w:i w:val="false"/>
          <w:iCs w:val="false"/>
          <w:sz w:val="24"/>
          <w:szCs w:val="24"/>
        </w:rPr>
        <w:t xml:space="preserve">Karana, E., Blauwhoff, D., Hultink, E.-J. ve Camere, S. (2018). When the material grows: A case study on designing (with) mycelium-based materials. </w:t>
      </w:r>
      <w:r>
        <w:rPr>
          <w:rFonts w:ascii="Times New Roman" w:cs="Times New Roman" w:eastAsia="Times New Roman" w:hAnsi="Times New Roman"/>
          <w:i/>
          <w:iCs/>
          <w:sz w:val="24"/>
          <w:szCs w:val="24"/>
        </w:rPr>
        <w:t xml:space="preserve">International Journal of Design, 12</w:t>
      </w:r>
      <w:r>
        <w:rPr>
          <w:rFonts w:ascii="Times New Roman" w:cs="Times New Roman" w:eastAsia="Times New Roman" w:hAnsi="Times New Roman"/>
          <w:i w:val="false"/>
          <w:iCs w:val="false"/>
          <w:sz w:val="24"/>
          <w:szCs w:val="24"/>
        </w:rPr>
        <w:t xml:space="preserve">(2), 119–136.</w:t>
      </w:r>
    </w:p>
    <w:p>
      <w:pPr>
        <w:spacing w:after="140" w:line="360"/>
        <w:ind w:left="567" w:hanging="567"/>
        <w:jc w:val="left"/>
      </w:pPr>
      <w:r>
        <w:rPr>
          <w:rFonts w:ascii="Times New Roman" w:cs="Times New Roman" w:eastAsia="Times New Roman" w:hAnsi="Times New Roman"/>
          <w:i w:val="false"/>
          <w:iCs w:val="false"/>
          <w:sz w:val="24"/>
          <w:szCs w:val="24"/>
        </w:rPr>
        <w:t xml:space="preserve">Kırbaş Akyürek, B., Ciravoğlu, A., Mohammadi, M. ve Yeğenoğlu, H. (2020). Building design in between living and manufactured: A research on terminology. </w:t>
      </w:r>
      <w:r>
        <w:rPr>
          <w:rFonts w:ascii="Times New Roman" w:cs="Times New Roman" w:eastAsia="Times New Roman" w:hAnsi="Times New Roman"/>
          <w:i/>
          <w:iCs/>
          <w:sz w:val="24"/>
          <w:szCs w:val="24"/>
        </w:rPr>
        <w:t xml:space="preserve">Online Journal of Art and Design, 8</w:t>
      </w:r>
      <w:r>
        <w:rPr>
          <w:rFonts w:ascii="Times New Roman" w:cs="Times New Roman" w:eastAsia="Times New Roman" w:hAnsi="Times New Roman"/>
          <w:i w:val="false"/>
          <w:iCs w:val="false"/>
          <w:sz w:val="24"/>
          <w:szCs w:val="24"/>
        </w:rPr>
        <w:t xml:space="preserve">(3), 75–90.</w:t>
      </w:r>
    </w:p>
    <w:p>
      <w:pPr>
        <w:spacing w:after="140" w:line="360"/>
        <w:ind w:left="567" w:hanging="567"/>
        <w:jc w:val="left"/>
      </w:pPr>
      <w:r>
        <w:rPr>
          <w:rFonts w:ascii="Times New Roman" w:cs="Times New Roman" w:eastAsia="Times New Roman" w:hAnsi="Times New Roman"/>
          <w:i w:val="false"/>
          <w:iCs w:val="false"/>
          <w:sz w:val="24"/>
          <w:szCs w:val="24"/>
        </w:rPr>
        <w:t xml:space="preserve">Kirchherr, J., Reike, D. ve Hekkert, M. (2017). Conceptualizing the circular economy: An analysis of 114 definitions. </w:t>
      </w:r>
      <w:r>
        <w:rPr>
          <w:rFonts w:ascii="Times New Roman" w:cs="Times New Roman" w:eastAsia="Times New Roman" w:hAnsi="Times New Roman"/>
          <w:i/>
          <w:iCs/>
          <w:sz w:val="24"/>
          <w:szCs w:val="24"/>
        </w:rPr>
        <w:t xml:space="preserve">Resources, Conservation and Recycling, 127</w:t>
      </w:r>
      <w:r>
        <w:rPr>
          <w:rFonts w:ascii="Times New Roman" w:cs="Times New Roman" w:eastAsia="Times New Roman" w:hAnsi="Times New Roman"/>
          <w:i w:val="false"/>
          <w:iCs w:val="false"/>
          <w:sz w:val="24"/>
          <w:szCs w:val="24"/>
        </w:rPr>
        <w:t xml:space="preserve">, 221–232. https://doi.org/10.1016/j.resconrec.2017.09.005</w:t>
      </w:r>
    </w:p>
    <w:p>
      <w:pPr>
        <w:spacing w:after="140" w:line="360"/>
        <w:ind w:left="567" w:hanging="567"/>
        <w:jc w:val="left"/>
      </w:pPr>
      <w:r>
        <w:rPr>
          <w:rFonts w:ascii="Times New Roman" w:cs="Times New Roman" w:eastAsia="Times New Roman" w:hAnsi="Times New Roman"/>
          <w:i w:val="false"/>
          <w:iCs w:val="false"/>
          <w:sz w:val="24"/>
          <w:szCs w:val="24"/>
        </w:rPr>
        <w:t xml:space="preserve">Lee, J.-Y., Lee, S.-E. ve Lee, D.-W. (2022). Current status and future prospects of biological routes to bio-based products using raw materials, wastes, and residues as renewable resources. </w:t>
      </w:r>
      <w:r>
        <w:rPr>
          <w:rFonts w:ascii="Times New Roman" w:cs="Times New Roman" w:eastAsia="Times New Roman" w:hAnsi="Times New Roman"/>
          <w:i/>
          <w:iCs/>
          <w:sz w:val="24"/>
          <w:szCs w:val="24"/>
        </w:rPr>
        <w:t xml:space="preserve">Critical Reviews in Environmental Science and Technology, 52</w:t>
      </w:r>
      <w:r>
        <w:rPr>
          <w:rFonts w:ascii="Times New Roman" w:cs="Times New Roman" w:eastAsia="Times New Roman" w:hAnsi="Times New Roman"/>
          <w:i w:val="false"/>
          <w:iCs w:val="false"/>
          <w:sz w:val="24"/>
          <w:szCs w:val="24"/>
        </w:rPr>
        <w:t xml:space="preserve">(14). https://doi.org/10.1080/10643389.2021.1880259</w:t>
      </w:r>
    </w:p>
    <w:p>
      <w:pPr>
        <w:spacing w:after="140" w:line="360"/>
        <w:ind w:left="567" w:hanging="567"/>
        <w:jc w:val="left"/>
      </w:pPr>
      <w:r>
        <w:rPr>
          <w:rFonts w:ascii="Times New Roman" w:cs="Times New Roman" w:eastAsia="Times New Roman" w:hAnsi="Times New Roman"/>
          <w:i w:val="false"/>
          <w:iCs w:val="false"/>
          <w:sz w:val="24"/>
          <w:szCs w:val="24"/>
        </w:rPr>
        <w:t xml:space="preserve">Myers, W. (2018). </w:t>
      </w:r>
      <w:r>
        <w:rPr>
          <w:rFonts w:ascii="Times New Roman" w:cs="Times New Roman" w:eastAsia="Times New Roman" w:hAnsi="Times New Roman"/>
          <w:i/>
          <w:iCs/>
          <w:sz w:val="24"/>
          <w:szCs w:val="24"/>
        </w:rPr>
        <w:t xml:space="preserve">Bio design</w:t>
      </w:r>
      <w:r>
        <w:rPr>
          <w:rFonts w:ascii="Times New Roman" w:cs="Times New Roman" w:eastAsia="Times New Roman" w:hAnsi="Times New Roman"/>
          <w:i w:val="false"/>
          <w:iCs w:val="false"/>
          <w:sz w:val="24"/>
          <w:szCs w:val="24"/>
        </w:rPr>
        <w:t xml:space="preserve">. Thames &amp; Hudson.</w:t>
      </w:r>
    </w:p>
    <w:p>
      <w:pPr>
        <w:spacing w:after="140" w:line="360"/>
        <w:ind w:left="567" w:hanging="567"/>
        <w:jc w:val="left"/>
      </w:pPr>
      <w:r>
        <w:rPr>
          <w:rFonts w:ascii="Times New Roman" w:cs="Times New Roman" w:eastAsia="Times New Roman" w:hAnsi="Times New Roman"/>
          <w:i w:val="false"/>
          <w:iCs w:val="false"/>
          <w:sz w:val="24"/>
          <w:szCs w:val="24"/>
        </w:rPr>
        <w:t xml:space="preserve">O’Rourke, J. ve Seepersad, C. C. (2015). Using biology as a model for sustainability: Insights for ecodesign and bioinspired design practitioners. </w:t>
      </w:r>
      <w:r>
        <w:rPr>
          <w:rFonts w:ascii="Times New Roman" w:cs="Times New Roman" w:eastAsia="Times New Roman" w:hAnsi="Times New Roman"/>
          <w:i/>
          <w:iCs/>
          <w:sz w:val="24"/>
          <w:szCs w:val="24"/>
        </w:rPr>
        <w:t xml:space="preserve">Proceedings of the 20th International Conference on Engineering Design (ICED15)</w:t>
      </w:r>
      <w:r>
        <w:rPr>
          <w:rFonts w:ascii="Times New Roman" w:cs="Times New Roman" w:eastAsia="Times New Roman" w:hAnsi="Times New Roman"/>
          <w:i w:val="false"/>
          <w:iCs w:val="false"/>
          <w:sz w:val="24"/>
          <w:szCs w:val="24"/>
        </w:rPr>
        <w:t xml:space="preserve">, Milano, İtalya, 27–30 Temmuz 2015.</w:t>
      </w:r>
    </w:p>
    <w:p>
      <w:pPr>
        <w:spacing w:after="140" w:line="360"/>
        <w:ind w:left="567" w:hanging="567"/>
        <w:jc w:val="left"/>
      </w:pPr>
      <w:r>
        <w:rPr>
          <w:rFonts w:ascii="Times New Roman" w:cs="Times New Roman" w:eastAsia="Times New Roman" w:hAnsi="Times New Roman"/>
          <w:i w:val="false"/>
          <w:iCs w:val="false"/>
          <w:sz w:val="24"/>
          <w:szCs w:val="24"/>
        </w:rPr>
        <w:t xml:space="preserve">Pomponi, F. ve Moncaster, A. (2017). Circular economy for the built environment: A research framework. </w:t>
      </w:r>
      <w:r>
        <w:rPr>
          <w:rFonts w:ascii="Times New Roman" w:cs="Times New Roman" w:eastAsia="Times New Roman" w:hAnsi="Times New Roman"/>
          <w:i/>
          <w:iCs/>
          <w:sz w:val="24"/>
          <w:szCs w:val="24"/>
        </w:rPr>
        <w:t xml:space="preserve">Journal of Cleaner Production, 143</w:t>
      </w:r>
      <w:r>
        <w:rPr>
          <w:rFonts w:ascii="Times New Roman" w:cs="Times New Roman" w:eastAsia="Times New Roman" w:hAnsi="Times New Roman"/>
          <w:i w:val="false"/>
          <w:iCs w:val="false"/>
          <w:sz w:val="24"/>
          <w:szCs w:val="24"/>
        </w:rPr>
        <w:t xml:space="preserve">, 710–718. https://doi.org/10.1016/j.jclepro.2016.12.055</w:t>
      </w:r>
    </w:p>
    <w:p>
      <w:pPr>
        <w:spacing w:after="140" w:line="360"/>
        <w:ind w:left="567" w:hanging="567"/>
        <w:jc w:val="left"/>
      </w:pPr>
      <w:r>
        <w:rPr>
          <w:rFonts w:ascii="Times New Roman" w:cs="Times New Roman" w:eastAsia="Times New Roman" w:hAnsi="Times New Roman"/>
          <w:i w:val="false"/>
          <w:iCs w:val="false"/>
          <w:sz w:val="24"/>
          <w:szCs w:val="24"/>
        </w:rPr>
        <w:t xml:space="preserve">Rios, F. C., Chong, W. K. ve Grau, D. (2015). Design for disassembly and deconstruction: Challenges and opportunities. </w:t>
      </w:r>
      <w:r>
        <w:rPr>
          <w:rFonts w:ascii="Times New Roman" w:cs="Times New Roman" w:eastAsia="Times New Roman" w:hAnsi="Times New Roman"/>
          <w:i/>
          <w:iCs/>
          <w:sz w:val="24"/>
          <w:szCs w:val="24"/>
        </w:rPr>
        <w:t xml:space="preserve">Procedia Engineering, 118</w:t>
      </w:r>
      <w:r>
        <w:rPr>
          <w:rFonts w:ascii="Times New Roman" w:cs="Times New Roman" w:eastAsia="Times New Roman" w:hAnsi="Times New Roman"/>
          <w:i w:val="false"/>
          <w:iCs w:val="false"/>
          <w:sz w:val="24"/>
          <w:szCs w:val="24"/>
        </w:rPr>
        <w:t xml:space="preserve">, 1296–1304. https://doi.org/10.1016/j.proeng.2015.08.485</w:t>
      </w:r>
    </w:p>
    <w:p>
      <w:pPr>
        <w:spacing w:after="140" w:line="360"/>
        <w:ind w:left="567" w:hanging="567"/>
        <w:jc w:val="left"/>
      </w:pPr>
      <w:r>
        <w:rPr>
          <w:rFonts w:ascii="Times New Roman" w:cs="Times New Roman" w:eastAsia="Times New Roman" w:hAnsi="Times New Roman"/>
          <w:i w:val="false"/>
          <w:iCs w:val="false"/>
          <w:sz w:val="24"/>
          <w:szCs w:val="24"/>
        </w:rPr>
        <w:t xml:space="preserve">Rognoli, V. ve Ayala García, C. (2018). Material activism: New hybrid scenarios between design and technology. </w:t>
      </w:r>
      <w:r>
        <w:rPr>
          <w:rFonts w:ascii="Times New Roman" w:cs="Times New Roman" w:eastAsia="Times New Roman" w:hAnsi="Times New Roman"/>
          <w:i/>
          <w:iCs/>
          <w:sz w:val="24"/>
          <w:szCs w:val="24"/>
        </w:rPr>
        <w:t xml:space="preserve">Cuadernos del Centro de Estudios en Diseño y Comunicación</w:t>
      </w:r>
      <w:r>
        <w:rPr>
          <w:rFonts w:ascii="Times New Roman" w:cs="Times New Roman" w:eastAsia="Times New Roman" w:hAnsi="Times New Roman"/>
          <w:i w:val="false"/>
          <w:iCs w:val="false"/>
          <w:sz w:val="24"/>
          <w:szCs w:val="24"/>
        </w:rPr>
        <w:t xml:space="preserve">, (70), 105–115.</w:t>
      </w:r>
    </w:p>
    <w:p>
      <w:pPr>
        <w:spacing w:after="140" w:line="360"/>
        <w:ind w:left="567" w:hanging="567"/>
        <w:jc w:val="left"/>
      </w:pPr>
      <w:r>
        <w:rPr>
          <w:rFonts w:ascii="Times New Roman" w:cs="Times New Roman" w:eastAsia="Times New Roman" w:hAnsi="Times New Roman"/>
          <w:i w:val="false"/>
          <w:iCs w:val="false"/>
          <w:sz w:val="24"/>
          <w:szCs w:val="24"/>
        </w:rPr>
        <w:t xml:space="preserve">Rognoli, V., Bianchini, M., Maffei, S. ve Karana, E. (2015). DIY materials. </w:t>
      </w:r>
      <w:r>
        <w:rPr>
          <w:rFonts w:ascii="Times New Roman" w:cs="Times New Roman" w:eastAsia="Times New Roman" w:hAnsi="Times New Roman"/>
          <w:i/>
          <w:iCs/>
          <w:sz w:val="24"/>
          <w:szCs w:val="24"/>
        </w:rPr>
        <w:t xml:space="preserve">Materials &amp; Design, 86</w:t>
      </w:r>
      <w:r>
        <w:rPr>
          <w:rFonts w:ascii="Times New Roman" w:cs="Times New Roman" w:eastAsia="Times New Roman" w:hAnsi="Times New Roman"/>
          <w:i w:val="false"/>
          <w:iCs w:val="false"/>
          <w:sz w:val="24"/>
          <w:szCs w:val="24"/>
        </w:rPr>
        <w:t xml:space="preserve">, 692–702. https://doi.org/10.1016/j.matdes.2015.07.020</w:t>
      </w:r>
    </w:p>
    <w:p>
      <w:pPr>
        <w:spacing w:after="140" w:line="360"/>
        <w:ind w:left="567" w:hanging="567"/>
        <w:jc w:val="left"/>
      </w:pPr>
      <w:r>
        <w:rPr>
          <w:rFonts w:ascii="Times New Roman" w:cs="Times New Roman" w:eastAsia="Times New Roman" w:hAnsi="Times New Roman"/>
          <w:i w:val="false"/>
          <w:iCs w:val="false"/>
          <w:sz w:val="24"/>
          <w:szCs w:val="24"/>
        </w:rPr>
        <w:t xml:space="preserve">Tyagi, P. ve Jain, C. (2026). Bio-based and regenerative materials in interior design: A systematic literature review and bibliometric analysis. </w:t>
      </w:r>
      <w:r>
        <w:rPr>
          <w:rFonts w:ascii="Times New Roman" w:cs="Times New Roman" w:eastAsia="Times New Roman" w:hAnsi="Times New Roman"/>
          <w:i/>
          <w:iCs/>
          <w:sz w:val="24"/>
          <w:szCs w:val="24"/>
        </w:rPr>
        <w:t xml:space="preserve">Journal of Engineering and Applied Science</w:t>
      </w:r>
      <w:r>
        <w:rPr>
          <w:rFonts w:ascii="Times New Roman" w:cs="Times New Roman" w:eastAsia="Times New Roman" w:hAnsi="Times New Roman"/>
          <w:i w:val="false"/>
          <w:iCs w:val="false"/>
          <w:sz w:val="24"/>
          <w:szCs w:val="24"/>
        </w:rPr>
        <w:t xml:space="preserve">. https://doi.org/10.1186/s44147-026-00970-3</w:t>
      </w:r>
    </w:p>
    <w:p>
      <w:pPr>
        <w:spacing w:after="140" w:line="360"/>
        <w:ind w:left="567" w:hanging="567"/>
        <w:jc w:val="left"/>
      </w:pPr>
      <w:r>
        <w:rPr>
          <w:rFonts w:ascii="Times New Roman" w:cs="Times New Roman" w:eastAsia="Times New Roman" w:hAnsi="Times New Roman"/>
          <w:i w:val="false"/>
          <w:iCs w:val="false"/>
          <w:sz w:val="24"/>
          <w:szCs w:val="24"/>
        </w:rPr>
        <w:t xml:space="preserve">Ünal, B. (2025). </w:t>
      </w:r>
      <w:r>
        <w:rPr>
          <w:rFonts w:ascii="Times New Roman" w:cs="Times New Roman" w:eastAsia="Times New Roman" w:hAnsi="Times New Roman"/>
          <w:i/>
          <w:iCs/>
          <w:sz w:val="24"/>
          <w:szCs w:val="24"/>
        </w:rPr>
        <w:t xml:space="preserve">Biyoloji bazlı malzemelerin üretiminden mekânsal dirençlilik analizine: Tasarım odaklı deneysel bir yaklaşım</w:t>
      </w:r>
      <w:r>
        <w:rPr>
          <w:rFonts w:ascii="Times New Roman" w:cs="Times New Roman" w:eastAsia="Times New Roman" w:hAnsi="Times New Roman"/>
          <w:i w:val="false"/>
          <w:iCs w:val="false"/>
          <w:sz w:val="24"/>
          <w:szCs w:val="24"/>
        </w:rPr>
        <w:t xml:space="preserve"> [Doktora tezi]. Hacettepe Üniversitesi, Güzel Sanatlar Enstitüsü.</w:t>
      </w:r>
    </w:p>
    <w:p>
      <w:pPr>
        <w:spacing w:after="140" w:line="360"/>
        <w:ind w:left="567" w:hanging="567"/>
        <w:jc w:val="left"/>
      </w:pPr>
      <w:r>
        <w:rPr>
          <w:rFonts w:ascii="Times New Roman" w:cs="Times New Roman" w:eastAsia="Times New Roman" w:hAnsi="Times New Roman"/>
          <w:i w:val="false"/>
          <w:iCs w:val="false"/>
          <w:sz w:val="24"/>
          <w:szCs w:val="24"/>
        </w:rPr>
        <w:t xml:space="preserve">Walker, B., Holling, C. S., Carpenter, S. R. ve Kinzig, A. (2004). Resilience, adaptability and transformability in social–ecological systems. </w:t>
      </w:r>
      <w:r>
        <w:rPr>
          <w:rFonts w:ascii="Times New Roman" w:cs="Times New Roman" w:eastAsia="Times New Roman" w:hAnsi="Times New Roman"/>
          <w:i/>
          <w:iCs/>
          <w:sz w:val="24"/>
          <w:szCs w:val="24"/>
        </w:rPr>
        <w:t xml:space="preserve">Ecology and Society, 9</w:t>
      </w:r>
      <w:r>
        <w:rPr>
          <w:rFonts w:ascii="Times New Roman" w:cs="Times New Roman" w:eastAsia="Times New Roman" w:hAnsi="Times New Roman"/>
          <w:i w:val="false"/>
          <w:iCs w:val="false"/>
          <w:sz w:val="24"/>
          <w:szCs w:val="24"/>
        </w:rPr>
        <w:t xml:space="preserve">(2), 5.</w:t>
      </w:r>
    </w:p>
    <w:sectPr>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İç Mimarlıkta Sürdürülebilir Malzeme Seçimi ve Döngüsel Tasarım</dc:title>
  <dc:creator>Betül Ünal</dc:creator>
  <dc:description>Kitap bölümü — birleşik metin</dc:description>
  <cp:lastModifiedBy>Un-named</cp:lastModifiedBy>
  <cp:revision>1</cp:revision>
  <dcterms:created xsi:type="dcterms:W3CDTF">2026-10-02T09:40:12.513Z</dcterms:created>
  <dcterms:modified xsi:type="dcterms:W3CDTF">2026-10-02T09:40:12.514Z</dcterms:modified>
</cp:coreProperties>
</file>

<file path=docProps/custom.xml><?xml version="1.0" encoding="utf-8"?>
<Properties xmlns="http://schemas.openxmlformats.org/officeDocument/2006/custom-properties" xmlns:vt="http://schemas.openxmlformats.org/officeDocument/2006/docPropsVTypes"/>
</file>