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40" w:before="40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Tablo 3.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Biyolojik temelli malzemelerin potansiyelleri ve sınırlılıkları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888"/>
        <w:gridCol w:w="3888"/>
      </w:tblGrid>
      <w:tr>
        <w:trPr>
          <w:tblHeader/>
        </w:trPr>
        <w:tc>
          <w:tcPr>
            <w:tcW w:type="dxa" w:w="1250"/>
            <w:shd w:fill="EC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Boyut</w:t>
            </w:r>
          </w:p>
        </w:tc>
        <w:tc>
          <w:tcPr>
            <w:tcW w:type="dxa" w:w="3888"/>
            <w:shd w:fill="EC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Potansiyel</w:t>
            </w:r>
          </w:p>
        </w:tc>
        <w:tc>
          <w:tcPr>
            <w:tcW w:type="dxa" w:w="3888"/>
            <w:shd w:fill="EC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Sınırlılık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Kaynak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Değerlendirilemeyen biyokütlenin alternatif hammaddeye dönüşmesi (Lee ve diğ., 2022); atık alt tabaka ile organizma bileşiminin tasarlanabilmesi (Attias ve diğ., 2020)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Kısıtlı hammadde kaynakları; bitkisel malzeme maliyetlerinin ülkeden ülkeye değişkenliği (Edalat, 2026)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Üretim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Yenilenebilirlik ve düşük gömülü enerji (Bourbia ve diğ., 2023)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Yüksek maliyetler; merkezsiz ve parçalı tedarik zincirleri (Edalat, 2026)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Performans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Isıl düzenleme kapasitesi (Bourbia ve diğ., 2023); mineral yalıtkanlarla karşılaştırılabilir ısıl performans (Edalat, 2026)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Sınırlı mekanik dayanım ve zayıf yangın dayanımı (Edalat, 2026); uzun süreli dayanıklılık bilgisinin sınırlılığı (Chang ve diğ., 2020)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Standart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Bambuda yapısal standartların oluşması: ISO 22156 ve ISO 19624 (Edalat, 2026)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Çoğu ahşap dışı malzemede kod, kamusal farkındalık ve uzman yüklenici ağı eksikliği (Edalat, 2026); yönetsel boyutun araştırmada zayıf kalması (Pomponi ve Moncaster, 2017)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Döngüsellik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Miselyumun kendi kendine bağlanma yoluyla bağlayıcı gereksinimini ortadan kaldırması (Attias ve diğ., 2020)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Sökülebilirlik için tasarım ilkelerinin uygulamaya çok az geçmiş olması (Rios ve diğ., 2015); ömür sonu planlaması ve toplama altyapısındaki boşluklar (Edalat, 2026)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Kavramsal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Biyolojik tasarım sisteminin doğası gereği döngüsel olması (Andréen ve Goidea, 2022)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Döngüsellik tanımlarının çoğunun sistemsel değişimi vurgulamaması (Kirchherr ve diğ., 2017)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Deneyim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Teknik ve deneyimsel niteliklerin tasarıma girdi oluşturması (Karana ve diğ., 2015); öz üretimin tasarımcıya açtığı deney alanı (Rognoli ve diğ., 2015)</w:t>
            </w:r>
          </w:p>
        </w:tc>
        <w:tc>
          <w:tcPr>
            <w:tcW w:type="dxa" w:w="38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Malzemenin toplum tarafından kabulüne ilişkin belirsizlik (Karana ve diğ., 2018); endüstriyel üretimle koşullanmış tekdüzelik beklentisi (Rognoli ve Ayala García, 2018)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Tablo 3</dc:title>
  <dc:creator>Betül Ünal</dc:creator>
  <cp:lastModifiedBy>Un-named</cp:lastModifiedBy>
  <cp:revision>1</cp:revision>
  <dcterms:created xsi:type="dcterms:W3CDTF">2026-10-02T09:39:58.959Z</dcterms:created>
  <dcterms:modified xsi:type="dcterms:W3CDTF">2026-10-02T09:39:58.974Z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