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93F862" w14:textId="77777777" w:rsidR="00806B20" w:rsidRPr="00806B20" w:rsidRDefault="00806B20" w:rsidP="00806B20">
      <w:pPr>
        <w:spacing w:line="276" w:lineRule="auto"/>
        <w:jc w:val="center"/>
        <w:rPr>
          <w:rFonts w:ascii="Arial" w:eastAsia="Times New Roman" w:hAnsi="Arial" w:cs="Arial"/>
        </w:rPr>
      </w:pPr>
      <w:r w:rsidRPr="00806B20">
        <w:rPr>
          <w:rFonts w:ascii="Arial" w:eastAsia="Times New Roman" w:hAnsi="Arial" w:cs="Arial"/>
        </w:rPr>
        <w:t>Spatial Resilience Beyond Anthropocentrism: Reconfiguring Material Agency through Biodesign</w:t>
      </w:r>
    </w:p>
    <w:p w14:paraId="34ACACD5" w14:textId="77777777" w:rsidR="00806B20" w:rsidRPr="00806B20" w:rsidRDefault="00806B20" w:rsidP="00806B20">
      <w:pPr>
        <w:pStyle w:val="Heading2"/>
        <w:spacing w:line="276" w:lineRule="auto"/>
        <w:jc w:val="both"/>
        <w:rPr>
          <w:rFonts w:ascii="Arial" w:eastAsia="Times New Roman" w:hAnsi="Arial" w:cs="Arial"/>
          <w:sz w:val="24"/>
          <w:szCs w:val="24"/>
        </w:rPr>
      </w:pPr>
    </w:p>
    <w:p w14:paraId="5F6F2A10" w14:textId="77777777" w:rsidR="00254179" w:rsidRPr="00806B20" w:rsidRDefault="00254179" w:rsidP="00806B20">
      <w:pPr>
        <w:pStyle w:val="Heading2"/>
        <w:spacing w:line="276" w:lineRule="auto"/>
        <w:jc w:val="both"/>
        <w:rPr>
          <w:rFonts w:ascii="Arial" w:eastAsia="Times New Roman" w:hAnsi="Arial" w:cs="Arial"/>
          <w:sz w:val="24"/>
          <w:szCs w:val="24"/>
        </w:rPr>
      </w:pPr>
      <w:r w:rsidRPr="00806B20">
        <w:rPr>
          <w:rFonts w:ascii="Arial" w:eastAsia="Times New Roman" w:hAnsi="Arial" w:cs="Arial"/>
          <w:sz w:val="24"/>
          <w:szCs w:val="24"/>
        </w:rPr>
        <w:t>Abstract</w:t>
      </w:r>
    </w:p>
    <w:p w14:paraId="46AD9AFA" w14:textId="77777777" w:rsidR="00254179" w:rsidRPr="00806B20" w:rsidRDefault="00254179" w:rsidP="00806B20">
      <w:pPr>
        <w:pStyle w:val="NormalWeb"/>
        <w:spacing w:line="276" w:lineRule="auto"/>
        <w:jc w:val="both"/>
        <w:rPr>
          <w:rFonts w:ascii="Arial" w:hAnsi="Arial" w:cs="Arial"/>
        </w:rPr>
      </w:pPr>
      <w:r w:rsidRPr="00806B20">
        <w:rPr>
          <w:rFonts w:ascii="Arial" w:hAnsi="Arial" w:cs="Arial"/>
        </w:rPr>
        <w:t>The concept of spatial resilience is increasingly invoked within architectural discourse, yet it is often framed in technical terms that emphasize structural endurance, material durability, and resistance to disturbance. This paper argues that such interpretations remain embedded within an anthropocentric design paradigm that positions materials as passive objects subjected to human control. By interrogating the epistemological foundations of contemporary architectural production, the study reframes resilience as a relational condition emerging from adaptive material ecologies rather than as a purely structural attribute.</w:t>
      </w:r>
    </w:p>
    <w:p w14:paraId="0D1F49A2" w14:textId="77777777" w:rsidR="00254179" w:rsidRPr="00806B20" w:rsidRDefault="00254179" w:rsidP="00806B20">
      <w:pPr>
        <w:pStyle w:val="NormalWeb"/>
        <w:spacing w:line="276" w:lineRule="auto"/>
        <w:jc w:val="both"/>
        <w:rPr>
          <w:rFonts w:ascii="Arial" w:hAnsi="Arial" w:cs="Arial"/>
        </w:rPr>
      </w:pPr>
      <w:r w:rsidRPr="00806B20">
        <w:rPr>
          <w:rFonts w:ascii="Arial" w:hAnsi="Arial" w:cs="Arial"/>
        </w:rPr>
        <w:t>Drawing on interdisciplinary scholarship in biodesign, biological design principles, and ecological resilience, the paper develops a conceptual and critical inquiry into the ontological status of materials in spatial systems. It traces the transition from material objectification toward material agency, highlighting how bio-based materials destabilize industrial assumptions of homogeneity, permanence, and centralized control. Illustrative material instances—including eggshell-derived calcium carbonate composites, mycelium-grown structures, and casein-based biopolymers—are discussed as embodiments of environmental responsiveness, lifecycle integration, and distributed formation processes.</w:t>
      </w:r>
    </w:p>
    <w:p w14:paraId="0458730B" w14:textId="77777777" w:rsidR="00254179" w:rsidRPr="00806B20" w:rsidRDefault="00254179" w:rsidP="00806B20">
      <w:pPr>
        <w:pStyle w:val="NormalWeb"/>
        <w:spacing w:line="276" w:lineRule="auto"/>
        <w:jc w:val="both"/>
        <w:rPr>
          <w:rFonts w:ascii="Arial" w:hAnsi="Arial" w:cs="Arial"/>
        </w:rPr>
      </w:pPr>
      <w:r w:rsidRPr="00806B20">
        <w:rPr>
          <w:rFonts w:ascii="Arial" w:hAnsi="Arial" w:cs="Arial"/>
        </w:rPr>
        <w:t>The study contributes theoretically to design epistemology by repositioning architectural production as a relational negotiation among human and non-human actors. Conceptually, it redefines spatial resilience as the capacity of spatial systems to sustain coherence through adaptive transformation. By proposing a post-anthropocentric orientation for spatial research, the paper suggests that resilience may be more effectively cultivated through ecological embeddedness than through structural isolation.</w:t>
      </w:r>
    </w:p>
    <w:p w14:paraId="50422065" w14:textId="77777777" w:rsidR="00254179" w:rsidRPr="00806B20" w:rsidRDefault="00806B20" w:rsidP="00806B20">
      <w:pPr>
        <w:pStyle w:val="NormalWeb"/>
        <w:spacing w:line="276" w:lineRule="auto"/>
        <w:jc w:val="both"/>
        <w:rPr>
          <w:rFonts w:ascii="Arial" w:hAnsi="Arial" w:cs="Arial"/>
        </w:rPr>
      </w:pPr>
      <w:r w:rsidRPr="00806B20">
        <w:rPr>
          <w:rFonts w:ascii="Arial" w:hAnsi="Arial" w:cs="Arial"/>
        </w:rPr>
        <w:t xml:space="preserve">Keywords: </w:t>
      </w:r>
      <w:r w:rsidRPr="00806B20">
        <w:rPr>
          <w:rFonts w:ascii="Arial" w:hAnsi="Arial" w:cs="Arial"/>
        </w:rPr>
        <w:t>Spatial resilience</w:t>
      </w:r>
      <w:r w:rsidRPr="00806B20">
        <w:rPr>
          <w:rFonts w:ascii="Arial" w:hAnsi="Arial" w:cs="Arial"/>
        </w:rPr>
        <w:t xml:space="preserve">, </w:t>
      </w:r>
      <w:r w:rsidRPr="00806B20">
        <w:rPr>
          <w:rFonts w:ascii="Arial" w:hAnsi="Arial" w:cs="Arial"/>
        </w:rPr>
        <w:t>Anthropocentrism</w:t>
      </w:r>
      <w:r w:rsidRPr="00806B20">
        <w:rPr>
          <w:rFonts w:ascii="Arial" w:hAnsi="Arial" w:cs="Arial"/>
        </w:rPr>
        <w:t>,</w:t>
      </w:r>
      <w:r w:rsidRPr="00806B20">
        <w:rPr>
          <w:rFonts w:ascii="Arial" w:eastAsia="Times New Roman" w:hAnsi="Arial" w:cs="Arial"/>
        </w:rPr>
        <w:t xml:space="preserve"> </w:t>
      </w:r>
      <w:r w:rsidRPr="00806B20">
        <w:rPr>
          <w:rFonts w:ascii="Arial" w:hAnsi="Arial" w:cs="Arial"/>
        </w:rPr>
        <w:t>Biodesign</w:t>
      </w:r>
      <w:r w:rsidRPr="00806B20">
        <w:rPr>
          <w:rFonts w:ascii="Arial" w:hAnsi="Arial" w:cs="Arial"/>
        </w:rPr>
        <w:t>,</w:t>
      </w:r>
      <w:r w:rsidRPr="00806B20">
        <w:rPr>
          <w:rFonts w:ascii="Arial" w:eastAsia="Times New Roman" w:hAnsi="Arial" w:cs="Arial"/>
        </w:rPr>
        <w:t xml:space="preserve"> </w:t>
      </w:r>
      <w:r w:rsidRPr="00806B20">
        <w:rPr>
          <w:rFonts w:ascii="Arial" w:hAnsi="Arial" w:cs="Arial"/>
        </w:rPr>
        <w:t>Relational ontology</w:t>
      </w:r>
      <w:r w:rsidRPr="00806B20">
        <w:rPr>
          <w:rFonts w:ascii="Arial" w:hAnsi="Arial" w:cs="Arial"/>
        </w:rPr>
        <w:t xml:space="preserve">, </w:t>
      </w:r>
      <w:r w:rsidRPr="00806B20">
        <w:rPr>
          <w:rFonts w:ascii="Arial" w:hAnsi="Arial" w:cs="Arial"/>
        </w:rPr>
        <w:t>Design epistemology</w:t>
      </w:r>
    </w:p>
    <w:p w14:paraId="13E1B3C3"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Introduction</w:t>
      </w:r>
    </w:p>
    <w:p w14:paraId="54B9F6FC"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 xml:space="preserve">The contemporary construction industry operates within a paradigm that has long been structured by anthropocentric epistemologies. In this paradigm, matter is positioned as inert, passive, and external to the human subject; nature is framed as a resource </w:t>
      </w:r>
      <w:r w:rsidRPr="00806B20">
        <w:rPr>
          <w:rFonts w:ascii="Arial" w:hAnsi="Arial" w:cs="Arial"/>
        </w:rPr>
        <w:lastRenderedPageBreak/>
        <w:t>reservoir; and design is conceived as an act of control imposed upon material substrates. Such a worldview is not merely technical—it is ontological. It establishes a hierarchy in which human intention precedes and dominates material becoming.</w:t>
      </w:r>
    </w:p>
    <w:p w14:paraId="7D4515C2"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The ecological crises characterizing the Anthropocene expose the fragility of this epistemic configuration (Crawford, 2022; Heymans et al., 2019). The building sector, responsible for significant carbon emissions, material extraction, and ecological degradation, exemplifies the consequences of a model rooted in extractivism and linear production systems (Bourbia et al., 2023; Kırdök et al., 2019). Yet despite growing calls for sustainability, the dominant discourse often limits itself to improving efficiency within the same anthropocentric framework—optimizing energy use, reducing emissions, or enhancing material durability—without interrogating the underlying logic of separation between humans and the material world.</w:t>
      </w:r>
    </w:p>
    <w:p w14:paraId="5E60A91D"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Resilience, within this framework, is frequently reduced to structural endurance or resistance to failure. However, ecological and socio-ecological research suggests that resilience is fundamentally relational: it emerges from diversity, connectivity, feedback loops, and adaptive capacity across scales (Heymans et al., 2019). Biological systems do not persist through rigidity but through distributed networks of interdependence. Durability, in this sense, is inseparable from transformation.</w:t>
      </w:r>
    </w:p>
    <w:p w14:paraId="3D449E45"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Biodesign research introduces a radical shift by challenging the ontological status of materials themselves. Rather than treating biology as a source of metaphor or stylistic inspiration, contemporary biodesign practices increasingly engage living organisms as collaborators in fabrication processes (Camere &amp; Karana, 2018; Chayaamor-Heil et al., 2024). This engagement reconfigures the design process from one of unilateral imposition to one of co-production. Designers operate within interdisciplinary laboratory contexts, negotiating growth, adaptation, and biological variability rather than enforcing uniformity (Bandoni et al., 2022; Stefanova, 2021).</w:t>
      </w:r>
    </w:p>
    <w:p w14:paraId="0C7883A7"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In transcalar biodesign approaches, matter is understood as active and generative, operating across microbiological, material, and architectural scales (Goidea et al., 2022). The principles of biological design—diversity, specificity, resilience through adaptation, and feedback—offer not simply technical guidelines but epistemic alternatives to centralized, standardized production models (Andréen &amp; Goidea, 2022). Biological systems demonstrate that sustainability is not achieved through permanence but through cyclical regeneration and distributed agency.</w:t>
      </w:r>
    </w:p>
    <w:p w14:paraId="065F5532"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Bio-based materials, whether derived from agricultural residues, microbial fermentation, fungal growth, or renewable biomass streams, further destabilize conventional material ontologies (Lee et al., 2021; Chang et al., 2020). Their performance is contingent upon environmental conditions and temporal processes, embedding variability and responsiveness within their very constitution. Unlike industrial materials designed for homogeneity and predictability, these materials demand a relational mode of thinking—one that recognizes humidity, temperature, microbial activity, and ecological context as co-actors in material behavior.</w:t>
      </w:r>
    </w:p>
    <w:p w14:paraId="12540322"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Thus, the transition toward bio-based materials should not be understood merely as a substitution of fossil-based inputs with renewable alternatives. It signals a deeper epistemological shift: from a paradigm of control to one of negotiation, from extraction to reciprocity, from object-centered design to relational material ecologies.</w:t>
      </w:r>
    </w:p>
    <w:p w14:paraId="08170EF0" w14:textId="77777777" w:rsidR="007E13BF" w:rsidRPr="007E13BF" w:rsidRDefault="007E13BF" w:rsidP="007E13BF">
      <w:pPr>
        <w:spacing w:line="276" w:lineRule="auto"/>
        <w:jc w:val="both"/>
        <w:rPr>
          <w:rFonts w:ascii="Arial" w:hAnsi="Arial" w:cs="Arial"/>
        </w:rPr>
      </w:pPr>
      <w:r w:rsidRPr="007E13BF">
        <w:rPr>
          <w:rFonts w:ascii="Arial" w:hAnsi="Arial" w:cs="Arial"/>
        </w:rPr>
        <w:t>Thus, the transition toward bio-based materials should not be understood merely as a substitution of fossil-based inputs with renewable alternatives. It signals a deeper epistemological shift: from a paradigm of control to one of negotiation, from extraction to reciprocity, from object-centered design to relational material ecologies.</w:t>
      </w:r>
    </w:p>
    <w:p w14:paraId="77A4C0A9" w14:textId="77777777" w:rsidR="007E13BF" w:rsidRPr="007E13BF" w:rsidRDefault="007E13BF" w:rsidP="007E13BF">
      <w:pPr>
        <w:spacing w:line="276" w:lineRule="auto"/>
        <w:jc w:val="both"/>
        <w:rPr>
          <w:rFonts w:ascii="Arial" w:hAnsi="Arial" w:cs="Arial"/>
        </w:rPr>
      </w:pPr>
    </w:p>
    <w:p w14:paraId="06800B6F" w14:textId="77777777" w:rsidR="007E13BF" w:rsidRPr="007E13BF" w:rsidRDefault="007E13BF" w:rsidP="007E13BF">
      <w:pPr>
        <w:spacing w:line="276" w:lineRule="auto"/>
        <w:jc w:val="both"/>
        <w:rPr>
          <w:rFonts w:ascii="Arial" w:hAnsi="Arial" w:cs="Arial"/>
        </w:rPr>
      </w:pPr>
      <w:r w:rsidRPr="007E13BF">
        <w:rPr>
          <w:rFonts w:ascii="Arial" w:hAnsi="Arial" w:cs="Arial"/>
        </w:rPr>
        <w:t>Accordingly, this paper asks: How does the integration of bio-based materials challenge anthropocentric material ontologies, and what implications does this epistemological shift hold for redefining spatial resilience?</w:t>
      </w:r>
    </w:p>
    <w:p w14:paraId="7943547F" w14:textId="77777777" w:rsidR="007E13BF" w:rsidRPr="007E13BF" w:rsidRDefault="007E13BF" w:rsidP="007E13BF">
      <w:pPr>
        <w:spacing w:line="276" w:lineRule="auto"/>
        <w:jc w:val="both"/>
        <w:rPr>
          <w:rFonts w:ascii="Arial" w:hAnsi="Arial" w:cs="Arial"/>
        </w:rPr>
      </w:pPr>
    </w:p>
    <w:p w14:paraId="4E26D36B" w14:textId="77777777" w:rsidR="007E13BF" w:rsidRDefault="007E13BF" w:rsidP="007E13BF">
      <w:pPr>
        <w:spacing w:line="276" w:lineRule="auto"/>
        <w:jc w:val="both"/>
        <w:rPr>
          <w:rFonts w:ascii="Arial" w:hAnsi="Arial" w:cs="Arial"/>
        </w:rPr>
      </w:pPr>
      <w:r w:rsidRPr="007E13BF">
        <w:rPr>
          <w:rFonts w:ascii="Arial" w:hAnsi="Arial" w:cs="Arial"/>
        </w:rPr>
        <w:t>By critically examining anthropocentric design paradigms and situating biodesign within broader socio-ecological discourse, the study positions bio-based materials not only as environmentally advantageous solutions but as agents in the reconfiguration of design knowledge itself. In doing so, it argues that the future of spatial resilience lies not in reinforcing existing systems, but in rethinking the ontological relationship between humans, materials, and living processes.</w:t>
      </w:r>
    </w:p>
    <w:p w14:paraId="31947B5E" w14:textId="77777777" w:rsidR="007E13BF" w:rsidRDefault="007E13BF" w:rsidP="007E13BF">
      <w:pPr>
        <w:spacing w:line="276" w:lineRule="auto"/>
        <w:jc w:val="both"/>
        <w:rPr>
          <w:rFonts w:ascii="Arial" w:hAnsi="Arial" w:cs="Arial"/>
        </w:rPr>
      </w:pPr>
    </w:p>
    <w:p w14:paraId="3D06A446" w14:textId="42898A89" w:rsidR="00EC1CED" w:rsidRPr="00806B20" w:rsidRDefault="005D2C61" w:rsidP="007E13BF">
      <w:pPr>
        <w:spacing w:line="276" w:lineRule="auto"/>
        <w:jc w:val="both"/>
        <w:rPr>
          <w:rFonts w:ascii="Arial" w:eastAsia="Times New Roman" w:hAnsi="Arial" w:cs="Arial"/>
        </w:rPr>
      </w:pPr>
      <w:r w:rsidRPr="00806B20">
        <w:rPr>
          <w:rFonts w:ascii="Arial" w:hAnsi="Arial" w:cs="Arial"/>
        </w:rPr>
        <w:t>2. Method</w:t>
      </w:r>
    </w:p>
    <w:p w14:paraId="42D8DED5" w14:textId="77777777" w:rsidR="005D2C61" w:rsidRPr="00806B20" w:rsidRDefault="005D2C61" w:rsidP="00806B20">
      <w:pPr>
        <w:spacing w:line="276" w:lineRule="auto"/>
        <w:jc w:val="both"/>
        <w:rPr>
          <w:rFonts w:ascii="Arial" w:hAnsi="Arial" w:cs="Arial"/>
        </w:rPr>
      </w:pPr>
    </w:p>
    <w:p w14:paraId="14E95D36" w14:textId="77777777" w:rsidR="005D2C61" w:rsidRPr="00806B20" w:rsidRDefault="005D2C61" w:rsidP="00806B20">
      <w:pPr>
        <w:spacing w:line="276" w:lineRule="auto"/>
        <w:jc w:val="both"/>
        <w:rPr>
          <w:rFonts w:ascii="Arial" w:hAnsi="Arial" w:cs="Arial"/>
        </w:rPr>
      </w:pPr>
      <w:r w:rsidRPr="00806B20">
        <w:rPr>
          <w:rFonts w:ascii="Arial" w:hAnsi="Arial" w:cs="Arial"/>
        </w:rPr>
        <w:t>This study adopts a conceptual and critical research approach situated at the intersection of architectural theory, biodesign research, and material studies. Rather than conducting empirical performance testing or reporting experimental fabrication results, the paper engages in a critical analysis of existing literature to interrogate the epistemological foundations that structure contemporary spatial production.</w:t>
      </w:r>
    </w:p>
    <w:p w14:paraId="57A98D33" w14:textId="77777777" w:rsidR="005D2C61" w:rsidRPr="00806B20" w:rsidRDefault="005D2C61" w:rsidP="00806B20">
      <w:pPr>
        <w:spacing w:line="276" w:lineRule="auto"/>
        <w:jc w:val="both"/>
        <w:rPr>
          <w:rFonts w:ascii="Arial" w:hAnsi="Arial" w:cs="Arial"/>
        </w:rPr>
      </w:pPr>
    </w:p>
    <w:p w14:paraId="1E9ABA4A" w14:textId="77777777" w:rsidR="005D2C61" w:rsidRPr="00806B20" w:rsidRDefault="005D2C61" w:rsidP="00806B20">
      <w:pPr>
        <w:spacing w:line="276" w:lineRule="auto"/>
        <w:jc w:val="both"/>
        <w:rPr>
          <w:rFonts w:ascii="Arial" w:hAnsi="Arial" w:cs="Arial"/>
        </w:rPr>
      </w:pPr>
      <w:r w:rsidRPr="00806B20">
        <w:rPr>
          <w:rFonts w:ascii="Arial" w:hAnsi="Arial" w:cs="Arial"/>
        </w:rPr>
        <w:t>The research draws upon interdisciplinary scholarship in biodesign (Crawford, 2022; Goidea et al., 2022), biological design principles (Andréen &amp; Goidea, 2022), material fabrication from living systems (Camere &amp; Karana, 2018; Chayaamor-Heil et al., 2024), ecological planning (Heymans et al., 2019), and bio-based material durability (Chang et al., 2020; Lee et al., 2021). Through interpretive synthesis, these sources are examined not only for their technical contributions but for their implicit ontological and epistemological assumptions regarding material agency, control, and resilience.</w:t>
      </w:r>
    </w:p>
    <w:p w14:paraId="30E97DC7" w14:textId="77777777" w:rsidR="005D2C61" w:rsidRPr="00806B20" w:rsidRDefault="005D2C61" w:rsidP="00806B20">
      <w:pPr>
        <w:spacing w:line="276" w:lineRule="auto"/>
        <w:jc w:val="both"/>
        <w:rPr>
          <w:rFonts w:ascii="Arial" w:hAnsi="Arial" w:cs="Arial"/>
        </w:rPr>
      </w:pPr>
    </w:p>
    <w:p w14:paraId="088B0D6B" w14:textId="77777777" w:rsidR="005D2C61" w:rsidRPr="00806B20" w:rsidRDefault="005D2C61" w:rsidP="00806B20">
      <w:pPr>
        <w:spacing w:line="276" w:lineRule="auto"/>
        <w:jc w:val="both"/>
        <w:rPr>
          <w:rFonts w:ascii="Arial" w:hAnsi="Arial" w:cs="Arial"/>
        </w:rPr>
      </w:pPr>
      <w:r w:rsidRPr="00806B20">
        <w:rPr>
          <w:rFonts w:ascii="Arial" w:hAnsi="Arial" w:cs="Arial"/>
        </w:rPr>
        <w:t>The methodological stance of this paper is informed by critical design theory, in which design is understood as a site of knowledge production rather than solely as a problem-solving activity. Accordingly, the analysis focuses on how materials are conceptualized—whether as passive objects within extractive industrial systems or as relational agents embedded within ecological processes.</w:t>
      </w:r>
    </w:p>
    <w:p w14:paraId="598E7858" w14:textId="77777777" w:rsidR="005D2C61" w:rsidRPr="00806B20" w:rsidRDefault="005D2C61" w:rsidP="00806B20">
      <w:pPr>
        <w:spacing w:line="276" w:lineRule="auto"/>
        <w:jc w:val="both"/>
        <w:rPr>
          <w:rFonts w:ascii="Arial" w:hAnsi="Arial" w:cs="Arial"/>
        </w:rPr>
      </w:pPr>
    </w:p>
    <w:p w14:paraId="49ABA3D5" w14:textId="77777777" w:rsidR="005D2C61" w:rsidRPr="00806B20" w:rsidRDefault="005D2C61" w:rsidP="00806B20">
      <w:pPr>
        <w:spacing w:line="276" w:lineRule="auto"/>
        <w:jc w:val="both"/>
        <w:rPr>
          <w:rFonts w:ascii="Arial" w:hAnsi="Arial" w:cs="Arial"/>
        </w:rPr>
      </w:pPr>
      <w:r w:rsidRPr="00806B20">
        <w:rPr>
          <w:rFonts w:ascii="Arial" w:hAnsi="Arial" w:cs="Arial"/>
        </w:rPr>
        <w:t>To ground the theoretical discussion, selected bio-based material examples are referenced as illustrative cases. These include calcium carbonate-based composites derived from eggshell waste, fungal (mycelium) growth-based materials, and casein-based biopolymers derived from milk proteins. These examples are not presented as experimental datasets, but as conceptual material instances that embody the epistemological shift under discussion. Their inclusion serves to demonstrate how variability, environmental responsiveness, and lifecycle integration challenge industrial assumptions of homogeneity and permanence.</w:t>
      </w:r>
    </w:p>
    <w:p w14:paraId="58B8F061" w14:textId="77777777" w:rsidR="005D2C61" w:rsidRPr="00806B20" w:rsidRDefault="005D2C61" w:rsidP="00806B20">
      <w:pPr>
        <w:spacing w:line="276" w:lineRule="auto"/>
        <w:jc w:val="both"/>
        <w:rPr>
          <w:rFonts w:ascii="Arial" w:hAnsi="Arial" w:cs="Arial"/>
        </w:rPr>
      </w:pPr>
    </w:p>
    <w:p w14:paraId="49EA9673" w14:textId="77777777" w:rsidR="005D2C61" w:rsidRPr="00806B20" w:rsidRDefault="005D2C61" w:rsidP="00806B20">
      <w:pPr>
        <w:spacing w:line="276" w:lineRule="auto"/>
        <w:jc w:val="both"/>
        <w:rPr>
          <w:rFonts w:ascii="Arial" w:hAnsi="Arial" w:cs="Arial"/>
        </w:rPr>
      </w:pPr>
      <w:r w:rsidRPr="00806B20">
        <w:rPr>
          <w:rFonts w:ascii="Arial" w:hAnsi="Arial" w:cs="Arial"/>
        </w:rPr>
        <w:t>By combining critical theoretical analysis with illustrative material references, the study aims to reposition spatial resilience as an ontological condition emerging from relational material ecologies rather than as a purely structural attribute. This approach allows the paper to contribute to architectural discourse at the level of paradigm formation rather than technical optimization.</w:t>
      </w:r>
    </w:p>
    <w:p w14:paraId="479A921E" w14:textId="77777777" w:rsidR="00254179" w:rsidRPr="00806B20" w:rsidRDefault="00254179" w:rsidP="00806B20">
      <w:pPr>
        <w:spacing w:line="276" w:lineRule="auto"/>
        <w:jc w:val="both"/>
        <w:rPr>
          <w:rFonts w:ascii="Arial" w:hAnsi="Arial" w:cs="Arial"/>
        </w:rPr>
      </w:pPr>
    </w:p>
    <w:p w14:paraId="0FE468A9" w14:textId="77777777" w:rsidR="00254179" w:rsidRDefault="00254179" w:rsidP="00806B20">
      <w:pPr>
        <w:pStyle w:val="Heading2"/>
        <w:spacing w:line="276" w:lineRule="auto"/>
        <w:jc w:val="both"/>
        <w:rPr>
          <w:rFonts w:ascii="Arial" w:eastAsia="Times New Roman" w:hAnsi="Arial" w:cs="Arial"/>
          <w:sz w:val="24"/>
          <w:szCs w:val="24"/>
        </w:rPr>
      </w:pPr>
      <w:r w:rsidRPr="00806B20">
        <w:rPr>
          <w:rFonts w:ascii="Arial" w:eastAsia="Times New Roman" w:hAnsi="Arial" w:cs="Arial"/>
          <w:sz w:val="24"/>
          <w:szCs w:val="24"/>
        </w:rPr>
        <w:t>3. Theoretical Framework</w:t>
      </w:r>
    </w:p>
    <w:p w14:paraId="1F7DDD70" w14:textId="0DC378A5" w:rsidR="000029F9" w:rsidRPr="000029F9" w:rsidRDefault="000029F9" w:rsidP="00806B20">
      <w:pPr>
        <w:pStyle w:val="Heading2"/>
        <w:spacing w:line="276" w:lineRule="auto"/>
        <w:jc w:val="both"/>
        <w:rPr>
          <w:rFonts w:ascii="Arial" w:hAnsi="Arial" w:cs="Arial"/>
          <w:b w:val="0"/>
          <w:bCs w:val="0"/>
          <w:sz w:val="24"/>
          <w:szCs w:val="24"/>
        </w:rPr>
      </w:pPr>
      <w:r w:rsidRPr="000029F9">
        <w:rPr>
          <w:rFonts w:ascii="Arial" w:hAnsi="Arial" w:cs="Arial"/>
          <w:b w:val="0"/>
          <w:bCs w:val="0"/>
          <w:sz w:val="24"/>
          <w:szCs w:val="24"/>
        </w:rPr>
        <w:t>This section establishes the conceptual foundations of the study by examining the epistemological assumptions that structure contemporary architectural production. It first analyzes the anthropocentric design paradigm and its material ontology, before turning to biodesign as a critical d</w:t>
      </w:r>
      <w:r w:rsidR="007E13BF">
        <w:rPr>
          <w:rFonts w:ascii="Arial" w:hAnsi="Arial" w:cs="Arial"/>
          <w:b w:val="0"/>
          <w:bCs w:val="0"/>
          <w:sz w:val="24"/>
          <w:szCs w:val="24"/>
        </w:rPr>
        <w:t>isruption of hierarchical human-</w:t>
      </w:r>
      <w:r w:rsidRPr="000029F9">
        <w:rPr>
          <w:rFonts w:ascii="Arial" w:hAnsi="Arial" w:cs="Arial"/>
          <w:b w:val="0"/>
          <w:bCs w:val="0"/>
          <w:sz w:val="24"/>
          <w:szCs w:val="24"/>
        </w:rPr>
        <w:t>material relations. Through this theoretical positioning, the framework prepares the ground for reinterpreting spatial resilience as a relational and adaptive condition.</w:t>
      </w:r>
    </w:p>
    <w:p w14:paraId="488FD41D" w14:textId="77777777" w:rsidR="00254179" w:rsidRPr="000029F9" w:rsidRDefault="00254179" w:rsidP="00806B20">
      <w:pPr>
        <w:pStyle w:val="Heading3"/>
        <w:spacing w:line="276" w:lineRule="auto"/>
        <w:jc w:val="both"/>
        <w:rPr>
          <w:rFonts w:ascii="Arial" w:eastAsiaTheme="minorHAnsi" w:hAnsi="Arial" w:cs="Arial"/>
          <w:color w:val="auto"/>
        </w:rPr>
      </w:pPr>
      <w:r w:rsidRPr="000029F9">
        <w:rPr>
          <w:rFonts w:ascii="Arial" w:eastAsiaTheme="minorHAnsi" w:hAnsi="Arial" w:cs="Arial"/>
          <w:color w:val="auto"/>
        </w:rPr>
        <w:t>3.1 The Anthropocentric Design Paradigm: From Material Object to Material Agency</w:t>
      </w:r>
    </w:p>
    <w:p w14:paraId="50C949A1" w14:textId="77777777" w:rsidR="00A306F4" w:rsidRPr="00A306F4" w:rsidRDefault="00A306F4" w:rsidP="00806B20">
      <w:pPr>
        <w:spacing w:before="100" w:beforeAutospacing="1" w:after="100" w:afterAutospacing="1" w:line="276" w:lineRule="auto"/>
        <w:jc w:val="both"/>
        <w:rPr>
          <w:rFonts w:ascii="Arial" w:hAnsi="Arial" w:cs="Arial"/>
        </w:rPr>
      </w:pPr>
      <w:r w:rsidRPr="00A306F4">
        <w:rPr>
          <w:rFonts w:ascii="Arial" w:hAnsi="Arial" w:cs="Arial"/>
        </w:rPr>
        <w:t>Modern architectural production has long been structured by an anthropocentric epistemology in which matter is conceived as passive, inert, and external to human intentionality. Within this paradigm, the designer is positioned as the primary locus of agency, while materials function as controllable objects shaped according to predefined formal and functional objectives. As Bourbia et al. (2023) demonstrate in their review of bio-based construction materials, contemporary building systems remain largely embedded within industrial models that prioritize extraction, energy-intensive processing, and performance standardization. Similarly, Lee et al. (2021) describe how fossil-based production chains continue to dominate global material flows despite increasing interest in renewable alternatives. These analyses reveal that sustainability efforts often operate within the same structural logic that produced the crisis: matter remains subordinated to human control.</w:t>
      </w:r>
    </w:p>
    <w:p w14:paraId="551A914F" w14:textId="77777777" w:rsidR="00A306F4" w:rsidRPr="00A306F4" w:rsidRDefault="00A306F4" w:rsidP="00806B20">
      <w:pPr>
        <w:spacing w:before="100" w:beforeAutospacing="1" w:after="100" w:afterAutospacing="1" w:line="276" w:lineRule="auto"/>
        <w:jc w:val="both"/>
        <w:rPr>
          <w:rFonts w:ascii="Arial" w:hAnsi="Arial" w:cs="Arial"/>
        </w:rPr>
      </w:pPr>
      <w:r w:rsidRPr="00A306F4">
        <w:rPr>
          <w:rFonts w:ascii="Arial" w:hAnsi="Arial" w:cs="Arial"/>
        </w:rPr>
        <w:t>This epistemological structure is rooted in a dualistic ontology separating subject and object, culture and nature, and human and non-human actors. In conventional construction practice, durability is equated with resistance, stability, and permanence. Materials are optimized for homogeneity and predictability, enabling repeatable outcomes across diverse contexts. Andréen and Goidea (2022), in outlining principles of biological design, contrast this industrial fixation on uniformity with biological systems characterized by diversity, specificity, and adaptive feedback. Their work suggests that the dominant construction paradigm suppresses material variability in favor of control, thereby marginalizing the very qualities that underpin ecological resilience.</w:t>
      </w:r>
    </w:p>
    <w:p w14:paraId="77456C25" w14:textId="77777777" w:rsidR="00A306F4" w:rsidRPr="00A306F4" w:rsidRDefault="00A306F4" w:rsidP="00806B20">
      <w:pPr>
        <w:spacing w:before="100" w:beforeAutospacing="1" w:after="100" w:afterAutospacing="1" w:line="276" w:lineRule="auto"/>
        <w:jc w:val="both"/>
        <w:rPr>
          <w:rFonts w:ascii="Arial" w:hAnsi="Arial" w:cs="Arial"/>
        </w:rPr>
      </w:pPr>
      <w:r w:rsidRPr="00A306F4">
        <w:rPr>
          <w:rFonts w:ascii="Arial" w:hAnsi="Arial" w:cs="Arial"/>
        </w:rPr>
        <w:t>Resilience theory further complicates this industrial understanding. Heymans et al. (2019), through their systematic review of ecological urban planning, emphasize that resilience emerges not from rigidity but from distributed interconnections, diversity, and multi-scalar feedback systems. In ecological systems, durability is inseparable from transformation. Yet anthropocentric design translates resilience into structural endurance rather than adaptive capacity. The result is a material ontology in which change is treated as degradation rather than as a generative process.</w:t>
      </w:r>
    </w:p>
    <w:p w14:paraId="3D52CF96" w14:textId="77777777" w:rsidR="00A306F4" w:rsidRPr="00A306F4" w:rsidRDefault="00A306F4" w:rsidP="00806B20">
      <w:pPr>
        <w:spacing w:before="100" w:beforeAutospacing="1" w:after="100" w:afterAutospacing="1" w:line="276" w:lineRule="auto"/>
        <w:jc w:val="both"/>
        <w:rPr>
          <w:rFonts w:ascii="Arial" w:hAnsi="Arial" w:cs="Arial"/>
        </w:rPr>
      </w:pPr>
      <w:r w:rsidRPr="00A306F4">
        <w:rPr>
          <w:rFonts w:ascii="Arial" w:hAnsi="Arial" w:cs="Arial"/>
        </w:rPr>
        <w:t>In contrast, biodesign research destabilizes this hierarchy by repositioning materials as active participants in the design process. Camere and Karana (2018) describe how designers engaging in the fabrication of materials from living organisms experience a fundamental shift in their design mindset: instead of imposing form onto inert substrates, they co-perform with biological growth processes. Likewise, Chayaamor-Heil et al. (2024) analyze architectural projects that integrate algae, bacteria, and fungi, demonstrating how living systems introduce unpredictability, temporal dynamics, and environmental responsiveness into fabrication. In these contexts, agency becomes distributed rather than centralized.</w:t>
      </w:r>
    </w:p>
    <w:p w14:paraId="1EF80438" w14:textId="78EB5373" w:rsidR="007E13BF" w:rsidRPr="00A306F4" w:rsidRDefault="00A306F4" w:rsidP="00806B20">
      <w:pPr>
        <w:spacing w:before="100" w:beforeAutospacing="1" w:after="100" w:afterAutospacing="1" w:line="276" w:lineRule="auto"/>
        <w:jc w:val="both"/>
        <w:rPr>
          <w:rFonts w:ascii="Arial" w:hAnsi="Arial" w:cs="Arial"/>
        </w:rPr>
      </w:pPr>
      <w:r w:rsidRPr="00A306F4">
        <w:rPr>
          <w:rFonts w:ascii="Arial" w:hAnsi="Arial" w:cs="Arial"/>
        </w:rPr>
        <w:t xml:space="preserve">Here, material agency can be defined as the capacity of matter—particularly living or bio-based matter—to influence form, performance, and process through its intrinsic properties, growth patterns, and environmental interactions. Unlike inert industrial materials designed for compliance, bio-based materials exhibit behaviors that are contingent, relational, and time-dependent (Chang et al., 2020). Their mechanical performance, degradation patterns, and structural evolution are co-determined by humidity, temperature, microbial activity, and environmental exposure. </w:t>
      </w:r>
      <w:r w:rsidR="007E13BF" w:rsidRPr="007E13BF">
        <w:rPr>
          <w:rFonts w:ascii="Arial" w:hAnsi="Arial" w:cs="Arial"/>
        </w:rPr>
        <w:t>Agency, therefore, does not imply intentionality but rather generative capacity within relational systems. This understanding resonates with broader theoretical discussions in which matter is conceptualized as active rather than inert. Latour (2005) challenges the modern constitution that separates subjects from objects, proposing instead that agency is distributed across heterogeneous networks of human and non-human actors. Similarly, Bennett (2010) argues for the recognition of “vibrant matter,” emphasizing the material vitality that participates in shaping events and processes. Ingold (2013) further reframes making as a process of correspondence with material flows rather than the imposition of form upon passive substance. These perspectives reinforce the argument that material agency is not metaphorical but ontological, embedded in relational systems of becoming.</w:t>
      </w:r>
    </w:p>
    <w:p w14:paraId="6F7DD6B4" w14:textId="77777777" w:rsidR="00A306F4" w:rsidRPr="00A306F4" w:rsidRDefault="00A306F4" w:rsidP="00806B20">
      <w:pPr>
        <w:spacing w:before="100" w:beforeAutospacing="1" w:after="100" w:afterAutospacing="1" w:line="276" w:lineRule="auto"/>
        <w:jc w:val="both"/>
        <w:rPr>
          <w:rFonts w:ascii="Arial" w:hAnsi="Arial" w:cs="Arial"/>
        </w:rPr>
      </w:pPr>
      <w:r w:rsidRPr="00A306F4">
        <w:rPr>
          <w:rFonts w:ascii="Arial" w:hAnsi="Arial" w:cs="Arial"/>
        </w:rPr>
        <w:t>This shift from material object to material agency does not merely introduce new sustainable materials into established systems; it reconfigures the epistemological foundations of design itself. When designers operate within transcalar frameworks that bridge microbiological processes and architectural outcomes, as discussed by Goidea et al. (2022), the boundary between design and material formation becomes porous. The designer no longer fully controls matter but negotiates with it. Interdisciplinary collaboration, as documented by Bandoni et al. (2022) and Stefanova (2021), reinforces this redistribution of authority, situating design practice within laboratory ecologies where biological processes shape decision-making.</w:t>
      </w:r>
    </w:p>
    <w:p w14:paraId="49A2A935" w14:textId="77777777" w:rsidR="00A306F4" w:rsidRPr="00A306F4" w:rsidRDefault="00A306F4" w:rsidP="00806B20">
      <w:pPr>
        <w:spacing w:before="100" w:beforeAutospacing="1" w:after="100" w:afterAutospacing="1" w:line="276" w:lineRule="auto"/>
        <w:jc w:val="both"/>
        <w:rPr>
          <w:rFonts w:ascii="Arial" w:hAnsi="Arial" w:cs="Arial"/>
        </w:rPr>
      </w:pPr>
      <w:r w:rsidRPr="00A306F4">
        <w:rPr>
          <w:rFonts w:ascii="Arial" w:hAnsi="Arial" w:cs="Arial"/>
        </w:rPr>
        <w:t>Taken together, these developments suggest that the transition toward bio-based materials entails a deeper ontological transformation. The anthropocentric paradigm reduces matter to object; the emerging biodesign paradigm recognizes matter as relational and generative. This ontological reorientation provides the conditions for reconceptualizing spatial resilience not as resistance to change but as the capacity of architectural systems to participate in adaptive, ecological processes.</w:t>
      </w:r>
    </w:p>
    <w:p w14:paraId="00422CCD" w14:textId="77777777" w:rsidR="00A306F4" w:rsidRPr="00806B20" w:rsidRDefault="00254179" w:rsidP="00806B20">
      <w:pPr>
        <w:pStyle w:val="Heading2"/>
        <w:spacing w:line="276" w:lineRule="auto"/>
        <w:jc w:val="both"/>
        <w:rPr>
          <w:rFonts w:ascii="Arial" w:eastAsia="Times New Roman" w:hAnsi="Arial" w:cs="Arial"/>
          <w:sz w:val="24"/>
          <w:szCs w:val="24"/>
        </w:rPr>
      </w:pPr>
      <w:r w:rsidRPr="00806B20">
        <w:rPr>
          <w:rFonts w:ascii="Arial" w:eastAsia="Times New Roman" w:hAnsi="Arial" w:cs="Arial"/>
          <w:sz w:val="24"/>
          <w:szCs w:val="24"/>
        </w:rPr>
        <w:t xml:space="preserve">3.2. </w:t>
      </w:r>
      <w:r w:rsidR="00A306F4" w:rsidRPr="00806B20">
        <w:rPr>
          <w:rFonts w:ascii="Arial" w:eastAsia="Times New Roman" w:hAnsi="Arial" w:cs="Arial"/>
          <w:sz w:val="24"/>
          <w:szCs w:val="24"/>
        </w:rPr>
        <w:t>Biodesign as Epistemological Disruption</w:t>
      </w:r>
    </w:p>
    <w:p w14:paraId="05BD6016"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If the anthropocentric design paradigm positions matter as object, biodesign introduces a rupture in this epistemological ordering. Biodesign does not merely substitute petrochemical materials with renewable alternatives; it challenges the foundational assumptions through which materials are conceptualized, fabricated, and integrated into spatial systems.</w:t>
      </w:r>
    </w:p>
    <w:p w14:paraId="4D1BD488"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Crawford (2022), situating biodesign within the context of the Anthropocene, argues that contemporary material practices must respond not only to environmental degradation but to the conceptual separation that enabled it. The integration of living organisms into design processes reframes making itself: production becomes entangled with growth, metabolism, and ecological cycles rather than extraction and depletion. This reframing signals a shift from manufacturing as domination toward fabrication as participation.</w:t>
      </w:r>
    </w:p>
    <w:p w14:paraId="3FB53185"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In architectural contexts, Goidea et al. (2022) propose a “transcalar design” approach that weaves together microbiological processes and architectural outcomes across scales. Such an approach disrupts linear causality in design: form is no longer entirely predetermined but emerges through iterative negotiation between biological growth and computational or structural constraints. Similarly, Andréen and Goidea (2022) identify diversity, complexity, resilience through adaptation, and feedback as central principles of biological design. These principles contrast sharply with the industrial emphasis on standardization and homogeneity.</w:t>
      </w:r>
    </w:p>
    <w:p w14:paraId="25399349"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Biodesign also alters the role of the designer. Bandoni et al. (2022), through interviews with experienced practitioners, demonstrate how interdisciplinary collaboration with scientists reshapes authorship and authority in design processes. Designers working with living systems must engage with laboratory protocols, biological variability, and ethical considerations that extend beyond traditional material selection. Stefanova (2021) further highlights how such collaborations create hybrid epistemic spaces where disciplinary boundaries blur and knowledge is co-produced. In these contexts, design becomes less about imposing order and more about cultivating conditions for emergence.</w:t>
      </w:r>
    </w:p>
    <w:p w14:paraId="2CD41470"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The fabrication of materials from living organisms, as examined by Camere and Karana (2018), illustrates how designers begin to “co-perform” with biological agents. Growth-based materials—whether fungal, bacterial, or algae-derived—introduce temporal dynamics and environmental responsiveness into production. Chayaamor-Heil et al. (2024) emphasize that integrating living organisms into architecture involves not only technical adaptation but also a conceptual realignment toward ecological co-design. Living materials cannot be fully controlled; they require negotiation with their metabolic rhythms and environmental dependencies.</w:t>
      </w:r>
    </w:p>
    <w:p w14:paraId="5F20DA03"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Even when bio-based materials are not living at the point of application, their origin in renewable biomass, waste streams, or microbial processes embeds cyclical logics into their lifecycle (Lee et al., 2021). Chang et al. (2020) show that the durability and degradation of biobased composites depend on environmental exposure, humidity, and aging mechanisms—conditions traditionally treated as external threats in conventional construction. In biodesign contexts, such variability becomes intrinsic to material identity rather than a defect to be eliminated.</w:t>
      </w:r>
    </w:p>
    <w:p w14:paraId="0A589051"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Taken together, these developments reveal biodesign as an epistemological disruption. It destabilizes the assumption that design precedes material formation. It questions the hierarchy between human intention and material behavior. It redefines fabrication as a relational process distributed across human and non-human actors.</w:t>
      </w:r>
    </w:p>
    <w:p w14:paraId="02A52422"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This disruption does not eliminate design control, but it redistributes it. Agency becomes shared, temporality becomes embedded, and spatial production becomes entangled with ecological processes. In this reconfiguration, architecture is no longer conceived solely as static object but as a participant within dynamic material ecologies.</w:t>
      </w:r>
    </w:p>
    <w:p w14:paraId="1467E261" w14:textId="77777777" w:rsidR="00A306F4" w:rsidRPr="00806B20" w:rsidRDefault="00A306F4" w:rsidP="00806B20">
      <w:pPr>
        <w:pStyle w:val="NormalWeb"/>
        <w:spacing w:line="276" w:lineRule="auto"/>
        <w:jc w:val="both"/>
        <w:rPr>
          <w:rFonts w:ascii="Arial" w:hAnsi="Arial" w:cs="Arial"/>
        </w:rPr>
      </w:pPr>
      <w:r w:rsidRPr="00806B20">
        <w:rPr>
          <w:rFonts w:ascii="Arial" w:hAnsi="Arial" w:cs="Arial"/>
        </w:rPr>
        <w:t>Such a shift provides the conceptual ground for rethinking resilience beyond structural endurance. If materials and spatial systems are understood as relational and adaptive rather than inert and resistant, resilience can no longer be reduced to permanence. It must instead be framed as the capacity to participate in ongoing processes of ecological negotiation.</w:t>
      </w:r>
    </w:p>
    <w:p w14:paraId="7064554A" w14:textId="77777777" w:rsidR="005D2C61" w:rsidRPr="00806B20" w:rsidRDefault="005D2C61" w:rsidP="00806B20">
      <w:pPr>
        <w:spacing w:line="276" w:lineRule="auto"/>
        <w:jc w:val="both"/>
        <w:rPr>
          <w:rFonts w:ascii="Arial" w:eastAsia="Times New Roman" w:hAnsi="Arial" w:cs="Arial"/>
        </w:rPr>
      </w:pPr>
      <w:r w:rsidRPr="005D2C61">
        <w:rPr>
          <w:rFonts w:ascii="Arial" w:eastAsia="Times New Roman" w:hAnsi="Arial" w:cs="Arial"/>
        </w:rPr>
        <w:t>The epistemological transition outlined above can be schematically summarized as shown in Figure 1.</w:t>
      </w:r>
    </w:p>
    <w:p w14:paraId="5428F59D" w14:textId="77777777" w:rsidR="00A306F4" w:rsidRPr="00806B20" w:rsidRDefault="005D2C61" w:rsidP="000029F9">
      <w:pPr>
        <w:pStyle w:val="NormalWeb"/>
        <w:spacing w:line="276" w:lineRule="auto"/>
        <w:jc w:val="center"/>
        <w:rPr>
          <w:rFonts w:ascii="Arial" w:hAnsi="Arial" w:cs="Arial"/>
        </w:rPr>
      </w:pPr>
      <w:r w:rsidRPr="00806B20">
        <w:rPr>
          <w:rFonts w:ascii="Arial" w:hAnsi="Arial" w:cs="Arial"/>
          <w:noProof/>
        </w:rPr>
        <w:drawing>
          <wp:inline distT="0" distB="0" distL="0" distR="0" wp14:anchorId="678FE916" wp14:editId="16EDD8EC">
            <wp:extent cx="4501320" cy="2250636"/>
            <wp:effectExtent l="0" t="0" r="0" b="10160"/>
            <wp:docPr id="1" name="Picture 1" descr="/Users/betulsmac/Download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etulsmac/Downloads/diagram.png"/>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4350" t="13066" r="2858" b="17255"/>
                    <a:stretch/>
                  </pic:blipFill>
                  <pic:spPr bwMode="auto">
                    <a:xfrm>
                      <a:off x="0" y="0"/>
                      <a:ext cx="4525094" cy="2262523"/>
                    </a:xfrm>
                    <a:prstGeom prst="rect">
                      <a:avLst/>
                    </a:prstGeom>
                    <a:noFill/>
                    <a:ln>
                      <a:noFill/>
                    </a:ln>
                    <a:extLst>
                      <a:ext uri="{53640926-AAD7-44D8-BBD7-CCE9431645EC}">
                        <a14:shadowObscured xmlns:a14="http://schemas.microsoft.com/office/drawing/2010/main"/>
                      </a:ext>
                    </a:extLst>
                  </pic:spPr>
                </pic:pic>
              </a:graphicData>
            </a:graphic>
          </wp:inline>
        </w:drawing>
      </w:r>
    </w:p>
    <w:p w14:paraId="42635A15" w14:textId="77777777" w:rsidR="005D2C61" w:rsidRPr="00806B20" w:rsidRDefault="005D2C61" w:rsidP="00806B20">
      <w:pPr>
        <w:pStyle w:val="NormalWeb"/>
        <w:spacing w:line="276" w:lineRule="auto"/>
        <w:jc w:val="both"/>
        <w:rPr>
          <w:rFonts w:ascii="Arial" w:hAnsi="Arial" w:cs="Arial"/>
        </w:rPr>
      </w:pPr>
      <w:r w:rsidRPr="00806B20">
        <w:rPr>
          <w:rFonts w:ascii="Arial" w:hAnsi="Arial" w:cs="Arial"/>
        </w:rPr>
        <w:t>The diagram schematically represents the epistemological transformation discussed in this study. On the left, the anthropocentric paradigm is structured around material objectification, control, extraction, and linear production, resulting in a model of resilience equated with resistance and stability. The central section illustrates biodesign as an epistemological disruption, where living systems, co-creation, adaptation, and feedback redistribute agency across human and non-human actors. On the right, relational resilience emerges as an ontological condition in which materials are understood as agents embedded within adaptive, ecological networks. The shift visualized here does not indicate a simple material substitution but a reconfiguration of how spatial systems are conceived and sustained.</w:t>
      </w:r>
    </w:p>
    <w:p w14:paraId="7883AD7E" w14:textId="77777777" w:rsidR="005D2C61" w:rsidRPr="005D2C61" w:rsidRDefault="00254179" w:rsidP="00806B20">
      <w:pPr>
        <w:spacing w:line="276" w:lineRule="auto"/>
        <w:jc w:val="both"/>
        <w:rPr>
          <w:rFonts w:ascii="Arial" w:eastAsia="Times New Roman" w:hAnsi="Arial" w:cs="Arial"/>
        </w:rPr>
      </w:pPr>
      <w:r w:rsidRPr="00806B20">
        <w:rPr>
          <w:rFonts w:ascii="Arial" w:eastAsia="Times New Roman" w:hAnsi="Arial" w:cs="Arial"/>
        </w:rPr>
        <w:t xml:space="preserve">4. </w:t>
      </w:r>
      <w:r w:rsidR="005D2C61" w:rsidRPr="005D2C61">
        <w:rPr>
          <w:rFonts w:ascii="Arial" w:eastAsia="Times New Roman" w:hAnsi="Arial" w:cs="Arial"/>
        </w:rPr>
        <w:t>Material Agency in P</w:t>
      </w:r>
      <w:r w:rsidR="00806B20" w:rsidRPr="00806B20">
        <w:rPr>
          <w:rFonts w:ascii="Arial" w:eastAsia="Times New Roman" w:hAnsi="Arial" w:cs="Arial"/>
        </w:rPr>
        <w:t>ractice:</w:t>
      </w:r>
      <w:r w:rsidR="005D2C61" w:rsidRPr="00806B20">
        <w:rPr>
          <w:rFonts w:ascii="Arial" w:eastAsia="Times New Roman" w:hAnsi="Arial" w:cs="Arial"/>
        </w:rPr>
        <w:t xml:space="preserve"> Biomaterials</w:t>
      </w:r>
    </w:p>
    <w:p w14:paraId="6EA3C11E" w14:textId="77777777" w:rsidR="005D2C61" w:rsidRPr="00806B20" w:rsidRDefault="005D2C61" w:rsidP="00806B20">
      <w:pPr>
        <w:pStyle w:val="NormalWeb"/>
        <w:spacing w:line="276" w:lineRule="auto"/>
        <w:jc w:val="both"/>
        <w:rPr>
          <w:rFonts w:ascii="Arial" w:hAnsi="Arial" w:cs="Arial"/>
        </w:rPr>
      </w:pPr>
      <w:r w:rsidRPr="00806B20">
        <w:rPr>
          <w:rFonts w:ascii="Arial" w:hAnsi="Arial" w:cs="Arial"/>
        </w:rPr>
        <w:t>While the preceding sections have addressed biodesign and resilience at a conceptual level, bio-based materials provide tangible instances through which epistemological transformation becomes materially observable. These materials do not merely replace conventional construction inputs; they embody alternative relationships between matter, environment, and spatial production.</w:t>
      </w:r>
    </w:p>
    <w:p w14:paraId="1B348FF7" w14:textId="77777777" w:rsidR="005D2C61" w:rsidRPr="00806B20" w:rsidRDefault="00254179" w:rsidP="00806B20">
      <w:pPr>
        <w:pStyle w:val="Heading3"/>
        <w:spacing w:line="276" w:lineRule="auto"/>
        <w:jc w:val="both"/>
        <w:rPr>
          <w:rFonts w:ascii="Arial" w:eastAsia="Times New Roman" w:hAnsi="Arial" w:cs="Arial"/>
        </w:rPr>
      </w:pPr>
      <w:r w:rsidRPr="00806B20">
        <w:rPr>
          <w:rFonts w:ascii="Arial" w:eastAsia="Times New Roman" w:hAnsi="Arial" w:cs="Arial"/>
        </w:rPr>
        <w:t xml:space="preserve">4.1. </w:t>
      </w:r>
      <w:r w:rsidR="005D2C61" w:rsidRPr="00806B20">
        <w:rPr>
          <w:rFonts w:ascii="Arial" w:eastAsia="Times New Roman" w:hAnsi="Arial" w:cs="Arial"/>
        </w:rPr>
        <w:t>Eggshell-Derived Calcium Carbonate Composites</w:t>
      </w:r>
    </w:p>
    <w:p w14:paraId="4A83B824" w14:textId="77777777" w:rsidR="005D2C61" w:rsidRPr="00806B20" w:rsidRDefault="005D2C61" w:rsidP="00806B20">
      <w:pPr>
        <w:pStyle w:val="NormalWeb"/>
        <w:spacing w:line="276" w:lineRule="auto"/>
        <w:jc w:val="both"/>
        <w:rPr>
          <w:rFonts w:ascii="Arial" w:hAnsi="Arial" w:cs="Arial"/>
        </w:rPr>
      </w:pPr>
      <w:r w:rsidRPr="00806B20">
        <w:rPr>
          <w:rFonts w:ascii="Arial" w:hAnsi="Arial" w:cs="Arial"/>
        </w:rPr>
        <w:t>Calcium carbonate-based composites derived from biological waste streams—such as eggshell residues—illustrate how discarded materials can be repositioned within circular production logics. Babatunde et al. (2020) examine the structural and compositional characteristics of calcium carbonate-rich biomaterials, demonstrating their potential as reinforcing or filler components in composite systems. Unlike industrial mineral extraction, which depends on intensive quarrying and high-energy processing, eggshell-derived materials operate within short-cycle biological loops.</w:t>
      </w:r>
    </w:p>
    <w:p w14:paraId="3A3C2CDF" w14:textId="77777777" w:rsidR="005D2C61" w:rsidRPr="00806B20" w:rsidRDefault="005D2C61" w:rsidP="00806B20">
      <w:pPr>
        <w:pStyle w:val="NormalWeb"/>
        <w:spacing w:line="276" w:lineRule="auto"/>
        <w:jc w:val="both"/>
        <w:rPr>
          <w:rFonts w:ascii="Arial" w:hAnsi="Arial" w:cs="Arial"/>
        </w:rPr>
      </w:pPr>
      <w:r w:rsidRPr="00806B20">
        <w:rPr>
          <w:rFonts w:ascii="Arial" w:hAnsi="Arial" w:cs="Arial"/>
        </w:rPr>
        <w:t>Such materials challenge anthropocentric material hierarchies by destabilizing the notion of “waste” as valueless matter. Their reprocessing foregrounds metabolic continuity rather than linear disposal. Moreover, their mineral-organic hybrid structure introduces heterogeneity at micro-scales, complicating assumptions of homogeneity typical of standardized industrial products. When utilized in spatial prototypes, these composites demonstrate that durability need not depend on uniformity but can emerge from recomposed biological residues embedded within adaptive matrices.</w:t>
      </w:r>
    </w:p>
    <w:p w14:paraId="31924127" w14:textId="77777777" w:rsidR="005D2C61" w:rsidRPr="00806B20" w:rsidRDefault="005D2C61" w:rsidP="00806B20">
      <w:pPr>
        <w:pStyle w:val="Heading2"/>
        <w:spacing w:line="276" w:lineRule="auto"/>
        <w:jc w:val="both"/>
        <w:rPr>
          <w:rFonts w:ascii="Arial" w:eastAsia="Times New Roman" w:hAnsi="Arial" w:cs="Arial"/>
          <w:sz w:val="24"/>
          <w:szCs w:val="24"/>
        </w:rPr>
      </w:pPr>
      <w:r w:rsidRPr="00806B20">
        <w:rPr>
          <w:rFonts w:ascii="Arial" w:eastAsia="Times New Roman" w:hAnsi="Arial" w:cs="Arial"/>
          <w:sz w:val="24"/>
          <w:szCs w:val="24"/>
        </w:rPr>
        <w:t>Figure 2</w:t>
      </w:r>
    </w:p>
    <w:p w14:paraId="194A119A" w14:textId="484CB405" w:rsidR="005D2C61" w:rsidRPr="00806B20" w:rsidRDefault="005D2C61" w:rsidP="00806B20">
      <w:pPr>
        <w:pStyle w:val="NormalWeb"/>
        <w:spacing w:line="276" w:lineRule="auto"/>
        <w:jc w:val="both"/>
        <w:rPr>
          <w:rFonts w:ascii="Arial" w:hAnsi="Arial" w:cs="Arial"/>
        </w:rPr>
      </w:pPr>
      <w:r w:rsidRPr="00806B20">
        <w:rPr>
          <w:rStyle w:val="Strong"/>
          <w:rFonts w:ascii="Arial" w:hAnsi="Arial" w:cs="Arial"/>
        </w:rPr>
        <w:t>Eggshell-derived calcium carbonate composite prototypes produced by the author.</w:t>
      </w:r>
    </w:p>
    <w:p w14:paraId="03965428" w14:textId="41A2F5A3" w:rsidR="005D2C61" w:rsidRPr="00806B20" w:rsidRDefault="005D2C61" w:rsidP="00806B20">
      <w:pPr>
        <w:spacing w:line="276" w:lineRule="auto"/>
        <w:jc w:val="both"/>
        <w:rPr>
          <w:rFonts w:ascii="Arial" w:eastAsia="Times New Roman" w:hAnsi="Arial" w:cs="Arial"/>
        </w:rPr>
      </w:pPr>
      <w:r w:rsidRPr="005D2C61">
        <w:rPr>
          <w:rFonts w:ascii="Arial" w:eastAsia="Times New Roman" w:hAnsi="Arial" w:cs="Arial"/>
        </w:rPr>
        <w:t>Photographic documentation of experimental composite samples produced from eggshell waste and bio-based binders. The prototypes demonstrate mineral-organic hybridization and circular reuse of biological residues.</w:t>
      </w:r>
    </w:p>
    <w:p w14:paraId="39272274" w14:textId="603765E4" w:rsidR="005D2C61" w:rsidRPr="00806B20" w:rsidRDefault="005D2C61" w:rsidP="00806B20">
      <w:pPr>
        <w:spacing w:line="276" w:lineRule="auto"/>
        <w:jc w:val="both"/>
        <w:rPr>
          <w:rFonts w:ascii="Arial" w:eastAsia="Times New Roman" w:hAnsi="Arial" w:cs="Arial"/>
        </w:rPr>
      </w:pPr>
    </w:p>
    <w:p w14:paraId="2D617E27" w14:textId="77777777" w:rsidR="005D2C61" w:rsidRPr="00806B20" w:rsidRDefault="00254179" w:rsidP="00806B20">
      <w:pPr>
        <w:pStyle w:val="Heading3"/>
        <w:spacing w:line="276" w:lineRule="auto"/>
        <w:jc w:val="both"/>
        <w:rPr>
          <w:rFonts w:ascii="Arial" w:eastAsia="Times New Roman" w:hAnsi="Arial" w:cs="Arial"/>
        </w:rPr>
      </w:pPr>
      <w:r w:rsidRPr="00806B20">
        <w:rPr>
          <w:rFonts w:ascii="Arial" w:eastAsia="Times New Roman" w:hAnsi="Arial" w:cs="Arial"/>
        </w:rPr>
        <w:t xml:space="preserve">4.2. </w:t>
      </w:r>
      <w:r w:rsidR="005D2C61" w:rsidRPr="00806B20">
        <w:rPr>
          <w:rFonts w:ascii="Arial" w:eastAsia="Times New Roman" w:hAnsi="Arial" w:cs="Arial"/>
        </w:rPr>
        <w:t>Mycelium-Based Growth Materials</w:t>
      </w:r>
    </w:p>
    <w:p w14:paraId="103178FC" w14:textId="77777777" w:rsidR="005D2C61" w:rsidRPr="00806B20" w:rsidRDefault="005D2C61" w:rsidP="00806B20">
      <w:pPr>
        <w:pStyle w:val="NormalWeb"/>
        <w:spacing w:line="276" w:lineRule="auto"/>
        <w:jc w:val="both"/>
        <w:rPr>
          <w:rFonts w:ascii="Arial" w:hAnsi="Arial" w:cs="Arial"/>
        </w:rPr>
      </w:pPr>
      <w:r w:rsidRPr="00806B20">
        <w:rPr>
          <w:rFonts w:ascii="Arial" w:hAnsi="Arial" w:cs="Arial"/>
        </w:rPr>
        <w:t>Mycelium-based materials represent a more radical reconfiguration of material ontology, as they are grown rather than manufactured. Camere and Karana (2018) argue that fabricating materials from living organisms requires designers to engage in co-performance with biological growth processes. The resulting materiality is inseparable from environmental parameters such as humidity, substrate composition, and incubation conditions.</w:t>
      </w:r>
    </w:p>
    <w:p w14:paraId="54FB14B7" w14:textId="77777777" w:rsidR="005D2C61" w:rsidRPr="00806B20" w:rsidRDefault="005D2C61" w:rsidP="00806B20">
      <w:pPr>
        <w:pStyle w:val="NormalWeb"/>
        <w:spacing w:line="276" w:lineRule="auto"/>
        <w:jc w:val="both"/>
        <w:rPr>
          <w:rFonts w:ascii="Arial" w:hAnsi="Arial" w:cs="Arial"/>
        </w:rPr>
      </w:pPr>
      <w:r w:rsidRPr="00806B20">
        <w:rPr>
          <w:rFonts w:ascii="Arial" w:hAnsi="Arial" w:cs="Arial"/>
        </w:rPr>
        <w:t>Chayaamor-Heil et al. (2024) further emphasize that co-designing with living organisms introduces temporal and ecological dependencies into architectural thinking. Mycelium composites exhibit distributed fiber networks that echo biological connective systems, aligning with resilience theory’s emphasis on connectivity and adaptive reorganization (Heymans et al., 2019).</w:t>
      </w:r>
    </w:p>
    <w:p w14:paraId="3F56A106" w14:textId="77777777" w:rsidR="005D2C61" w:rsidRPr="00806B20" w:rsidRDefault="005D2C61" w:rsidP="00806B20">
      <w:pPr>
        <w:pStyle w:val="NormalWeb"/>
        <w:spacing w:line="276" w:lineRule="auto"/>
        <w:jc w:val="both"/>
        <w:rPr>
          <w:rFonts w:ascii="Arial" w:hAnsi="Arial" w:cs="Arial"/>
        </w:rPr>
      </w:pPr>
      <w:r w:rsidRPr="00806B20">
        <w:rPr>
          <w:rFonts w:ascii="Arial" w:hAnsi="Arial" w:cs="Arial"/>
        </w:rPr>
        <w:t>From an epistemological perspective, mycelium destabilizes the industrial expectation of complete control. Form emerges through growth, and variability becomes intrinsic rather than accidental. The material’s agency is evident in its capacity to self-bind, colonize substrates, and generate structural cohesion without synthetic adhesives. Such characteristics exemplify a shift from imposed assembly to cultivated formation.</w:t>
      </w:r>
    </w:p>
    <w:p w14:paraId="796C3646" w14:textId="77777777" w:rsidR="005D2C61" w:rsidRPr="00806B20" w:rsidRDefault="005D2C61" w:rsidP="00806B20">
      <w:pPr>
        <w:pStyle w:val="Heading2"/>
        <w:spacing w:line="276" w:lineRule="auto"/>
        <w:jc w:val="both"/>
        <w:rPr>
          <w:rFonts w:ascii="Arial" w:eastAsia="Times New Roman" w:hAnsi="Arial" w:cs="Arial"/>
          <w:sz w:val="24"/>
          <w:szCs w:val="24"/>
        </w:rPr>
      </w:pPr>
      <w:r w:rsidRPr="00806B20">
        <w:rPr>
          <w:rFonts w:ascii="Arial" w:eastAsia="Times New Roman" w:hAnsi="Arial" w:cs="Arial"/>
          <w:sz w:val="24"/>
          <w:szCs w:val="24"/>
        </w:rPr>
        <w:t>Figure 3</w:t>
      </w:r>
    </w:p>
    <w:p w14:paraId="476B0621" w14:textId="77777777" w:rsidR="005D2C61" w:rsidRPr="00806B20" w:rsidRDefault="005D2C61" w:rsidP="00806B20">
      <w:pPr>
        <w:pStyle w:val="NormalWeb"/>
        <w:spacing w:line="276" w:lineRule="auto"/>
        <w:jc w:val="both"/>
        <w:rPr>
          <w:rFonts w:ascii="Arial" w:hAnsi="Arial" w:cs="Arial"/>
        </w:rPr>
      </w:pPr>
      <w:r w:rsidRPr="00806B20">
        <w:rPr>
          <w:rStyle w:val="Strong"/>
          <w:rFonts w:ascii="Arial" w:hAnsi="Arial" w:cs="Arial"/>
        </w:rPr>
        <w:t>Mycelium-based growth prototypes produced through fungal colonization processes.</w:t>
      </w:r>
    </w:p>
    <w:p w14:paraId="14D36BB9" w14:textId="24FC7B7B" w:rsidR="005D2C61" w:rsidRPr="000029F9" w:rsidRDefault="005D2C61" w:rsidP="000029F9">
      <w:pPr>
        <w:pStyle w:val="NormalWeb"/>
        <w:spacing w:line="276" w:lineRule="auto"/>
        <w:jc w:val="both"/>
        <w:rPr>
          <w:rFonts w:ascii="Arial" w:hAnsi="Arial" w:cs="Arial"/>
        </w:rPr>
      </w:pPr>
      <w:r w:rsidRPr="00806B20">
        <w:rPr>
          <w:rFonts w:ascii="Arial" w:hAnsi="Arial" w:cs="Arial"/>
        </w:rPr>
        <w:t>Growth-based material samples cultivated through controlled mycelium colonization. The images illustrate distributed fiber networks and form generation through biological self-binding processes.</w:t>
      </w:r>
    </w:p>
    <w:p w14:paraId="0DD858CC" w14:textId="77777777" w:rsidR="005D2C61" w:rsidRPr="00806B20" w:rsidRDefault="00254179" w:rsidP="00806B20">
      <w:pPr>
        <w:pStyle w:val="Heading3"/>
        <w:spacing w:line="276" w:lineRule="auto"/>
        <w:jc w:val="both"/>
        <w:rPr>
          <w:rFonts w:ascii="Arial" w:eastAsia="Times New Roman" w:hAnsi="Arial" w:cs="Arial"/>
        </w:rPr>
      </w:pPr>
      <w:r w:rsidRPr="00806B20">
        <w:rPr>
          <w:rFonts w:ascii="Arial" w:eastAsia="Times New Roman" w:hAnsi="Arial" w:cs="Arial"/>
        </w:rPr>
        <w:t xml:space="preserve">4.3. </w:t>
      </w:r>
      <w:r w:rsidR="005D2C61" w:rsidRPr="00806B20">
        <w:rPr>
          <w:rFonts w:ascii="Arial" w:eastAsia="Times New Roman" w:hAnsi="Arial" w:cs="Arial"/>
        </w:rPr>
        <w:t>Casein-Based Biopolymers (Milk-Derived Materials)</w:t>
      </w:r>
    </w:p>
    <w:p w14:paraId="3FD3539D" w14:textId="77777777" w:rsidR="005D2C61" w:rsidRPr="00806B20" w:rsidRDefault="005D2C61" w:rsidP="00806B20">
      <w:pPr>
        <w:pStyle w:val="NormalWeb"/>
        <w:spacing w:line="276" w:lineRule="auto"/>
        <w:jc w:val="both"/>
        <w:rPr>
          <w:rFonts w:ascii="Arial" w:hAnsi="Arial" w:cs="Arial"/>
        </w:rPr>
      </w:pPr>
      <w:r w:rsidRPr="00806B20">
        <w:rPr>
          <w:rFonts w:ascii="Arial" w:hAnsi="Arial" w:cs="Arial"/>
        </w:rPr>
        <w:t>Casein-based biopolymers derived from milk proteins illustrate a third modality of bio-based material transformation. Lee et al. (2021) discuss biological production routes that utilize renewable feedstocks and agro-industrial residues, embedding circular bioeconomic logics into material generation. Casein plastics, historically used prior to petrochemical polymers, demonstrate how protein-based materials can form rigid yet biodegradable structures.</w:t>
      </w:r>
    </w:p>
    <w:p w14:paraId="293B8F25" w14:textId="77777777" w:rsidR="005D2C61" w:rsidRPr="00806B20" w:rsidRDefault="005D2C61" w:rsidP="00806B20">
      <w:pPr>
        <w:pStyle w:val="NormalWeb"/>
        <w:spacing w:line="276" w:lineRule="auto"/>
        <w:jc w:val="both"/>
        <w:rPr>
          <w:rFonts w:ascii="Arial" w:hAnsi="Arial" w:cs="Arial"/>
        </w:rPr>
      </w:pPr>
      <w:r w:rsidRPr="00806B20">
        <w:rPr>
          <w:rFonts w:ascii="Arial" w:hAnsi="Arial" w:cs="Arial"/>
        </w:rPr>
        <w:t>Chang et al. (2020) highlight how environmental exposure significantly influences the durability and degradation behavior of bio-based composites. In the case of casein-based materials, moisture and temperature are not merely external stressors but constitutive variables shaping performance. This environmental responsiveness challenges the industrial pursuit of universal stability.</w:t>
      </w:r>
    </w:p>
    <w:p w14:paraId="6CEF4180" w14:textId="77777777" w:rsidR="005D2C61" w:rsidRPr="00806B20" w:rsidRDefault="005D2C61" w:rsidP="00806B20">
      <w:pPr>
        <w:pStyle w:val="NormalWeb"/>
        <w:spacing w:line="276" w:lineRule="auto"/>
        <w:jc w:val="both"/>
        <w:rPr>
          <w:rFonts w:ascii="Arial" w:hAnsi="Arial" w:cs="Arial"/>
        </w:rPr>
      </w:pPr>
      <w:r w:rsidRPr="00806B20">
        <w:rPr>
          <w:rFonts w:ascii="Arial" w:hAnsi="Arial" w:cs="Arial"/>
        </w:rPr>
        <w:t>When incorporated into experimental spatial prototypes, casein-based materials reveal temporality as an intrinsic material property. Their lifecycle—potentially returning to biological cycles through degradation—aligns with a resilience model grounded in regeneration rather than indefinite permanence.</w:t>
      </w:r>
    </w:p>
    <w:p w14:paraId="31B0BB25" w14:textId="77777777" w:rsidR="005D2C61" w:rsidRPr="00806B20" w:rsidRDefault="005D2C61" w:rsidP="00806B20">
      <w:pPr>
        <w:pStyle w:val="NormalWeb"/>
        <w:spacing w:line="276" w:lineRule="auto"/>
        <w:jc w:val="both"/>
        <w:rPr>
          <w:rFonts w:ascii="Arial" w:hAnsi="Arial" w:cs="Arial"/>
        </w:rPr>
      </w:pPr>
      <w:r w:rsidRPr="00806B20">
        <w:rPr>
          <w:rStyle w:val="Strong"/>
          <w:rFonts w:ascii="Arial" w:hAnsi="Arial" w:cs="Arial"/>
        </w:rPr>
        <w:t>Casein-based biopolymer prototypes derived from milk proteins.</w:t>
      </w:r>
    </w:p>
    <w:p w14:paraId="46CD6D16" w14:textId="4E39F85F" w:rsidR="005D2C61" w:rsidRPr="000029F9" w:rsidRDefault="005D2C61" w:rsidP="000029F9">
      <w:pPr>
        <w:pStyle w:val="NormalWeb"/>
        <w:spacing w:line="276" w:lineRule="auto"/>
        <w:jc w:val="both"/>
        <w:rPr>
          <w:rFonts w:ascii="Arial" w:hAnsi="Arial" w:cs="Arial"/>
        </w:rPr>
      </w:pPr>
      <w:r w:rsidRPr="00806B20">
        <w:rPr>
          <w:rFonts w:ascii="Arial" w:hAnsi="Arial" w:cs="Arial"/>
        </w:rPr>
        <w:t>Experimental protein-based biopolymer samples fabricated from milk-derived casein. The prototypes highlight material temporality, environmental responsiveness, and bio-circular lifecycle integration.</w:t>
      </w:r>
    </w:p>
    <w:p w14:paraId="51DEBC82" w14:textId="77777777" w:rsidR="005D2C61" w:rsidRPr="00806B20" w:rsidRDefault="00254179" w:rsidP="00806B20">
      <w:pPr>
        <w:pStyle w:val="Heading3"/>
        <w:spacing w:line="276" w:lineRule="auto"/>
        <w:jc w:val="both"/>
        <w:rPr>
          <w:rFonts w:ascii="Arial" w:eastAsia="Times New Roman" w:hAnsi="Arial" w:cs="Arial"/>
        </w:rPr>
      </w:pPr>
      <w:r w:rsidRPr="00806B20">
        <w:rPr>
          <w:rFonts w:ascii="Arial" w:eastAsia="Times New Roman" w:hAnsi="Arial" w:cs="Arial"/>
        </w:rPr>
        <w:t xml:space="preserve">4.4. </w:t>
      </w:r>
      <w:r w:rsidR="005D2C61" w:rsidRPr="00806B20">
        <w:rPr>
          <w:rFonts w:ascii="Arial" w:eastAsia="Times New Roman" w:hAnsi="Arial" w:cs="Arial"/>
        </w:rPr>
        <w:t>Material Instances as Epistemological Evidence</w:t>
      </w:r>
    </w:p>
    <w:p w14:paraId="3289B69F" w14:textId="284D9792" w:rsidR="000029F9" w:rsidRPr="000029F9" w:rsidRDefault="000029F9" w:rsidP="000029F9">
      <w:pPr>
        <w:pStyle w:val="Heading2"/>
        <w:spacing w:line="276" w:lineRule="auto"/>
        <w:jc w:val="both"/>
        <w:rPr>
          <w:rFonts w:ascii="Arial" w:hAnsi="Arial" w:cs="Arial"/>
          <w:b w:val="0"/>
          <w:bCs w:val="0"/>
          <w:sz w:val="24"/>
          <w:szCs w:val="24"/>
        </w:rPr>
      </w:pPr>
      <w:r w:rsidRPr="000029F9">
        <w:rPr>
          <w:rFonts w:ascii="Arial" w:hAnsi="Arial" w:cs="Arial"/>
          <w:b w:val="0"/>
          <w:bCs w:val="0"/>
          <w:sz w:val="24"/>
          <w:szCs w:val="24"/>
        </w:rPr>
        <w:t>These material instances are not presented as technical performance case studies but as epistemological evidence. Rather than functioning as empirical validations of structural efficiency, they operate as conceptual manifestations of an ontological shift in how materials are understood within spatial production. Each example demonstrates a departure from extractive, homogeneous, and permanence-oriented material logics that characterize industrial construction systems (Bourbia et al., 2023; Lee et al., 2021).</w:t>
      </w:r>
    </w:p>
    <w:p w14:paraId="08FF4E86" w14:textId="1CD98BF5" w:rsidR="000029F9" w:rsidRPr="000029F9" w:rsidRDefault="000029F9" w:rsidP="000029F9">
      <w:pPr>
        <w:pStyle w:val="Heading2"/>
        <w:spacing w:line="276" w:lineRule="auto"/>
        <w:jc w:val="both"/>
        <w:rPr>
          <w:rFonts w:ascii="Arial" w:hAnsi="Arial" w:cs="Arial"/>
          <w:b w:val="0"/>
          <w:bCs w:val="0"/>
          <w:sz w:val="24"/>
          <w:szCs w:val="24"/>
        </w:rPr>
      </w:pPr>
      <w:r w:rsidRPr="000029F9">
        <w:rPr>
          <w:rFonts w:ascii="Arial" w:hAnsi="Arial" w:cs="Arial"/>
          <w:b w:val="0"/>
          <w:bCs w:val="0"/>
          <w:sz w:val="24"/>
          <w:szCs w:val="24"/>
        </w:rPr>
        <w:t>In conventional paradigms, materials are optimized for predictability, standardization, and resistance to environmental influence. Variability is treated as a defect, and environmental exposure is framed primarily as a threat to performance. However, as resilience-oriented ecological research suggests, adaptive capacity emerges not from rigidity but from distributed interdependence and feedback mechanisms (Heymans et al., 2019). The bio-based material instances discussed above foreground precisely these qualities: circularity, environmental entanglement, and distributed formation processes.</w:t>
      </w:r>
    </w:p>
    <w:p w14:paraId="118503EA" w14:textId="5660C697" w:rsidR="000029F9" w:rsidRPr="000029F9" w:rsidRDefault="000029F9" w:rsidP="000029F9">
      <w:pPr>
        <w:pStyle w:val="Heading2"/>
        <w:spacing w:line="276" w:lineRule="auto"/>
        <w:jc w:val="both"/>
        <w:rPr>
          <w:rFonts w:ascii="Arial" w:hAnsi="Arial" w:cs="Arial"/>
          <w:b w:val="0"/>
          <w:bCs w:val="0"/>
          <w:sz w:val="24"/>
          <w:szCs w:val="24"/>
        </w:rPr>
      </w:pPr>
      <w:r w:rsidRPr="000029F9">
        <w:rPr>
          <w:rFonts w:ascii="Arial" w:hAnsi="Arial" w:cs="Arial"/>
          <w:b w:val="0"/>
          <w:bCs w:val="0"/>
          <w:sz w:val="24"/>
          <w:szCs w:val="24"/>
        </w:rPr>
        <w:t>Eggshell-derived composites reposition waste within regenerative cycles, disrupting linear extraction–production–disposal chains. Mycelium-based growth materials exemplify co-formation through biological agency, where structural cohesion emerges from self-organizing fungal networks rather than from imposed mechanical assembly (Camere &amp; Karana, 2018; Chayaamor-Heil et al., 2024). Casein-based biopolymers reveal temporality as an intrinsic material condition, demonstrating how environmental responsiveness and degradation can be integrated into lifecycle thinking rather than suppressed (Chang et al., 2020).</w:t>
      </w:r>
    </w:p>
    <w:p w14:paraId="465FDCE3" w14:textId="59AF7B81" w:rsidR="000029F9" w:rsidRPr="000029F9" w:rsidRDefault="000029F9" w:rsidP="000029F9">
      <w:pPr>
        <w:pStyle w:val="Heading2"/>
        <w:spacing w:line="276" w:lineRule="auto"/>
        <w:jc w:val="both"/>
        <w:rPr>
          <w:rFonts w:ascii="Arial" w:hAnsi="Arial" w:cs="Arial"/>
          <w:b w:val="0"/>
          <w:bCs w:val="0"/>
          <w:sz w:val="24"/>
          <w:szCs w:val="24"/>
        </w:rPr>
      </w:pPr>
      <w:r w:rsidRPr="000029F9">
        <w:rPr>
          <w:rFonts w:ascii="Arial" w:hAnsi="Arial" w:cs="Arial"/>
          <w:b w:val="0"/>
          <w:bCs w:val="0"/>
          <w:sz w:val="24"/>
          <w:szCs w:val="24"/>
        </w:rPr>
        <w:t>Taken together, these instances make visible what Andréen and Goidea (2022) describe as principles of biological design: diversity, specificity, feedback, and adaptive transformation. Their significance lies not solely in their sustainable origin but in their capacity to destabilize the anthropocentric assumption that materials are inert substrates awaiting human control. Instead, they exemplify material agency as a relational capacity embedded within ecological systems.</w:t>
      </w:r>
    </w:p>
    <w:p w14:paraId="7A23757B" w14:textId="77777777" w:rsidR="000029F9" w:rsidRDefault="000029F9" w:rsidP="000029F9">
      <w:pPr>
        <w:pStyle w:val="Heading2"/>
        <w:spacing w:line="276" w:lineRule="auto"/>
        <w:jc w:val="both"/>
        <w:rPr>
          <w:rFonts w:ascii="Arial" w:hAnsi="Arial" w:cs="Arial"/>
          <w:b w:val="0"/>
          <w:bCs w:val="0"/>
          <w:sz w:val="24"/>
          <w:szCs w:val="24"/>
        </w:rPr>
      </w:pPr>
      <w:r w:rsidRPr="000029F9">
        <w:rPr>
          <w:rFonts w:ascii="Arial" w:hAnsi="Arial" w:cs="Arial"/>
          <w:b w:val="0"/>
          <w:bCs w:val="0"/>
          <w:sz w:val="24"/>
          <w:szCs w:val="24"/>
        </w:rPr>
        <w:t>Through these illustrative cases, bio-based materials become legible not only as sustainable alternatives but as material manifestations of relational ontology. Their variability, responsiveness, and lifecycle integration reinforce the argument that spatial resilience must be understood as adaptive participation within ecological systems rather than static resistance to change. In this sense, the materials discussed here function as epistemological bridges between theoretical critique and spatial practice.</w:t>
      </w:r>
    </w:p>
    <w:p w14:paraId="7F1FBE08" w14:textId="65ED453C" w:rsidR="000029F9" w:rsidRDefault="000029F9" w:rsidP="000029F9">
      <w:pPr>
        <w:pStyle w:val="Heading2"/>
        <w:spacing w:line="276" w:lineRule="auto"/>
        <w:jc w:val="both"/>
        <w:rPr>
          <w:rFonts w:ascii="Arial" w:hAnsi="Arial" w:cs="Arial"/>
          <w:b w:val="0"/>
          <w:bCs w:val="0"/>
          <w:sz w:val="24"/>
          <w:szCs w:val="24"/>
        </w:rPr>
      </w:pPr>
      <w:r w:rsidRPr="000029F9">
        <w:rPr>
          <w:rFonts w:ascii="Arial" w:hAnsi="Arial" w:cs="Arial"/>
          <w:b w:val="0"/>
          <w:bCs w:val="0"/>
          <w:sz w:val="24"/>
          <w:szCs w:val="24"/>
        </w:rPr>
        <w:t>The implications of this epistemological repositioning become particularly evident when spatial resilience is reconsidered beyond structural metrics and reframed as a relational condition of spatial becoming.</w:t>
      </w:r>
    </w:p>
    <w:p w14:paraId="53EEA779" w14:textId="3D5EF668" w:rsidR="00A306F4" w:rsidRPr="00806B20" w:rsidRDefault="00254179" w:rsidP="000029F9">
      <w:pPr>
        <w:pStyle w:val="Heading2"/>
        <w:spacing w:line="276" w:lineRule="auto"/>
        <w:jc w:val="both"/>
        <w:rPr>
          <w:rFonts w:ascii="Arial" w:eastAsia="Times New Roman" w:hAnsi="Arial" w:cs="Arial"/>
          <w:sz w:val="24"/>
          <w:szCs w:val="24"/>
        </w:rPr>
      </w:pPr>
      <w:r w:rsidRPr="00806B20">
        <w:rPr>
          <w:rFonts w:ascii="Arial" w:eastAsia="Times New Roman" w:hAnsi="Arial" w:cs="Arial"/>
          <w:sz w:val="24"/>
          <w:szCs w:val="24"/>
        </w:rPr>
        <w:t>5. Discussion</w:t>
      </w:r>
    </w:p>
    <w:p w14:paraId="607CB2A6" w14:textId="3D3BEED7" w:rsidR="007E13BF" w:rsidRPr="007E13BF" w:rsidRDefault="007E13BF" w:rsidP="007E13BF">
      <w:pPr>
        <w:pStyle w:val="Heading2"/>
        <w:spacing w:line="276" w:lineRule="auto"/>
        <w:jc w:val="both"/>
        <w:rPr>
          <w:rFonts w:ascii="Arial" w:hAnsi="Arial" w:cs="Arial"/>
          <w:b w:val="0"/>
          <w:bCs w:val="0"/>
          <w:sz w:val="24"/>
          <w:szCs w:val="24"/>
        </w:rPr>
      </w:pPr>
      <w:r w:rsidRPr="007E13BF">
        <w:rPr>
          <w:rFonts w:ascii="Arial" w:hAnsi="Arial" w:cs="Arial"/>
          <w:b w:val="0"/>
          <w:bCs w:val="0"/>
          <w:sz w:val="24"/>
          <w:szCs w:val="24"/>
        </w:rPr>
        <w:t>5.1 Theoretical Implications for Design Epistemology</w:t>
      </w:r>
    </w:p>
    <w:p w14:paraId="343E2860" w14:textId="3D92A11F" w:rsidR="007E13BF" w:rsidRPr="007E13BF" w:rsidRDefault="007E13BF" w:rsidP="007E13BF">
      <w:pPr>
        <w:pStyle w:val="Heading2"/>
        <w:spacing w:line="276" w:lineRule="auto"/>
        <w:jc w:val="both"/>
        <w:rPr>
          <w:rFonts w:ascii="Arial" w:hAnsi="Arial" w:cs="Arial"/>
          <w:b w:val="0"/>
          <w:bCs w:val="0"/>
          <w:sz w:val="24"/>
          <w:szCs w:val="24"/>
        </w:rPr>
      </w:pPr>
      <w:r w:rsidRPr="007E13BF">
        <w:rPr>
          <w:rFonts w:ascii="Arial" w:hAnsi="Arial" w:cs="Arial"/>
          <w:b w:val="0"/>
          <w:bCs w:val="0"/>
          <w:sz w:val="24"/>
          <w:szCs w:val="24"/>
        </w:rPr>
        <w:t>The preceding analysis demonstrates that spatial resilience cannot be adequately understood within the confines of an anthropocentric material ontology. By tracing the transition from material objectification to material agency, this study interrogates the epistemological hierarchies embedded in conventional architectural production.</w:t>
      </w:r>
    </w:p>
    <w:p w14:paraId="4027C832" w14:textId="2E34E06E" w:rsidR="007E13BF" w:rsidRPr="007E13BF" w:rsidRDefault="007E13BF" w:rsidP="007E13BF">
      <w:pPr>
        <w:pStyle w:val="Heading2"/>
        <w:spacing w:line="276" w:lineRule="auto"/>
        <w:jc w:val="both"/>
        <w:rPr>
          <w:rFonts w:ascii="Arial" w:hAnsi="Arial" w:cs="Arial"/>
          <w:b w:val="0"/>
          <w:bCs w:val="0"/>
          <w:sz w:val="24"/>
          <w:szCs w:val="24"/>
        </w:rPr>
      </w:pPr>
      <w:r w:rsidRPr="007E13BF">
        <w:rPr>
          <w:rFonts w:ascii="Arial" w:hAnsi="Arial" w:cs="Arial"/>
          <w:b w:val="0"/>
          <w:bCs w:val="0"/>
          <w:sz w:val="24"/>
          <w:szCs w:val="24"/>
        </w:rPr>
        <w:t>Existing sustainability discourse frequently concentrates on efficiency, carbon reduction, or material substitution (Bourbia et al., 2023; Lee et al., 2021), yet often leaves intact the underlying epistemic structure in which matter remains subordinate to human intention. By synthesizing insights from biodesign research (Crawford, 2022; Goidea et al., 2022), biological design principles (Andréen &amp; Goidea, 2022), and interdisciplinary collaboration studies (Bandoni et al., 2022; Stefanova, 2021), this paper positions bio-based materials not merely as technological alternatives but as epistemological indicators of a broader transformation in design knowledge.</w:t>
      </w:r>
    </w:p>
    <w:p w14:paraId="6AC42AC9" w14:textId="6C059BBF" w:rsidR="007E13BF" w:rsidRPr="007E13BF" w:rsidRDefault="007E13BF" w:rsidP="007E13BF">
      <w:pPr>
        <w:pStyle w:val="Heading2"/>
        <w:spacing w:line="276" w:lineRule="auto"/>
        <w:jc w:val="both"/>
        <w:rPr>
          <w:rFonts w:ascii="Arial" w:hAnsi="Arial" w:cs="Arial"/>
          <w:b w:val="0"/>
          <w:bCs w:val="0"/>
          <w:sz w:val="24"/>
          <w:szCs w:val="24"/>
        </w:rPr>
      </w:pPr>
      <w:r w:rsidRPr="007E13BF">
        <w:rPr>
          <w:rFonts w:ascii="Arial" w:hAnsi="Arial" w:cs="Arial"/>
          <w:b w:val="0"/>
          <w:bCs w:val="0"/>
          <w:sz w:val="24"/>
          <w:szCs w:val="24"/>
        </w:rPr>
        <w:t>From this perspective, architectural production can no longer be framed as unilateral imposition upon inert matter. Instead, it emerges as a relational negotiation distributed across human and non-human actors. Material agency, as defined in this study, challenges centralized authorship and introduces temporality, environmental entanglement, and adaptive co-production into spatial thinking.</w:t>
      </w:r>
    </w:p>
    <w:p w14:paraId="5ADF9638" w14:textId="39256E4F" w:rsidR="007E13BF" w:rsidRPr="007E13BF" w:rsidRDefault="007E13BF" w:rsidP="007E13BF">
      <w:pPr>
        <w:pStyle w:val="Heading2"/>
        <w:spacing w:line="276" w:lineRule="auto"/>
        <w:jc w:val="both"/>
        <w:rPr>
          <w:rFonts w:ascii="Arial" w:hAnsi="Arial" w:cs="Arial"/>
          <w:b w:val="0"/>
          <w:bCs w:val="0"/>
          <w:sz w:val="24"/>
          <w:szCs w:val="24"/>
        </w:rPr>
      </w:pPr>
      <w:r w:rsidRPr="007E13BF">
        <w:rPr>
          <w:rFonts w:ascii="Arial" w:hAnsi="Arial" w:cs="Arial"/>
          <w:b w:val="0"/>
          <w:bCs w:val="0"/>
          <w:sz w:val="24"/>
          <w:szCs w:val="24"/>
        </w:rPr>
        <w:t>Importantly, this shift does not eliminate human intentionality but re-situates it within ecological networks. Design becomes a practice of cultivating conditions for emergence rather than enforcing predetermined outcomes. In this sense, biodesign functions as a critical lens through which architectural epistemology can be reconsidered beyond extractive paradigms.</w:t>
      </w:r>
    </w:p>
    <w:p w14:paraId="6DF6E37F" w14:textId="1C6DBE2C" w:rsidR="007E13BF" w:rsidRPr="007E13BF" w:rsidRDefault="007E13BF" w:rsidP="007E13BF">
      <w:pPr>
        <w:pStyle w:val="Heading2"/>
        <w:spacing w:line="276" w:lineRule="auto"/>
        <w:jc w:val="both"/>
        <w:rPr>
          <w:rFonts w:ascii="Arial" w:hAnsi="Arial" w:cs="Arial"/>
          <w:b w:val="0"/>
          <w:bCs w:val="0"/>
          <w:sz w:val="24"/>
          <w:szCs w:val="24"/>
        </w:rPr>
      </w:pPr>
      <w:r w:rsidRPr="007E13BF">
        <w:rPr>
          <w:rFonts w:ascii="Arial" w:hAnsi="Arial" w:cs="Arial"/>
          <w:b w:val="0"/>
          <w:bCs w:val="0"/>
          <w:sz w:val="24"/>
          <w:szCs w:val="24"/>
        </w:rPr>
        <w:t>5.2 Conceptual Reframing of Spatial Resilience</w:t>
      </w:r>
    </w:p>
    <w:p w14:paraId="2F988726" w14:textId="3B99F58C" w:rsidR="007E13BF" w:rsidRPr="007E13BF" w:rsidRDefault="007E13BF" w:rsidP="007E13BF">
      <w:pPr>
        <w:pStyle w:val="Heading2"/>
        <w:spacing w:line="276" w:lineRule="auto"/>
        <w:jc w:val="both"/>
        <w:rPr>
          <w:rFonts w:ascii="Arial" w:hAnsi="Arial" w:cs="Arial"/>
          <w:b w:val="0"/>
          <w:bCs w:val="0"/>
          <w:sz w:val="24"/>
          <w:szCs w:val="24"/>
        </w:rPr>
      </w:pPr>
      <w:r w:rsidRPr="007E13BF">
        <w:rPr>
          <w:rFonts w:ascii="Arial" w:hAnsi="Arial" w:cs="Arial"/>
          <w:b w:val="0"/>
          <w:bCs w:val="0"/>
          <w:sz w:val="24"/>
          <w:szCs w:val="24"/>
        </w:rPr>
        <w:t>Conceptually, the findings of this study suggest that resilience must be reconsidered beyond structural endurance. Rather than equating resilience with resistance or permanence, a relational understanding aligns more closely with ecological theory, which emphasizes connectivity, diversity, and adaptive reorganization across scales (Heymans et al., 2019).</w:t>
      </w:r>
    </w:p>
    <w:p w14:paraId="61EBCC66" w14:textId="5875D5DA" w:rsidR="007E13BF" w:rsidRPr="007E13BF" w:rsidRDefault="007E13BF" w:rsidP="007E13BF">
      <w:pPr>
        <w:pStyle w:val="Heading2"/>
        <w:spacing w:line="276" w:lineRule="auto"/>
        <w:jc w:val="both"/>
        <w:rPr>
          <w:rFonts w:ascii="Arial" w:hAnsi="Arial" w:cs="Arial"/>
          <w:b w:val="0"/>
          <w:bCs w:val="0"/>
          <w:sz w:val="24"/>
          <w:szCs w:val="24"/>
        </w:rPr>
      </w:pPr>
      <w:r w:rsidRPr="007E13BF">
        <w:rPr>
          <w:rFonts w:ascii="Arial" w:hAnsi="Arial" w:cs="Arial"/>
          <w:b w:val="0"/>
          <w:bCs w:val="0"/>
          <w:sz w:val="24"/>
          <w:szCs w:val="24"/>
        </w:rPr>
        <w:t>Bio-based materials—such as eggshell-derived composites, mycelium-grown structures, and casein-based biopolymers—demonstrate that durability can be embedded in transformation rather than rigidity (Chang et al., 2020). Their environmental responsiveness and lifecycle integration foreground temporality as constitutive of spatial performance. In this framework, degradation is not necessarily failure but part of an adaptive cycle.</w:t>
      </w:r>
    </w:p>
    <w:p w14:paraId="5248CE47" w14:textId="46702CDC" w:rsidR="007E13BF" w:rsidRPr="007E13BF" w:rsidRDefault="007E13BF" w:rsidP="007E13BF">
      <w:pPr>
        <w:pStyle w:val="Heading2"/>
        <w:spacing w:line="276" w:lineRule="auto"/>
        <w:jc w:val="both"/>
        <w:rPr>
          <w:rFonts w:ascii="Arial" w:hAnsi="Arial" w:cs="Arial"/>
          <w:b w:val="0"/>
          <w:bCs w:val="0"/>
          <w:sz w:val="24"/>
          <w:szCs w:val="24"/>
        </w:rPr>
      </w:pPr>
      <w:r w:rsidRPr="007E13BF">
        <w:rPr>
          <w:rFonts w:ascii="Arial" w:hAnsi="Arial" w:cs="Arial"/>
          <w:b w:val="0"/>
          <w:bCs w:val="0"/>
          <w:sz w:val="24"/>
          <w:szCs w:val="24"/>
        </w:rPr>
        <w:t>This reframing points toward what may be described as a post-anthropocentric spatial orientation. Such an orientation does not reject architectural agency but situates it within distributed material ecologies. Resilience becomes inseparable from participation in ecological processes rather than insulation from them.</w:t>
      </w:r>
    </w:p>
    <w:p w14:paraId="7E5B49EC" w14:textId="29ABFF5C" w:rsidR="007E13BF" w:rsidRPr="007E13BF" w:rsidRDefault="007E13BF" w:rsidP="007E13BF">
      <w:pPr>
        <w:pStyle w:val="Heading2"/>
        <w:spacing w:line="276" w:lineRule="auto"/>
        <w:jc w:val="both"/>
        <w:rPr>
          <w:rFonts w:ascii="Arial" w:hAnsi="Arial" w:cs="Arial"/>
          <w:b w:val="0"/>
          <w:bCs w:val="0"/>
          <w:sz w:val="24"/>
          <w:szCs w:val="24"/>
        </w:rPr>
      </w:pPr>
      <w:r w:rsidRPr="007E13BF">
        <w:rPr>
          <w:rFonts w:ascii="Arial" w:hAnsi="Arial" w:cs="Arial"/>
          <w:b w:val="0"/>
          <w:bCs w:val="0"/>
          <w:sz w:val="24"/>
          <w:szCs w:val="24"/>
        </w:rPr>
        <w:t>As O’Rourke and Seepersad (2015) caution, biological analogies must be critically assessed within contextual constraints. The contribution of biodesign lies not in uncritical biomimicry but in its capacity to destabilize extractive logics and redistribute agency across human and non-human actors. By conceptualizing resilience as a relational ontology rather than a structural metric, this study extends current debates in architectural sustainability.</w:t>
      </w:r>
    </w:p>
    <w:p w14:paraId="3B69BFA0" w14:textId="77777777" w:rsidR="007E13BF" w:rsidRDefault="007E13BF" w:rsidP="007E13BF">
      <w:pPr>
        <w:pStyle w:val="Heading2"/>
        <w:spacing w:line="276" w:lineRule="auto"/>
        <w:jc w:val="both"/>
        <w:rPr>
          <w:rFonts w:ascii="Arial" w:hAnsi="Arial" w:cs="Arial"/>
          <w:b w:val="0"/>
          <w:bCs w:val="0"/>
          <w:sz w:val="24"/>
          <w:szCs w:val="24"/>
        </w:rPr>
      </w:pPr>
      <w:r w:rsidRPr="007E13BF">
        <w:rPr>
          <w:rFonts w:ascii="Arial" w:hAnsi="Arial" w:cs="Arial"/>
          <w:b w:val="0"/>
          <w:bCs w:val="0"/>
          <w:sz w:val="24"/>
          <w:szCs w:val="24"/>
        </w:rPr>
        <w:t>Ultimately, resilience in spatial systems may be more effectively cultivated through ecological embeddedness than through structural isolation. This conceptual repositioning invites future research to operationalize relational resilience within design methodologies, evaluation frameworks, and interdisciplinary collaboration models.</w:t>
      </w:r>
    </w:p>
    <w:p w14:paraId="4A128703" w14:textId="62E94293" w:rsidR="00A306F4" w:rsidRPr="00806B20" w:rsidRDefault="00254179" w:rsidP="007E13BF">
      <w:pPr>
        <w:pStyle w:val="Heading2"/>
        <w:spacing w:line="276" w:lineRule="auto"/>
        <w:jc w:val="both"/>
        <w:rPr>
          <w:rFonts w:ascii="Arial" w:eastAsia="Times New Roman" w:hAnsi="Arial" w:cs="Arial"/>
          <w:sz w:val="24"/>
          <w:szCs w:val="24"/>
        </w:rPr>
      </w:pPr>
      <w:r w:rsidRPr="00806B20">
        <w:rPr>
          <w:rFonts w:ascii="Arial" w:eastAsia="Times New Roman" w:hAnsi="Arial" w:cs="Arial"/>
          <w:sz w:val="24"/>
          <w:szCs w:val="24"/>
        </w:rPr>
        <w:t>Conclusion</w:t>
      </w:r>
    </w:p>
    <w:p w14:paraId="43D26591" w14:textId="77777777" w:rsidR="00254179" w:rsidRPr="00806B20" w:rsidRDefault="00254179" w:rsidP="00806B20">
      <w:pPr>
        <w:pStyle w:val="NormalWeb"/>
        <w:spacing w:line="276" w:lineRule="auto"/>
        <w:jc w:val="both"/>
        <w:rPr>
          <w:rFonts w:ascii="Arial" w:hAnsi="Arial" w:cs="Arial"/>
        </w:rPr>
      </w:pPr>
      <w:r w:rsidRPr="00806B20">
        <w:rPr>
          <w:rFonts w:ascii="Arial" w:hAnsi="Arial" w:cs="Arial"/>
        </w:rPr>
        <w:t>This paper has examined spatial resilience through an epistemological lens, arguing that prevailing anthropocentric design paradigms limit how resilience is conceptualized and operationalized within architectural discourse. By positioning materials as passive objects subjected to human control, conventional construction systems reinforce a static understanding of durability grounded in resistance and permanence.</w:t>
      </w:r>
    </w:p>
    <w:p w14:paraId="798F3F98" w14:textId="77777777" w:rsidR="00254179" w:rsidRPr="00806B20" w:rsidRDefault="00254179" w:rsidP="00806B20">
      <w:pPr>
        <w:pStyle w:val="NormalWeb"/>
        <w:spacing w:line="276" w:lineRule="auto"/>
        <w:jc w:val="both"/>
        <w:rPr>
          <w:rFonts w:ascii="Arial" w:hAnsi="Arial" w:cs="Arial"/>
        </w:rPr>
      </w:pPr>
      <w:r w:rsidRPr="00806B20">
        <w:rPr>
          <w:rFonts w:ascii="Arial" w:hAnsi="Arial" w:cs="Arial"/>
        </w:rPr>
        <w:t>Drawing on interdisciplinary scholarship in biodesign, biological design principles, and ecological resilience, this study has proposed a shift from material objectification toward material agency. Through illustrative bio-based material instances—including eggshell-derived calcium carbonate composites, mycelium-grown structures, and casein-based biopolymers—the paper has demonstrated how variability, environmental responsiveness, and lifecycle integration challenge industrial assumptions of homogeneity and universal stability. These materials function not merely as sustainable substitutes but as conceptual indicators of a broader ontological transformation.</w:t>
      </w:r>
    </w:p>
    <w:p w14:paraId="078794D8" w14:textId="77777777" w:rsidR="00254179" w:rsidRPr="00806B20" w:rsidRDefault="00254179" w:rsidP="00806B20">
      <w:pPr>
        <w:pStyle w:val="NormalWeb"/>
        <w:spacing w:line="276" w:lineRule="auto"/>
        <w:jc w:val="both"/>
        <w:rPr>
          <w:rFonts w:ascii="Arial" w:hAnsi="Arial" w:cs="Arial"/>
        </w:rPr>
      </w:pPr>
      <w:r w:rsidRPr="00806B20">
        <w:rPr>
          <w:rFonts w:ascii="Arial" w:hAnsi="Arial" w:cs="Arial"/>
        </w:rPr>
        <w:t>The study contributes theoretically by reframing architectural production as a relational process distributed across human and non-human actors. Conceptually, it redefines spatial resilience as the capacity of spatial systems to sustain coherence through adaptive transformation rather than through rigid resistance. This redefinition aligns resilience with ecological participation rather than structural insulation.</w:t>
      </w:r>
    </w:p>
    <w:p w14:paraId="7765E839" w14:textId="77777777" w:rsidR="00254179" w:rsidRPr="00806B20" w:rsidRDefault="00254179" w:rsidP="00806B20">
      <w:pPr>
        <w:pStyle w:val="NormalWeb"/>
        <w:spacing w:line="276" w:lineRule="auto"/>
        <w:jc w:val="both"/>
        <w:rPr>
          <w:rFonts w:ascii="Arial" w:hAnsi="Arial" w:cs="Arial"/>
        </w:rPr>
      </w:pPr>
      <w:r w:rsidRPr="00806B20">
        <w:rPr>
          <w:rFonts w:ascii="Arial" w:hAnsi="Arial" w:cs="Arial"/>
        </w:rPr>
        <w:t>While the paper remains conceptual in scope, its findings suggest directions for future research. Further investigation may explore how relational resilience can be operationalized in material evaluation frameworks, design methodologies, and interdisciplinary collaboration models. Ultimately, advancing a post-anthropocentric orientation in spatial research may expand architecture’s capacity to engage with ecological systems not as external constraints, but as co-constitutive partners in spatial formation.</w:t>
      </w:r>
    </w:p>
    <w:p w14:paraId="38681F5B" w14:textId="3C21DCE1" w:rsidR="00A306F4" w:rsidRPr="00806B20" w:rsidRDefault="000029F9" w:rsidP="00806B20">
      <w:pPr>
        <w:pStyle w:val="NormalWeb"/>
        <w:spacing w:line="276" w:lineRule="auto"/>
        <w:jc w:val="both"/>
        <w:rPr>
          <w:rFonts w:ascii="Arial" w:hAnsi="Arial" w:cs="Arial"/>
        </w:rPr>
      </w:pPr>
      <w:r>
        <w:rPr>
          <w:rFonts w:ascii="Arial" w:hAnsi="Arial" w:cs="Arial"/>
        </w:rPr>
        <w:t>References</w:t>
      </w:r>
    </w:p>
    <w:p w14:paraId="2ADF5712" w14:textId="77777777" w:rsidR="007E13BF" w:rsidRDefault="007E13BF" w:rsidP="007E13BF">
      <w:pPr>
        <w:pStyle w:val="NormalWeb"/>
      </w:pPr>
      <w:r>
        <w:t xml:space="preserve">Andréen, D., &amp; Goidea, A. (2022). Principles of biological design as a model for bio-informed architecture. </w:t>
      </w:r>
      <w:r>
        <w:rPr>
          <w:rStyle w:val="Emphasis"/>
        </w:rPr>
        <w:t>Journal Title</w:t>
      </w:r>
      <w:r>
        <w:t>.</w:t>
      </w:r>
    </w:p>
    <w:p w14:paraId="551C1638" w14:textId="77777777" w:rsidR="007E13BF" w:rsidRDefault="007E13BF" w:rsidP="007E13BF">
      <w:pPr>
        <w:pStyle w:val="NormalWeb"/>
      </w:pPr>
      <w:r>
        <w:t xml:space="preserve">Akyürek, Ö., et al. (2020). Building design in between living and manufactured systems. </w:t>
      </w:r>
      <w:r>
        <w:rPr>
          <w:rStyle w:val="Emphasis"/>
        </w:rPr>
        <w:t>Journal Title</w:t>
      </w:r>
      <w:r>
        <w:t>.</w:t>
      </w:r>
    </w:p>
    <w:p w14:paraId="318D4387" w14:textId="77777777" w:rsidR="007E13BF" w:rsidRDefault="007E13BF" w:rsidP="007E13BF">
      <w:pPr>
        <w:pStyle w:val="NormalWeb"/>
      </w:pPr>
      <w:r>
        <w:t xml:space="preserve">Babatunde, S. O., et al. (2020). Investigation of biomaterial characteristics of chicken eggshell for composite applications. </w:t>
      </w:r>
      <w:r>
        <w:rPr>
          <w:rStyle w:val="Emphasis"/>
        </w:rPr>
        <w:t>Journal Title</w:t>
      </w:r>
      <w:r>
        <w:t>.</w:t>
      </w:r>
    </w:p>
    <w:p w14:paraId="13645C13" w14:textId="77777777" w:rsidR="007E13BF" w:rsidRDefault="007E13BF" w:rsidP="007E13BF">
      <w:pPr>
        <w:pStyle w:val="NormalWeb"/>
      </w:pPr>
      <w:r>
        <w:t xml:space="preserve">Bandoni, E., et al. (2022). Interdisciplinarity and collaboration in biodesign research. </w:t>
      </w:r>
      <w:r>
        <w:rPr>
          <w:rStyle w:val="Emphasis"/>
        </w:rPr>
        <w:t>Journal Title</w:t>
      </w:r>
      <w:r>
        <w:t>.</w:t>
      </w:r>
    </w:p>
    <w:p w14:paraId="0C2D0A11" w14:textId="77777777" w:rsidR="007E13BF" w:rsidRDefault="007E13BF" w:rsidP="007E13BF">
      <w:pPr>
        <w:pStyle w:val="NormalWeb"/>
      </w:pPr>
      <w:r>
        <w:t xml:space="preserve">Bennett, J. (2010). </w:t>
      </w:r>
      <w:r>
        <w:rPr>
          <w:rStyle w:val="Emphasis"/>
        </w:rPr>
        <w:t>Vibrant matter: A political ecology of things</w:t>
      </w:r>
      <w:r>
        <w:t>. Duke University Press.</w:t>
      </w:r>
    </w:p>
    <w:p w14:paraId="36E7D464" w14:textId="77777777" w:rsidR="007E13BF" w:rsidRDefault="007E13BF" w:rsidP="007E13BF">
      <w:pPr>
        <w:pStyle w:val="NormalWeb"/>
      </w:pPr>
      <w:r>
        <w:t xml:space="preserve">Bourbia, F., et al. (2023). A review on recent research on bio-based building materials. </w:t>
      </w:r>
      <w:r>
        <w:rPr>
          <w:rStyle w:val="Emphasis"/>
        </w:rPr>
        <w:t>Journal Title</w:t>
      </w:r>
      <w:r>
        <w:t>.</w:t>
      </w:r>
    </w:p>
    <w:p w14:paraId="76CBCC3A" w14:textId="77777777" w:rsidR="007E13BF" w:rsidRDefault="007E13BF" w:rsidP="007E13BF">
      <w:pPr>
        <w:pStyle w:val="NormalWeb"/>
      </w:pPr>
      <w:r>
        <w:t>Camere, S.,</w:t>
      </w:r>
      <w:bookmarkStart w:id="0" w:name="_GoBack"/>
      <w:bookmarkEnd w:id="0"/>
      <w:r>
        <w:t xml:space="preserve"> &amp; Karana, E. (2018). Fabricating materials from living organisms: An emerging design practice. </w:t>
      </w:r>
      <w:r>
        <w:rPr>
          <w:rStyle w:val="Emphasis"/>
        </w:rPr>
        <w:t>Journal Title</w:t>
      </w:r>
      <w:r>
        <w:t>.</w:t>
      </w:r>
    </w:p>
    <w:p w14:paraId="0366CD5A" w14:textId="77777777" w:rsidR="007E13BF" w:rsidRDefault="007E13BF" w:rsidP="007E13BF">
      <w:pPr>
        <w:pStyle w:val="NormalWeb"/>
      </w:pPr>
      <w:r>
        <w:t xml:space="preserve">Chang, Y., et al. (2020). Studies on durability of sustainable bio-based composites. </w:t>
      </w:r>
      <w:r>
        <w:rPr>
          <w:rStyle w:val="Emphasis"/>
        </w:rPr>
        <w:t>Journal Title</w:t>
      </w:r>
      <w:r>
        <w:t>.</w:t>
      </w:r>
    </w:p>
    <w:p w14:paraId="19E0A7FA" w14:textId="77777777" w:rsidR="007E13BF" w:rsidRDefault="007E13BF" w:rsidP="007E13BF">
      <w:pPr>
        <w:pStyle w:val="NormalWeb"/>
      </w:pPr>
      <w:r>
        <w:t xml:space="preserve">Chayaamor-Heil, N., et al. (2024). The potential of co-designing with living organisms in architectural systems. </w:t>
      </w:r>
      <w:r>
        <w:rPr>
          <w:rStyle w:val="Emphasis"/>
        </w:rPr>
        <w:t>Journal Title</w:t>
      </w:r>
      <w:r>
        <w:t>.</w:t>
      </w:r>
    </w:p>
    <w:p w14:paraId="5A98D0B9" w14:textId="77777777" w:rsidR="007E13BF" w:rsidRDefault="007E13BF" w:rsidP="007E13BF">
      <w:pPr>
        <w:pStyle w:val="NormalWeb"/>
      </w:pPr>
      <w:r>
        <w:t xml:space="preserve">Crawford, J. (2022). Biodesign research in the Anthropocene. </w:t>
      </w:r>
      <w:r>
        <w:rPr>
          <w:rStyle w:val="Emphasis"/>
        </w:rPr>
        <w:t>Journal Title</w:t>
      </w:r>
      <w:r>
        <w:t>.</w:t>
      </w:r>
    </w:p>
    <w:p w14:paraId="338C3E2C" w14:textId="77777777" w:rsidR="007E13BF" w:rsidRDefault="007E13BF" w:rsidP="007E13BF">
      <w:pPr>
        <w:pStyle w:val="NormalWeb"/>
      </w:pPr>
      <w:r>
        <w:t xml:space="preserve">Goidea, A., et al. (2022). Transcalar design: An approach to biodesign in the Anthropocene. </w:t>
      </w:r>
      <w:r>
        <w:rPr>
          <w:rStyle w:val="Emphasis"/>
        </w:rPr>
        <w:t>Journal Title</w:t>
      </w:r>
      <w:r>
        <w:t>.</w:t>
      </w:r>
    </w:p>
    <w:p w14:paraId="2639E638" w14:textId="77777777" w:rsidR="007E13BF" w:rsidRDefault="007E13BF" w:rsidP="007E13BF">
      <w:pPr>
        <w:pStyle w:val="NormalWeb"/>
      </w:pPr>
      <w:r>
        <w:t xml:space="preserve">Heymans, A., et al. (2019). Ecological urban planning and design: A systematic review. </w:t>
      </w:r>
      <w:r>
        <w:rPr>
          <w:rStyle w:val="Emphasis"/>
        </w:rPr>
        <w:t>Journal Title</w:t>
      </w:r>
      <w:r>
        <w:t>.</w:t>
      </w:r>
    </w:p>
    <w:p w14:paraId="1641A9B8" w14:textId="77777777" w:rsidR="007E13BF" w:rsidRDefault="007E13BF" w:rsidP="007E13BF">
      <w:pPr>
        <w:pStyle w:val="NormalWeb"/>
      </w:pPr>
      <w:r>
        <w:t xml:space="preserve">Ingold, T. (2013). </w:t>
      </w:r>
      <w:r>
        <w:rPr>
          <w:rStyle w:val="Emphasis"/>
        </w:rPr>
        <w:t>Making: Anthropology, archaeology, art and architecture</w:t>
      </w:r>
      <w:r>
        <w:t>. Routledge.</w:t>
      </w:r>
    </w:p>
    <w:p w14:paraId="7018B43C" w14:textId="77777777" w:rsidR="007E13BF" w:rsidRDefault="007E13BF" w:rsidP="007E13BF">
      <w:pPr>
        <w:pStyle w:val="NormalWeb"/>
      </w:pPr>
      <w:r>
        <w:t xml:space="preserve">Kırdök, O., et al. (2019). Biodesign as an innovative tool to decrease construction impacts. </w:t>
      </w:r>
      <w:r>
        <w:rPr>
          <w:rStyle w:val="Emphasis"/>
        </w:rPr>
        <w:t>Journal Title</w:t>
      </w:r>
      <w:r>
        <w:t>.</w:t>
      </w:r>
    </w:p>
    <w:p w14:paraId="7EC74B11" w14:textId="77777777" w:rsidR="007E13BF" w:rsidRDefault="007E13BF" w:rsidP="007E13BF">
      <w:pPr>
        <w:pStyle w:val="NormalWeb"/>
      </w:pPr>
      <w:r>
        <w:t xml:space="preserve">Latour, B. (2005). </w:t>
      </w:r>
      <w:r>
        <w:rPr>
          <w:rStyle w:val="Emphasis"/>
        </w:rPr>
        <w:t>Reassembling the social: An introduction to actor-network-theory</w:t>
      </w:r>
      <w:r>
        <w:t>. Oxford University Press.</w:t>
      </w:r>
    </w:p>
    <w:p w14:paraId="3E97D352" w14:textId="77777777" w:rsidR="007E13BF" w:rsidRDefault="007E13BF" w:rsidP="007E13BF">
      <w:pPr>
        <w:pStyle w:val="NormalWeb"/>
      </w:pPr>
      <w:r>
        <w:t xml:space="preserve">Lee, S., et al. (2021). Current status and future prospects of biological production in material systems. </w:t>
      </w:r>
      <w:r>
        <w:rPr>
          <w:rStyle w:val="Emphasis"/>
        </w:rPr>
        <w:t>Journal Title</w:t>
      </w:r>
      <w:r>
        <w:t>.</w:t>
      </w:r>
    </w:p>
    <w:p w14:paraId="6192CC46" w14:textId="77777777" w:rsidR="007E13BF" w:rsidRDefault="007E13BF" w:rsidP="007E13BF">
      <w:pPr>
        <w:pStyle w:val="NormalWeb"/>
      </w:pPr>
      <w:r>
        <w:t xml:space="preserve">O’Rourke, J., &amp; Seepersad, C. (2015). Using biology as a model for sustainability. </w:t>
      </w:r>
      <w:r>
        <w:rPr>
          <w:rStyle w:val="Emphasis"/>
        </w:rPr>
        <w:t>Journal Title</w:t>
      </w:r>
      <w:r>
        <w:t>.</w:t>
      </w:r>
    </w:p>
    <w:p w14:paraId="57B39150" w14:textId="77777777" w:rsidR="007E13BF" w:rsidRDefault="007E13BF" w:rsidP="007E13BF">
      <w:pPr>
        <w:pStyle w:val="NormalWeb"/>
      </w:pPr>
      <w:r>
        <w:t xml:space="preserve">Rognoli, V., et al. (n.d.). The material experiences as DIY-materials. </w:t>
      </w:r>
      <w:r>
        <w:rPr>
          <w:rStyle w:val="Emphasis"/>
        </w:rPr>
        <w:t>Journal Title</w:t>
      </w:r>
      <w:r>
        <w:t>.</w:t>
      </w:r>
    </w:p>
    <w:p w14:paraId="1EDA9BE2" w14:textId="77777777" w:rsidR="007E13BF" w:rsidRDefault="007E13BF" w:rsidP="007E13BF">
      <w:pPr>
        <w:pStyle w:val="NormalWeb"/>
      </w:pPr>
      <w:r>
        <w:t xml:space="preserve">Stefanova, B. (2021). Practices in bio-design: Design research through interdisciplinary collaboration. </w:t>
      </w:r>
      <w:r>
        <w:rPr>
          <w:rStyle w:val="Emphasis"/>
        </w:rPr>
        <w:t>Journal Title</w:t>
      </w:r>
      <w:r>
        <w:t>.</w:t>
      </w:r>
    </w:p>
    <w:p w14:paraId="439ADD35" w14:textId="77777777" w:rsidR="007E13BF" w:rsidRDefault="007E13BF" w:rsidP="007E13BF">
      <w:pPr>
        <w:pStyle w:val="NormalWeb"/>
      </w:pPr>
      <w:r>
        <w:t xml:space="preserve">Yang, M., et al. (2019). Biodesign research to advance the principles and application of biological systems in architecture. </w:t>
      </w:r>
      <w:r>
        <w:rPr>
          <w:rStyle w:val="Emphasis"/>
        </w:rPr>
        <w:t>Journal Title</w:t>
      </w:r>
      <w:r>
        <w:t>.</w:t>
      </w:r>
    </w:p>
    <w:p w14:paraId="27250542" w14:textId="77777777" w:rsidR="007E13BF" w:rsidRDefault="007E13BF" w:rsidP="007E13BF">
      <w:pPr>
        <w:pStyle w:val="NormalWeb"/>
      </w:pPr>
      <w:r>
        <w:t xml:space="preserve">Zheng, Y. (2015). A systematic literature review of design-based research in architectural studies. </w:t>
      </w:r>
      <w:r>
        <w:rPr>
          <w:rStyle w:val="Emphasis"/>
        </w:rPr>
        <w:t>Journal Title</w:t>
      </w:r>
      <w:r>
        <w:t>.</w:t>
      </w:r>
    </w:p>
    <w:p w14:paraId="0D87AA8C" w14:textId="77777777" w:rsidR="00A306F4" w:rsidRPr="00806B20" w:rsidRDefault="00A306F4" w:rsidP="00806B20">
      <w:pPr>
        <w:spacing w:line="276" w:lineRule="auto"/>
        <w:jc w:val="both"/>
        <w:rPr>
          <w:rFonts w:ascii="Arial" w:hAnsi="Arial" w:cs="Arial"/>
        </w:rPr>
      </w:pPr>
    </w:p>
    <w:sectPr w:rsidR="00A306F4" w:rsidRPr="00806B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6F4"/>
    <w:rsid w:val="000007FA"/>
    <w:rsid w:val="000029F9"/>
    <w:rsid w:val="000057EE"/>
    <w:rsid w:val="00010198"/>
    <w:rsid w:val="00040F65"/>
    <w:rsid w:val="00041F1B"/>
    <w:rsid w:val="00051A8D"/>
    <w:rsid w:val="00051CB5"/>
    <w:rsid w:val="00074FCE"/>
    <w:rsid w:val="00080EE5"/>
    <w:rsid w:val="000A63B6"/>
    <w:rsid w:val="000C727B"/>
    <w:rsid w:val="000D189B"/>
    <w:rsid w:val="000D753F"/>
    <w:rsid w:val="00103241"/>
    <w:rsid w:val="0011051B"/>
    <w:rsid w:val="00111225"/>
    <w:rsid w:val="001142C1"/>
    <w:rsid w:val="001345FE"/>
    <w:rsid w:val="00137FF1"/>
    <w:rsid w:val="0014011D"/>
    <w:rsid w:val="00157C41"/>
    <w:rsid w:val="001723C1"/>
    <w:rsid w:val="00173729"/>
    <w:rsid w:val="001756BB"/>
    <w:rsid w:val="00183481"/>
    <w:rsid w:val="00195F2E"/>
    <w:rsid w:val="001A0201"/>
    <w:rsid w:val="001A21E3"/>
    <w:rsid w:val="001A2A00"/>
    <w:rsid w:val="001C51FF"/>
    <w:rsid w:val="001C6B7F"/>
    <w:rsid w:val="001D3636"/>
    <w:rsid w:val="001D5486"/>
    <w:rsid w:val="001D78A2"/>
    <w:rsid w:val="001E6078"/>
    <w:rsid w:val="00201B7D"/>
    <w:rsid w:val="00222899"/>
    <w:rsid w:val="0024306E"/>
    <w:rsid w:val="00246FC2"/>
    <w:rsid w:val="00250AF4"/>
    <w:rsid w:val="00251B8E"/>
    <w:rsid w:val="00254179"/>
    <w:rsid w:val="002603EA"/>
    <w:rsid w:val="00261DB3"/>
    <w:rsid w:val="00262A45"/>
    <w:rsid w:val="002941E6"/>
    <w:rsid w:val="00296862"/>
    <w:rsid w:val="002A221A"/>
    <w:rsid w:val="002A324A"/>
    <w:rsid w:val="002B2505"/>
    <w:rsid w:val="002B7845"/>
    <w:rsid w:val="002D22AA"/>
    <w:rsid w:val="002E0F98"/>
    <w:rsid w:val="002E2AD9"/>
    <w:rsid w:val="002E4FE8"/>
    <w:rsid w:val="0030396B"/>
    <w:rsid w:val="003054BF"/>
    <w:rsid w:val="00311C06"/>
    <w:rsid w:val="003131DF"/>
    <w:rsid w:val="00316D36"/>
    <w:rsid w:val="00346674"/>
    <w:rsid w:val="00354001"/>
    <w:rsid w:val="00362F20"/>
    <w:rsid w:val="00371194"/>
    <w:rsid w:val="00375383"/>
    <w:rsid w:val="00376A3C"/>
    <w:rsid w:val="0038736E"/>
    <w:rsid w:val="00392205"/>
    <w:rsid w:val="00396CC6"/>
    <w:rsid w:val="003A2AAE"/>
    <w:rsid w:val="003B459C"/>
    <w:rsid w:val="003B78C7"/>
    <w:rsid w:val="003C035D"/>
    <w:rsid w:val="003C374F"/>
    <w:rsid w:val="003C5B94"/>
    <w:rsid w:val="003E1CE6"/>
    <w:rsid w:val="0040324F"/>
    <w:rsid w:val="0040568A"/>
    <w:rsid w:val="00415692"/>
    <w:rsid w:val="0042111E"/>
    <w:rsid w:val="004440B1"/>
    <w:rsid w:val="0044766F"/>
    <w:rsid w:val="00452AB2"/>
    <w:rsid w:val="00452B60"/>
    <w:rsid w:val="00460FA7"/>
    <w:rsid w:val="00476935"/>
    <w:rsid w:val="00477268"/>
    <w:rsid w:val="004A1AA0"/>
    <w:rsid w:val="004A707F"/>
    <w:rsid w:val="004B6C33"/>
    <w:rsid w:val="004C0853"/>
    <w:rsid w:val="004C761F"/>
    <w:rsid w:val="004D1DC9"/>
    <w:rsid w:val="004E3EF3"/>
    <w:rsid w:val="004F3DE6"/>
    <w:rsid w:val="004F638E"/>
    <w:rsid w:val="004F7FED"/>
    <w:rsid w:val="0050433D"/>
    <w:rsid w:val="00511880"/>
    <w:rsid w:val="00516868"/>
    <w:rsid w:val="00522791"/>
    <w:rsid w:val="00527D77"/>
    <w:rsid w:val="00527F61"/>
    <w:rsid w:val="005337C8"/>
    <w:rsid w:val="00542816"/>
    <w:rsid w:val="00550638"/>
    <w:rsid w:val="0055261F"/>
    <w:rsid w:val="00557DA1"/>
    <w:rsid w:val="005656F1"/>
    <w:rsid w:val="005716B1"/>
    <w:rsid w:val="00577834"/>
    <w:rsid w:val="00586DDD"/>
    <w:rsid w:val="00592321"/>
    <w:rsid w:val="00594AF7"/>
    <w:rsid w:val="00595083"/>
    <w:rsid w:val="00596871"/>
    <w:rsid w:val="00597F49"/>
    <w:rsid w:val="005B17E6"/>
    <w:rsid w:val="005B5787"/>
    <w:rsid w:val="005C3592"/>
    <w:rsid w:val="005C5AA6"/>
    <w:rsid w:val="005C734B"/>
    <w:rsid w:val="005D2C61"/>
    <w:rsid w:val="005E47DB"/>
    <w:rsid w:val="005E63EE"/>
    <w:rsid w:val="0061387C"/>
    <w:rsid w:val="006157BA"/>
    <w:rsid w:val="00617880"/>
    <w:rsid w:val="00620AF7"/>
    <w:rsid w:val="00622F49"/>
    <w:rsid w:val="00623867"/>
    <w:rsid w:val="00635070"/>
    <w:rsid w:val="00652E3F"/>
    <w:rsid w:val="00677E1A"/>
    <w:rsid w:val="00690B10"/>
    <w:rsid w:val="006A1B6F"/>
    <w:rsid w:val="006A5EFA"/>
    <w:rsid w:val="006C06CC"/>
    <w:rsid w:val="006C7435"/>
    <w:rsid w:val="006D2F8C"/>
    <w:rsid w:val="006D4151"/>
    <w:rsid w:val="006E48CB"/>
    <w:rsid w:val="006E7B38"/>
    <w:rsid w:val="006F1E7D"/>
    <w:rsid w:val="006F6FF8"/>
    <w:rsid w:val="007029A8"/>
    <w:rsid w:val="00705E30"/>
    <w:rsid w:val="007141A1"/>
    <w:rsid w:val="007244CF"/>
    <w:rsid w:val="00731032"/>
    <w:rsid w:val="007432A0"/>
    <w:rsid w:val="00745AEC"/>
    <w:rsid w:val="0076303B"/>
    <w:rsid w:val="00775EB9"/>
    <w:rsid w:val="007771EB"/>
    <w:rsid w:val="0078127E"/>
    <w:rsid w:val="00784632"/>
    <w:rsid w:val="007936EF"/>
    <w:rsid w:val="00794B8F"/>
    <w:rsid w:val="007A40D2"/>
    <w:rsid w:val="007A710E"/>
    <w:rsid w:val="007B1A7B"/>
    <w:rsid w:val="007D04DC"/>
    <w:rsid w:val="007D080D"/>
    <w:rsid w:val="007D33D0"/>
    <w:rsid w:val="007D42FA"/>
    <w:rsid w:val="007E0570"/>
    <w:rsid w:val="007E13BF"/>
    <w:rsid w:val="007E631D"/>
    <w:rsid w:val="007F6D9C"/>
    <w:rsid w:val="00806B20"/>
    <w:rsid w:val="00807F17"/>
    <w:rsid w:val="00817201"/>
    <w:rsid w:val="0081747D"/>
    <w:rsid w:val="008232D7"/>
    <w:rsid w:val="00826323"/>
    <w:rsid w:val="008467C0"/>
    <w:rsid w:val="00847116"/>
    <w:rsid w:val="00854ACB"/>
    <w:rsid w:val="008A0969"/>
    <w:rsid w:val="008A1A0E"/>
    <w:rsid w:val="008A3694"/>
    <w:rsid w:val="008B2409"/>
    <w:rsid w:val="008B4B51"/>
    <w:rsid w:val="008B65EA"/>
    <w:rsid w:val="008C22D5"/>
    <w:rsid w:val="008D2916"/>
    <w:rsid w:val="008D5380"/>
    <w:rsid w:val="008E38D7"/>
    <w:rsid w:val="008F2FE8"/>
    <w:rsid w:val="0092219C"/>
    <w:rsid w:val="00923BAE"/>
    <w:rsid w:val="0094235C"/>
    <w:rsid w:val="009426E8"/>
    <w:rsid w:val="009427BD"/>
    <w:rsid w:val="009510EE"/>
    <w:rsid w:val="0096073E"/>
    <w:rsid w:val="00961A62"/>
    <w:rsid w:val="00974A06"/>
    <w:rsid w:val="009820CE"/>
    <w:rsid w:val="0099475A"/>
    <w:rsid w:val="00997550"/>
    <w:rsid w:val="009D6BAD"/>
    <w:rsid w:val="009E565F"/>
    <w:rsid w:val="009F0302"/>
    <w:rsid w:val="00A017B9"/>
    <w:rsid w:val="00A04340"/>
    <w:rsid w:val="00A22455"/>
    <w:rsid w:val="00A23A08"/>
    <w:rsid w:val="00A2637A"/>
    <w:rsid w:val="00A306F4"/>
    <w:rsid w:val="00A32E29"/>
    <w:rsid w:val="00A33FAA"/>
    <w:rsid w:val="00A36577"/>
    <w:rsid w:val="00A37DFC"/>
    <w:rsid w:val="00A43C60"/>
    <w:rsid w:val="00A71B9C"/>
    <w:rsid w:val="00A72B97"/>
    <w:rsid w:val="00A739A4"/>
    <w:rsid w:val="00A80187"/>
    <w:rsid w:val="00A96D0D"/>
    <w:rsid w:val="00A97E16"/>
    <w:rsid w:val="00AB27B8"/>
    <w:rsid w:val="00AC705E"/>
    <w:rsid w:val="00AD177A"/>
    <w:rsid w:val="00B05DDB"/>
    <w:rsid w:val="00B150C5"/>
    <w:rsid w:val="00B247A7"/>
    <w:rsid w:val="00B436CA"/>
    <w:rsid w:val="00B46B1B"/>
    <w:rsid w:val="00B7197C"/>
    <w:rsid w:val="00BB0CD6"/>
    <w:rsid w:val="00BD42CD"/>
    <w:rsid w:val="00BD5270"/>
    <w:rsid w:val="00BE0A37"/>
    <w:rsid w:val="00BE2F0E"/>
    <w:rsid w:val="00BE7923"/>
    <w:rsid w:val="00BF7BBA"/>
    <w:rsid w:val="00C0157E"/>
    <w:rsid w:val="00C1324C"/>
    <w:rsid w:val="00C2317B"/>
    <w:rsid w:val="00C23B1C"/>
    <w:rsid w:val="00C428C3"/>
    <w:rsid w:val="00C42BF6"/>
    <w:rsid w:val="00C52A1F"/>
    <w:rsid w:val="00C52E06"/>
    <w:rsid w:val="00C6207B"/>
    <w:rsid w:val="00C6664E"/>
    <w:rsid w:val="00C7696A"/>
    <w:rsid w:val="00C77CC4"/>
    <w:rsid w:val="00C81846"/>
    <w:rsid w:val="00C8341F"/>
    <w:rsid w:val="00CA09A1"/>
    <w:rsid w:val="00CC412D"/>
    <w:rsid w:val="00CD00CA"/>
    <w:rsid w:val="00D16873"/>
    <w:rsid w:val="00D16CB6"/>
    <w:rsid w:val="00D318BF"/>
    <w:rsid w:val="00D33228"/>
    <w:rsid w:val="00D33742"/>
    <w:rsid w:val="00D357B4"/>
    <w:rsid w:val="00D45B1E"/>
    <w:rsid w:val="00D46DCE"/>
    <w:rsid w:val="00D65626"/>
    <w:rsid w:val="00D663EF"/>
    <w:rsid w:val="00D75E4F"/>
    <w:rsid w:val="00D80F84"/>
    <w:rsid w:val="00D8369F"/>
    <w:rsid w:val="00D938A1"/>
    <w:rsid w:val="00DA1463"/>
    <w:rsid w:val="00DA28CF"/>
    <w:rsid w:val="00DB1498"/>
    <w:rsid w:val="00DB31F6"/>
    <w:rsid w:val="00DB3A98"/>
    <w:rsid w:val="00DD15EE"/>
    <w:rsid w:val="00DD1DF1"/>
    <w:rsid w:val="00E0033A"/>
    <w:rsid w:val="00E05C4E"/>
    <w:rsid w:val="00E15600"/>
    <w:rsid w:val="00E16CEB"/>
    <w:rsid w:val="00E242C5"/>
    <w:rsid w:val="00E30F9C"/>
    <w:rsid w:val="00E41DA8"/>
    <w:rsid w:val="00E469B0"/>
    <w:rsid w:val="00E72F5F"/>
    <w:rsid w:val="00E75590"/>
    <w:rsid w:val="00E756CF"/>
    <w:rsid w:val="00EA7527"/>
    <w:rsid w:val="00EB686D"/>
    <w:rsid w:val="00EC13B6"/>
    <w:rsid w:val="00EC1CED"/>
    <w:rsid w:val="00EC2FF0"/>
    <w:rsid w:val="00EC48B9"/>
    <w:rsid w:val="00ED0AF5"/>
    <w:rsid w:val="00ED5B21"/>
    <w:rsid w:val="00ED62BE"/>
    <w:rsid w:val="00ED6B36"/>
    <w:rsid w:val="00EE47D1"/>
    <w:rsid w:val="00EF58A6"/>
    <w:rsid w:val="00F03AF7"/>
    <w:rsid w:val="00F1005F"/>
    <w:rsid w:val="00F11242"/>
    <w:rsid w:val="00F21D83"/>
    <w:rsid w:val="00F2521A"/>
    <w:rsid w:val="00F643B0"/>
    <w:rsid w:val="00F64614"/>
    <w:rsid w:val="00F668B3"/>
    <w:rsid w:val="00F70D72"/>
    <w:rsid w:val="00F7627A"/>
    <w:rsid w:val="00F77D30"/>
    <w:rsid w:val="00F8755E"/>
    <w:rsid w:val="00F9676E"/>
    <w:rsid w:val="00FA4F2C"/>
    <w:rsid w:val="00FB042A"/>
    <w:rsid w:val="00FB3D2E"/>
    <w:rsid w:val="00FC3A26"/>
    <w:rsid w:val="00FC6E6E"/>
    <w:rsid w:val="00FD2D3A"/>
    <w:rsid w:val="00FD4B94"/>
    <w:rsid w:val="00FE083D"/>
    <w:rsid w:val="00FE1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544A9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306F4"/>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D2C6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306F4"/>
    <w:pPr>
      <w:spacing w:before="100" w:beforeAutospacing="1" w:after="100" w:afterAutospacing="1"/>
    </w:pPr>
    <w:rPr>
      <w:rFonts w:ascii="Times New Roman" w:hAnsi="Times New Roman" w:cs="Times New Roman"/>
    </w:rPr>
  </w:style>
  <w:style w:type="character" w:customStyle="1" w:styleId="Heading2Char">
    <w:name w:val="Heading 2 Char"/>
    <w:basedOn w:val="DefaultParagraphFont"/>
    <w:link w:val="Heading2"/>
    <w:uiPriority w:val="9"/>
    <w:rsid w:val="00A306F4"/>
    <w:rPr>
      <w:rFonts w:ascii="Times New Roman" w:hAnsi="Times New Roman" w:cs="Times New Roman"/>
      <w:b/>
      <w:bCs/>
      <w:sz w:val="36"/>
      <w:szCs w:val="36"/>
    </w:rPr>
  </w:style>
  <w:style w:type="character" w:customStyle="1" w:styleId="Heading3Char">
    <w:name w:val="Heading 3 Char"/>
    <w:basedOn w:val="DefaultParagraphFont"/>
    <w:link w:val="Heading3"/>
    <w:uiPriority w:val="9"/>
    <w:semiHidden/>
    <w:rsid w:val="005D2C61"/>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5D2C61"/>
    <w:rPr>
      <w:b/>
      <w:bCs/>
    </w:rPr>
  </w:style>
  <w:style w:type="character" w:styleId="Emphasis">
    <w:name w:val="Emphasis"/>
    <w:basedOn w:val="DefaultParagraphFont"/>
    <w:uiPriority w:val="20"/>
    <w:qFormat/>
    <w:rsid w:val="007E13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4727">
      <w:bodyDiv w:val="1"/>
      <w:marLeft w:val="0"/>
      <w:marRight w:val="0"/>
      <w:marTop w:val="0"/>
      <w:marBottom w:val="0"/>
      <w:divBdr>
        <w:top w:val="none" w:sz="0" w:space="0" w:color="auto"/>
        <w:left w:val="none" w:sz="0" w:space="0" w:color="auto"/>
        <w:bottom w:val="none" w:sz="0" w:space="0" w:color="auto"/>
        <w:right w:val="none" w:sz="0" w:space="0" w:color="auto"/>
      </w:divBdr>
    </w:div>
    <w:div w:id="30081300">
      <w:bodyDiv w:val="1"/>
      <w:marLeft w:val="0"/>
      <w:marRight w:val="0"/>
      <w:marTop w:val="0"/>
      <w:marBottom w:val="0"/>
      <w:divBdr>
        <w:top w:val="none" w:sz="0" w:space="0" w:color="auto"/>
        <w:left w:val="none" w:sz="0" w:space="0" w:color="auto"/>
        <w:bottom w:val="none" w:sz="0" w:space="0" w:color="auto"/>
        <w:right w:val="none" w:sz="0" w:space="0" w:color="auto"/>
      </w:divBdr>
    </w:div>
    <w:div w:id="48114811">
      <w:bodyDiv w:val="1"/>
      <w:marLeft w:val="0"/>
      <w:marRight w:val="0"/>
      <w:marTop w:val="0"/>
      <w:marBottom w:val="0"/>
      <w:divBdr>
        <w:top w:val="none" w:sz="0" w:space="0" w:color="auto"/>
        <w:left w:val="none" w:sz="0" w:space="0" w:color="auto"/>
        <w:bottom w:val="none" w:sz="0" w:space="0" w:color="auto"/>
        <w:right w:val="none" w:sz="0" w:space="0" w:color="auto"/>
      </w:divBdr>
    </w:div>
    <w:div w:id="92291168">
      <w:bodyDiv w:val="1"/>
      <w:marLeft w:val="0"/>
      <w:marRight w:val="0"/>
      <w:marTop w:val="0"/>
      <w:marBottom w:val="0"/>
      <w:divBdr>
        <w:top w:val="none" w:sz="0" w:space="0" w:color="auto"/>
        <w:left w:val="none" w:sz="0" w:space="0" w:color="auto"/>
        <w:bottom w:val="none" w:sz="0" w:space="0" w:color="auto"/>
        <w:right w:val="none" w:sz="0" w:space="0" w:color="auto"/>
      </w:divBdr>
    </w:div>
    <w:div w:id="165557627">
      <w:bodyDiv w:val="1"/>
      <w:marLeft w:val="0"/>
      <w:marRight w:val="0"/>
      <w:marTop w:val="0"/>
      <w:marBottom w:val="0"/>
      <w:divBdr>
        <w:top w:val="none" w:sz="0" w:space="0" w:color="auto"/>
        <w:left w:val="none" w:sz="0" w:space="0" w:color="auto"/>
        <w:bottom w:val="none" w:sz="0" w:space="0" w:color="auto"/>
        <w:right w:val="none" w:sz="0" w:space="0" w:color="auto"/>
      </w:divBdr>
    </w:div>
    <w:div w:id="184825959">
      <w:bodyDiv w:val="1"/>
      <w:marLeft w:val="0"/>
      <w:marRight w:val="0"/>
      <w:marTop w:val="0"/>
      <w:marBottom w:val="0"/>
      <w:divBdr>
        <w:top w:val="none" w:sz="0" w:space="0" w:color="auto"/>
        <w:left w:val="none" w:sz="0" w:space="0" w:color="auto"/>
        <w:bottom w:val="none" w:sz="0" w:space="0" w:color="auto"/>
        <w:right w:val="none" w:sz="0" w:space="0" w:color="auto"/>
      </w:divBdr>
    </w:div>
    <w:div w:id="295764775">
      <w:bodyDiv w:val="1"/>
      <w:marLeft w:val="0"/>
      <w:marRight w:val="0"/>
      <w:marTop w:val="0"/>
      <w:marBottom w:val="0"/>
      <w:divBdr>
        <w:top w:val="none" w:sz="0" w:space="0" w:color="auto"/>
        <w:left w:val="none" w:sz="0" w:space="0" w:color="auto"/>
        <w:bottom w:val="none" w:sz="0" w:space="0" w:color="auto"/>
        <w:right w:val="none" w:sz="0" w:space="0" w:color="auto"/>
      </w:divBdr>
    </w:div>
    <w:div w:id="381441929">
      <w:bodyDiv w:val="1"/>
      <w:marLeft w:val="0"/>
      <w:marRight w:val="0"/>
      <w:marTop w:val="0"/>
      <w:marBottom w:val="0"/>
      <w:divBdr>
        <w:top w:val="none" w:sz="0" w:space="0" w:color="auto"/>
        <w:left w:val="none" w:sz="0" w:space="0" w:color="auto"/>
        <w:bottom w:val="none" w:sz="0" w:space="0" w:color="auto"/>
        <w:right w:val="none" w:sz="0" w:space="0" w:color="auto"/>
      </w:divBdr>
    </w:div>
    <w:div w:id="418605675">
      <w:bodyDiv w:val="1"/>
      <w:marLeft w:val="0"/>
      <w:marRight w:val="0"/>
      <w:marTop w:val="0"/>
      <w:marBottom w:val="0"/>
      <w:divBdr>
        <w:top w:val="none" w:sz="0" w:space="0" w:color="auto"/>
        <w:left w:val="none" w:sz="0" w:space="0" w:color="auto"/>
        <w:bottom w:val="none" w:sz="0" w:space="0" w:color="auto"/>
        <w:right w:val="none" w:sz="0" w:space="0" w:color="auto"/>
      </w:divBdr>
    </w:div>
    <w:div w:id="425618421">
      <w:bodyDiv w:val="1"/>
      <w:marLeft w:val="0"/>
      <w:marRight w:val="0"/>
      <w:marTop w:val="0"/>
      <w:marBottom w:val="0"/>
      <w:divBdr>
        <w:top w:val="none" w:sz="0" w:space="0" w:color="auto"/>
        <w:left w:val="none" w:sz="0" w:space="0" w:color="auto"/>
        <w:bottom w:val="none" w:sz="0" w:space="0" w:color="auto"/>
        <w:right w:val="none" w:sz="0" w:space="0" w:color="auto"/>
      </w:divBdr>
    </w:div>
    <w:div w:id="478424616">
      <w:bodyDiv w:val="1"/>
      <w:marLeft w:val="0"/>
      <w:marRight w:val="0"/>
      <w:marTop w:val="0"/>
      <w:marBottom w:val="0"/>
      <w:divBdr>
        <w:top w:val="none" w:sz="0" w:space="0" w:color="auto"/>
        <w:left w:val="none" w:sz="0" w:space="0" w:color="auto"/>
        <w:bottom w:val="none" w:sz="0" w:space="0" w:color="auto"/>
        <w:right w:val="none" w:sz="0" w:space="0" w:color="auto"/>
      </w:divBdr>
    </w:div>
    <w:div w:id="737361830">
      <w:bodyDiv w:val="1"/>
      <w:marLeft w:val="0"/>
      <w:marRight w:val="0"/>
      <w:marTop w:val="0"/>
      <w:marBottom w:val="0"/>
      <w:divBdr>
        <w:top w:val="none" w:sz="0" w:space="0" w:color="auto"/>
        <w:left w:val="none" w:sz="0" w:space="0" w:color="auto"/>
        <w:bottom w:val="none" w:sz="0" w:space="0" w:color="auto"/>
        <w:right w:val="none" w:sz="0" w:space="0" w:color="auto"/>
      </w:divBdr>
    </w:div>
    <w:div w:id="959217143">
      <w:bodyDiv w:val="1"/>
      <w:marLeft w:val="0"/>
      <w:marRight w:val="0"/>
      <w:marTop w:val="0"/>
      <w:marBottom w:val="0"/>
      <w:divBdr>
        <w:top w:val="none" w:sz="0" w:space="0" w:color="auto"/>
        <w:left w:val="none" w:sz="0" w:space="0" w:color="auto"/>
        <w:bottom w:val="none" w:sz="0" w:space="0" w:color="auto"/>
        <w:right w:val="none" w:sz="0" w:space="0" w:color="auto"/>
      </w:divBdr>
    </w:div>
    <w:div w:id="997537639">
      <w:bodyDiv w:val="1"/>
      <w:marLeft w:val="0"/>
      <w:marRight w:val="0"/>
      <w:marTop w:val="0"/>
      <w:marBottom w:val="0"/>
      <w:divBdr>
        <w:top w:val="none" w:sz="0" w:space="0" w:color="auto"/>
        <w:left w:val="none" w:sz="0" w:space="0" w:color="auto"/>
        <w:bottom w:val="none" w:sz="0" w:space="0" w:color="auto"/>
        <w:right w:val="none" w:sz="0" w:space="0" w:color="auto"/>
      </w:divBdr>
    </w:div>
    <w:div w:id="1156803105">
      <w:bodyDiv w:val="1"/>
      <w:marLeft w:val="0"/>
      <w:marRight w:val="0"/>
      <w:marTop w:val="0"/>
      <w:marBottom w:val="0"/>
      <w:divBdr>
        <w:top w:val="none" w:sz="0" w:space="0" w:color="auto"/>
        <w:left w:val="none" w:sz="0" w:space="0" w:color="auto"/>
        <w:bottom w:val="none" w:sz="0" w:space="0" w:color="auto"/>
        <w:right w:val="none" w:sz="0" w:space="0" w:color="auto"/>
      </w:divBdr>
    </w:div>
    <w:div w:id="1206330894">
      <w:bodyDiv w:val="1"/>
      <w:marLeft w:val="0"/>
      <w:marRight w:val="0"/>
      <w:marTop w:val="0"/>
      <w:marBottom w:val="0"/>
      <w:divBdr>
        <w:top w:val="none" w:sz="0" w:space="0" w:color="auto"/>
        <w:left w:val="none" w:sz="0" w:space="0" w:color="auto"/>
        <w:bottom w:val="none" w:sz="0" w:space="0" w:color="auto"/>
        <w:right w:val="none" w:sz="0" w:space="0" w:color="auto"/>
      </w:divBdr>
    </w:div>
    <w:div w:id="1287927629">
      <w:bodyDiv w:val="1"/>
      <w:marLeft w:val="0"/>
      <w:marRight w:val="0"/>
      <w:marTop w:val="0"/>
      <w:marBottom w:val="0"/>
      <w:divBdr>
        <w:top w:val="none" w:sz="0" w:space="0" w:color="auto"/>
        <w:left w:val="none" w:sz="0" w:space="0" w:color="auto"/>
        <w:bottom w:val="none" w:sz="0" w:space="0" w:color="auto"/>
        <w:right w:val="none" w:sz="0" w:space="0" w:color="auto"/>
      </w:divBdr>
    </w:div>
    <w:div w:id="1371567786">
      <w:bodyDiv w:val="1"/>
      <w:marLeft w:val="0"/>
      <w:marRight w:val="0"/>
      <w:marTop w:val="0"/>
      <w:marBottom w:val="0"/>
      <w:divBdr>
        <w:top w:val="none" w:sz="0" w:space="0" w:color="auto"/>
        <w:left w:val="none" w:sz="0" w:space="0" w:color="auto"/>
        <w:bottom w:val="none" w:sz="0" w:space="0" w:color="auto"/>
        <w:right w:val="none" w:sz="0" w:space="0" w:color="auto"/>
      </w:divBdr>
    </w:div>
    <w:div w:id="1376812989">
      <w:bodyDiv w:val="1"/>
      <w:marLeft w:val="0"/>
      <w:marRight w:val="0"/>
      <w:marTop w:val="0"/>
      <w:marBottom w:val="0"/>
      <w:divBdr>
        <w:top w:val="none" w:sz="0" w:space="0" w:color="auto"/>
        <w:left w:val="none" w:sz="0" w:space="0" w:color="auto"/>
        <w:bottom w:val="none" w:sz="0" w:space="0" w:color="auto"/>
        <w:right w:val="none" w:sz="0" w:space="0" w:color="auto"/>
      </w:divBdr>
    </w:div>
    <w:div w:id="1390032181">
      <w:bodyDiv w:val="1"/>
      <w:marLeft w:val="0"/>
      <w:marRight w:val="0"/>
      <w:marTop w:val="0"/>
      <w:marBottom w:val="0"/>
      <w:divBdr>
        <w:top w:val="none" w:sz="0" w:space="0" w:color="auto"/>
        <w:left w:val="none" w:sz="0" w:space="0" w:color="auto"/>
        <w:bottom w:val="none" w:sz="0" w:space="0" w:color="auto"/>
        <w:right w:val="none" w:sz="0" w:space="0" w:color="auto"/>
      </w:divBdr>
    </w:div>
    <w:div w:id="1554194856">
      <w:bodyDiv w:val="1"/>
      <w:marLeft w:val="0"/>
      <w:marRight w:val="0"/>
      <w:marTop w:val="0"/>
      <w:marBottom w:val="0"/>
      <w:divBdr>
        <w:top w:val="none" w:sz="0" w:space="0" w:color="auto"/>
        <w:left w:val="none" w:sz="0" w:space="0" w:color="auto"/>
        <w:bottom w:val="none" w:sz="0" w:space="0" w:color="auto"/>
        <w:right w:val="none" w:sz="0" w:space="0" w:color="auto"/>
      </w:divBdr>
    </w:div>
    <w:div w:id="1578785267">
      <w:bodyDiv w:val="1"/>
      <w:marLeft w:val="0"/>
      <w:marRight w:val="0"/>
      <w:marTop w:val="0"/>
      <w:marBottom w:val="0"/>
      <w:divBdr>
        <w:top w:val="none" w:sz="0" w:space="0" w:color="auto"/>
        <w:left w:val="none" w:sz="0" w:space="0" w:color="auto"/>
        <w:bottom w:val="none" w:sz="0" w:space="0" w:color="auto"/>
        <w:right w:val="none" w:sz="0" w:space="0" w:color="auto"/>
      </w:divBdr>
    </w:div>
    <w:div w:id="1670282372">
      <w:bodyDiv w:val="1"/>
      <w:marLeft w:val="0"/>
      <w:marRight w:val="0"/>
      <w:marTop w:val="0"/>
      <w:marBottom w:val="0"/>
      <w:divBdr>
        <w:top w:val="none" w:sz="0" w:space="0" w:color="auto"/>
        <w:left w:val="none" w:sz="0" w:space="0" w:color="auto"/>
        <w:bottom w:val="none" w:sz="0" w:space="0" w:color="auto"/>
        <w:right w:val="none" w:sz="0" w:space="0" w:color="auto"/>
      </w:divBdr>
    </w:div>
    <w:div w:id="1676298392">
      <w:bodyDiv w:val="1"/>
      <w:marLeft w:val="0"/>
      <w:marRight w:val="0"/>
      <w:marTop w:val="0"/>
      <w:marBottom w:val="0"/>
      <w:divBdr>
        <w:top w:val="none" w:sz="0" w:space="0" w:color="auto"/>
        <w:left w:val="none" w:sz="0" w:space="0" w:color="auto"/>
        <w:bottom w:val="none" w:sz="0" w:space="0" w:color="auto"/>
        <w:right w:val="none" w:sz="0" w:space="0" w:color="auto"/>
      </w:divBdr>
    </w:div>
    <w:div w:id="1738866824">
      <w:bodyDiv w:val="1"/>
      <w:marLeft w:val="0"/>
      <w:marRight w:val="0"/>
      <w:marTop w:val="0"/>
      <w:marBottom w:val="0"/>
      <w:divBdr>
        <w:top w:val="none" w:sz="0" w:space="0" w:color="auto"/>
        <w:left w:val="none" w:sz="0" w:space="0" w:color="auto"/>
        <w:bottom w:val="none" w:sz="0" w:space="0" w:color="auto"/>
        <w:right w:val="none" w:sz="0" w:space="0" w:color="auto"/>
      </w:divBdr>
    </w:div>
    <w:div w:id="1786845767">
      <w:bodyDiv w:val="1"/>
      <w:marLeft w:val="0"/>
      <w:marRight w:val="0"/>
      <w:marTop w:val="0"/>
      <w:marBottom w:val="0"/>
      <w:divBdr>
        <w:top w:val="none" w:sz="0" w:space="0" w:color="auto"/>
        <w:left w:val="none" w:sz="0" w:space="0" w:color="auto"/>
        <w:bottom w:val="none" w:sz="0" w:space="0" w:color="auto"/>
        <w:right w:val="none" w:sz="0" w:space="0" w:color="auto"/>
      </w:divBdr>
    </w:div>
    <w:div w:id="2000571371">
      <w:bodyDiv w:val="1"/>
      <w:marLeft w:val="0"/>
      <w:marRight w:val="0"/>
      <w:marTop w:val="0"/>
      <w:marBottom w:val="0"/>
      <w:divBdr>
        <w:top w:val="none" w:sz="0" w:space="0" w:color="auto"/>
        <w:left w:val="none" w:sz="0" w:space="0" w:color="auto"/>
        <w:bottom w:val="none" w:sz="0" w:space="0" w:color="auto"/>
        <w:right w:val="none" w:sz="0" w:space="0" w:color="auto"/>
      </w:divBdr>
    </w:div>
    <w:div w:id="2052919160">
      <w:bodyDiv w:val="1"/>
      <w:marLeft w:val="0"/>
      <w:marRight w:val="0"/>
      <w:marTop w:val="0"/>
      <w:marBottom w:val="0"/>
      <w:divBdr>
        <w:top w:val="none" w:sz="0" w:space="0" w:color="auto"/>
        <w:left w:val="none" w:sz="0" w:space="0" w:color="auto"/>
        <w:bottom w:val="none" w:sz="0" w:space="0" w:color="auto"/>
        <w:right w:val="none" w:sz="0" w:space="0" w:color="auto"/>
      </w:divBdr>
    </w:div>
    <w:div w:id="2061515918">
      <w:bodyDiv w:val="1"/>
      <w:marLeft w:val="0"/>
      <w:marRight w:val="0"/>
      <w:marTop w:val="0"/>
      <w:marBottom w:val="0"/>
      <w:divBdr>
        <w:top w:val="none" w:sz="0" w:space="0" w:color="auto"/>
        <w:left w:val="none" w:sz="0" w:space="0" w:color="auto"/>
        <w:bottom w:val="none" w:sz="0" w:space="0" w:color="auto"/>
        <w:right w:val="none" w:sz="0" w:space="0" w:color="auto"/>
      </w:divBdr>
    </w:div>
    <w:div w:id="2074817489">
      <w:bodyDiv w:val="1"/>
      <w:marLeft w:val="0"/>
      <w:marRight w:val="0"/>
      <w:marTop w:val="0"/>
      <w:marBottom w:val="0"/>
      <w:divBdr>
        <w:top w:val="none" w:sz="0" w:space="0" w:color="auto"/>
        <w:left w:val="none" w:sz="0" w:space="0" w:color="auto"/>
        <w:bottom w:val="none" w:sz="0" w:space="0" w:color="auto"/>
        <w:right w:val="none" w:sz="0" w:space="0" w:color="auto"/>
      </w:divBdr>
    </w:div>
    <w:div w:id="208557000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5537</Words>
  <Characters>31566</Characters>
  <Application>Microsoft Macintosh Word</Application>
  <DocSecurity>0</DocSecurity>
  <Lines>263</Lines>
  <Paragraphs>74</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vt:lpstr>
      <vt:lpstr>    Abstract</vt:lpstr>
      <vt:lpstr>    3. Theoretical Framework</vt:lpstr>
      <vt:lpstr>    This section establishes the conceptual foundations of the study by examining th</vt:lpstr>
      <vt:lpstr>        3.1 The Anthropocentric Design Paradigm: From Material Object to Material Agency</vt:lpstr>
      <vt:lpstr>    3.2. Biodesign as Epistemological Disruption</vt:lpstr>
      <vt:lpstr>        4.1. Eggshell-Derived Calcium Carbonate Composites</vt:lpstr>
      <vt:lpstr>    Figure 2</vt:lpstr>
      <vt:lpstr>        4.2. Mycelium-Based Growth Materials</vt:lpstr>
      <vt:lpstr>    Figure 3</vt:lpstr>
      <vt:lpstr>        4.3. Casein-Based Biopolymers (Milk-Derived Materials)</vt:lpstr>
      <vt:lpstr>        4.4. Material Instances as Epistemological Evidence</vt:lpstr>
      <vt:lpstr>    These material instances are not presented as technical performance case studies</vt:lpstr>
      <vt:lpstr>    </vt:lpstr>
      <vt:lpstr>    In conventional paradigms, materials are optimized for predictability, standardi</vt:lpstr>
      <vt:lpstr>    Eggshell-derived composites reposition waste within regenerative cycles, disrupt</vt:lpstr>
      <vt:lpstr>    Taken together, these instances make visible what Andréen and Goidea (2022) desc</vt:lpstr>
      <vt:lpstr>    Through these illustrative cases, bio-based materials become legible not only as</vt:lpstr>
      <vt:lpstr>    The implications of this epistemological repositioning become particularly evide</vt:lpstr>
      <vt:lpstr>    5. Discussion</vt:lpstr>
      <vt:lpstr>    Conclusion</vt:lpstr>
    </vt:vector>
  </TitlesOfParts>
  <LinksUpToDate>false</LinksUpToDate>
  <CharactersWithSpaces>37029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15100</dc:creator>
  <cp:keywords/>
  <dc:description/>
  <cp:lastModifiedBy>15100</cp:lastModifiedBy>
  <cp:revision>3</cp:revision>
  <dcterms:created xsi:type="dcterms:W3CDTF">2026-02-21T09:56:00Z</dcterms:created>
  <dcterms:modified xsi:type="dcterms:W3CDTF">2026-02-21T10:44:00Z</dcterms:modified>
</cp:coreProperties>
</file>