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pPr>
      <w:r>
        <w:rPr>
          <w:rFonts w:ascii="Times New Roman" w:cs="Times New Roman" w:eastAsia="Times New Roman" w:hAnsi="Times New Roman"/>
          <w:b/>
          <w:bCs/>
          <w:sz w:val="28"/>
          <w:szCs w:val="28"/>
        </w:rPr>
        <w:t xml:space="preserve">6. BİYOTASARIM VE İÇ MİMARLIKTA MEKÂNSAL DÖNÜŞÜM</w:t>
      </w:r>
    </w:p>
    <w:p>
      <w:pPr>
        <w:pBdr>
          <w:bottom w:val="single" w:color="999999" w:sz="6" w:space="8"/>
        </w:pBdr>
        <w:spacing w:after="400" w:line="240"/>
      </w:pPr>
      <w:r>
        <w:rPr>
          <w:rFonts w:ascii="Times New Roman" w:cs="Times New Roman" w:eastAsia="Times New Roman" w:hAnsi="Times New Roman"/>
          <w:i/>
          <w:iCs/>
          <w:color w:val="555555"/>
          <w:sz w:val="20"/>
          <w:szCs w:val="20"/>
        </w:rPr>
        <w:t xml:space="preserve">Bölüm taslağı · 1 Ekim 2026 · yaklaşık 920 kelime</w:t>
      </w:r>
    </w:p>
    <w:p>
      <w:pPr>
        <w:spacing w:after="160" w:line="360"/>
        <w:jc w:val="both"/>
      </w:pPr>
      <w:r>
        <w:rPr>
          <w:rFonts w:ascii="Times New Roman" w:cs="Times New Roman" w:eastAsia="Times New Roman" w:hAnsi="Times New Roman"/>
          <w:sz w:val="24"/>
          <w:szCs w:val="24"/>
        </w:rPr>
        <w:t xml:space="preserve">Önceki başlıklarda biyolojik temelli malzemelerin sınıflandırması, döngüsellikle ilişkisi ve dirençlilik kapasitesi malzeme ölçeğinde ele alınmıştı. Bu başlıkta tartışma mekân ölçeğine taşınmakta; söz konusu malzemelerin iç mimarlık pratiğinde hangi konumu aldığı ve bu konumun tasarım kararlarını nasıl değiştirdiği incelenmektedir.</w:t>
      </w:r>
    </w:p>
    <w:p>
      <w:pPr>
        <w:pStyle w:val="Heading2"/>
        <w:spacing w:after="180" w:before="320" w:line="360"/>
      </w:pPr>
      <w:r>
        <w:rPr>
          <w:rFonts w:ascii="Times New Roman" w:cs="Times New Roman" w:eastAsia="Times New Roman" w:hAnsi="Times New Roman"/>
          <w:b/>
          <w:bCs/>
          <w:sz w:val="26"/>
          <w:szCs w:val="26"/>
        </w:rPr>
        <w:t xml:space="preserve">6.1. İç Mekân Neden Öncelikli Uygulama Alanıdır?</w:t>
      </w:r>
    </w:p>
    <w:p>
      <w:pPr>
        <w:spacing w:after="160" w:line="360"/>
        <w:jc w:val="both"/>
      </w:pPr>
      <w:r>
        <w:rPr>
          <w:rFonts w:ascii="Times New Roman" w:cs="Times New Roman" w:eastAsia="Times New Roman" w:hAnsi="Times New Roman"/>
          <w:b w:val="false"/>
          <w:bCs w:val="false"/>
          <w:i w:val="false"/>
          <w:iCs w:val="false"/>
          <w:sz w:val="24"/>
          <w:szCs w:val="24"/>
        </w:rPr>
        <w:t xml:space="preserve">Biyolojik temelli malzemelerin yapılı çevredeki yeri, alanyazında sanıldığından daha belirgin biçimde tanımlanmıştır. Edalat (2026), inşaat sektöründe ahşap dışı biyolojik temelli yapı malzemelerinin </w:t>
      </w:r>
      <w:r>
        <w:rPr>
          <w:rFonts w:ascii="Times New Roman" w:cs="Times New Roman" w:eastAsia="Times New Roman" w:hAnsi="Times New Roman"/>
          <w:b/>
          <w:bCs/>
          <w:i w:val="false"/>
          <w:iCs w:val="false"/>
          <w:sz w:val="24"/>
          <w:szCs w:val="24"/>
        </w:rPr>
        <w:t xml:space="preserve">iç ve dış yüzey kaplamaları, ısıl ve akustik yalıtım ile mobilya üretimi</w:t>
      </w:r>
      <w:r>
        <w:rPr>
          <w:rFonts w:ascii="Times New Roman" w:cs="Times New Roman" w:eastAsia="Times New Roman" w:hAnsi="Times New Roman"/>
          <w:b w:val="false"/>
          <w:bCs w:val="false"/>
          <w:i w:val="false"/>
          <w:iCs w:val="false"/>
          <w:sz w:val="24"/>
          <w:szCs w:val="24"/>
        </w:rPr>
        <w:t xml:space="preserve"> gibi uygulamalarda kullanıldığını; buna karşılık ahşap esaslı malzemelerin ağırlıklı olarak yapısal bileşenlerde yer aldığını belirtmektedir. Aynı çalışma, ahşap dışı malzemelerin </w:t>
      </w:r>
      <w:r>
        <w:rPr>
          <w:rFonts w:ascii="Times New Roman" w:cs="Times New Roman" w:eastAsia="Times New Roman" w:hAnsi="Times New Roman"/>
          <w:b/>
          <w:bCs/>
          <w:i w:val="false"/>
          <w:iCs w:val="false"/>
          <w:sz w:val="24"/>
          <w:szCs w:val="24"/>
        </w:rPr>
        <w:t xml:space="preserve">sınırlı mekanik dayanımları nedeniyle taşıyıcı yapı elemanlarında nadiren kullanıldığını</w:t>
      </w:r>
      <w:r>
        <w:rPr>
          <w:rFonts w:ascii="Times New Roman" w:cs="Times New Roman" w:eastAsia="Times New Roman" w:hAnsi="Times New Roman"/>
          <w:b w:val="false"/>
          <w:bCs w:val="false"/>
          <w:i w:val="false"/>
          <w:iCs w:val="false"/>
          <w:sz w:val="24"/>
          <w:szCs w:val="24"/>
        </w:rPr>
        <w:t xml:space="preserve"> ortaya koymaktadır.</w:t>
      </w:r>
    </w:p>
    <w:p>
      <w:pPr>
        <w:spacing w:after="160" w:line="360"/>
        <w:jc w:val="both"/>
      </w:pPr>
      <w:r>
        <w:rPr>
          <w:rFonts w:ascii="Times New Roman" w:cs="Times New Roman" w:eastAsia="Times New Roman" w:hAnsi="Times New Roman"/>
          <w:sz w:val="24"/>
          <w:szCs w:val="24"/>
        </w:rPr>
        <w:t xml:space="preserve">Bu iki saptama bir arada okunduğunda ortaya belirgin bir sonuç çıkmaktadır: ahşap dışı biyolojik temelli malzemelerin uygulama alanı zaten büyük ölçüde iç mekândır. Bu durum bir sınırlılık olarak değil, bir konumlanma olarak değerlendirilebilir. Taşıyıcı olmayan bileşenler, söz konusu malzemelerin yapısal risk eşiğinin görece düşük olduğu; dolayısıyla denenebilir oldukları alanı oluşturmaktadır.</w:t>
      </w:r>
    </w:p>
    <w:p>
      <w:pPr>
        <w:spacing w:after="160" w:line="360"/>
        <w:jc w:val="both"/>
      </w:pPr>
      <w:r>
        <w:rPr>
          <w:rFonts w:ascii="Times New Roman" w:cs="Times New Roman" w:eastAsia="Times New Roman" w:hAnsi="Times New Roman"/>
          <w:sz w:val="24"/>
          <w:szCs w:val="24"/>
        </w:rPr>
        <w:t xml:space="preserve">Ölçeğin belirleyiciliği başka bir çalışmada da vurgulanmaktadır. Chayaamor-Heil, Houette, Demirci ve Badarnah (2024), canlı organizmalardan yeni malzeme ya da tasarım bileşeni geliştirilmesinin ölçek, çok katmanlılık ve gereksinimlerden kaynaklanan kısıtlar nedeniyle mimarlık ve inşaatta, tekstil, moda ve ürün tasarımına kıyasla daha güç gerçekleştiğini ortaya koymaktadır. İç mekân bileşenleri, ölçek ve katmanlılık bakımından mimari bütünle ürün ölçeği arasında konumlanmaları nedeniyle bu geçişin yapılabileceği aradaki eşiği oluşturmaktadır.</w:t>
      </w:r>
    </w:p>
    <w:p>
      <w:pPr>
        <w:pStyle w:val="Heading2"/>
        <w:spacing w:after="180" w:before="320" w:line="360"/>
      </w:pPr>
      <w:r>
        <w:rPr>
          <w:rFonts w:ascii="Times New Roman" w:cs="Times New Roman" w:eastAsia="Times New Roman" w:hAnsi="Times New Roman"/>
          <w:b/>
          <w:bCs/>
          <w:sz w:val="26"/>
          <w:szCs w:val="26"/>
        </w:rPr>
        <w:t xml:space="preserve">6.2. İkame Tuzağı: Malzemeyi Neyin Yerine Koyuyoruz?</w:t>
      </w:r>
    </w:p>
    <w:p>
      <w:pPr>
        <w:spacing w:after="160" w:line="360"/>
        <w:jc w:val="both"/>
      </w:pPr>
      <w:r>
        <w:rPr>
          <w:rFonts w:ascii="Times New Roman" w:cs="Times New Roman" w:eastAsia="Times New Roman" w:hAnsi="Times New Roman"/>
          <w:b w:val="false"/>
          <w:bCs w:val="false"/>
          <w:i w:val="false"/>
          <w:iCs w:val="false"/>
          <w:sz w:val="24"/>
          <w:szCs w:val="24"/>
        </w:rPr>
        <w:t xml:space="preserve">Biyolojik temelli malzemelerin iç mekâna girişinde en yaygın yaklaşım, bu malzemelerin yerleşik malzemelerin yerine konmasıdır. Karana, Blauwhoff, Hultink ve Camere (2018) bu eğilimi doğrudan saptamaktadır: büyütülmüş malzemeler bugüne kadar çoğunlukla </w:t>
      </w:r>
      <w:r>
        <w:rPr>
          <w:rFonts w:ascii="Times New Roman" w:cs="Times New Roman" w:eastAsia="Times New Roman" w:hAnsi="Times New Roman"/>
          <w:b/>
          <w:bCs/>
          <w:i w:val="false"/>
          <w:iCs w:val="false"/>
          <w:sz w:val="24"/>
          <w:szCs w:val="24"/>
        </w:rPr>
        <w:t xml:space="preserve">geleneksel malzemelerin yerine geçen uygulamalarda</w:t>
      </w:r>
      <w:r>
        <w:rPr>
          <w:rFonts w:ascii="Times New Roman" w:cs="Times New Roman" w:eastAsia="Times New Roman" w:hAnsi="Times New Roman"/>
          <w:b w:val="false"/>
          <w:bCs w:val="false"/>
          <w:i w:val="false"/>
          <w:iCs w:val="false"/>
          <w:sz w:val="24"/>
          <w:szCs w:val="24"/>
        </w:rPr>
        <w:t xml:space="preserve"> kullanılmıştır.</w:t>
      </w:r>
    </w:p>
    <w:p>
      <w:pPr>
        <w:spacing w:after="160" w:line="360"/>
        <w:jc w:val="both"/>
      </w:pPr>
      <w:r>
        <w:rPr>
          <w:rFonts w:ascii="Times New Roman" w:cs="Times New Roman" w:eastAsia="Times New Roman" w:hAnsi="Times New Roman"/>
          <w:sz w:val="24"/>
          <w:szCs w:val="24"/>
        </w:rPr>
        <w:t xml:space="preserve">Yazarlara göre bu durum, malzemenin kendi niteliklerinin değerlendirilmeden kaldığı anlamına gelir. Malzeme Odaklı Tasarım yöntemi tam da bu nedenle önerilmektedir: yöntem, geliştirilmekte olan bir malzeme için özgün uygulama fikirleri bulmak üzere, malzemenin kendine özgü teknik ve deneyimsel niteliklerinin uygun ve yaratıcı biçimde öne çıkarılmasını ve birbirine bağlanmasını sağlar (Karana, Barati, Rognoli ve Zeeuw van der Laan, 2015).</w:t>
      </w:r>
    </w:p>
    <w:p>
      <w:pPr>
        <w:spacing w:after="160" w:line="360"/>
        <w:jc w:val="both"/>
      </w:pPr>
      <w:r>
        <w:rPr>
          <w:rFonts w:ascii="Times New Roman" w:cs="Times New Roman" w:eastAsia="Times New Roman" w:hAnsi="Times New Roman"/>
          <w:sz w:val="24"/>
          <w:szCs w:val="24"/>
        </w:rPr>
        <w:t xml:space="preserve">Bu saptama, bölümün daha önce kurulan savıyla birleşmektedir. Camere ve Karana (2018), canlı organizmalarla üretilen malzemeler söz konusu olduğunda tasarımcıların giderek malzemenin erken geliştirme aşamalarına katıldığını belirtmekte ve bunu malzeme seçiminden malzeme tasarımına doğru bir kayma olarak adlandırmaktadır. İç mimarlık açısından sonucu şudur: bir miselyum panelini alçıpanın yerine koymak, biyolojik temelli bir malzemeyi kullanmak ama onu bir biyotasarım nesnesi olarak kullanmamaktır.</w:t>
      </w:r>
    </w:p>
    <w:p>
      <w:pPr>
        <w:pStyle w:val="Heading2"/>
        <w:spacing w:after="180" w:before="320" w:line="360"/>
      </w:pPr>
      <w:r>
        <w:rPr>
          <w:rFonts w:ascii="Times New Roman" w:cs="Times New Roman" w:eastAsia="Times New Roman" w:hAnsi="Times New Roman"/>
          <w:b/>
          <w:bCs/>
          <w:sz w:val="26"/>
          <w:szCs w:val="26"/>
        </w:rPr>
        <w:t xml:space="preserve">6.3. Bağlayıcı ve Ömür Sonu: İç Mekân Ölçeğinde Bir Örnek</w:t>
      </w:r>
    </w:p>
    <w:p>
      <w:pPr>
        <w:spacing w:after="160" w:line="360"/>
        <w:jc w:val="both"/>
      </w:pPr>
      <w:r>
        <w:rPr>
          <w:rFonts w:ascii="Times New Roman" w:cs="Times New Roman" w:eastAsia="Times New Roman" w:hAnsi="Times New Roman"/>
          <w:b w:val="false"/>
          <w:bCs w:val="false"/>
          <w:i w:val="false"/>
          <w:iCs w:val="false"/>
          <w:sz w:val="24"/>
          <w:szCs w:val="24"/>
        </w:rPr>
        <w:t xml:space="preserve">Döngüselliğin malzemenin kökeninde değil bileşim ve birleşiminde kararlaştığı savı, iç mekân ölçeğinde somut biçimde gözlenebilmektedir. Edalat (2026), yirmi çalışmayı altı ölçüt üzerinden değerlendirdiği incelemesinde, kahve atığı ile üre-formaldehit reçinesi kullanılarak üretilen ve ısıl ile akustik performansı sınanan bir </w:t>
      </w:r>
      <w:r>
        <w:rPr>
          <w:rFonts w:ascii="Times New Roman" w:cs="Times New Roman" w:eastAsia="Times New Roman" w:hAnsi="Times New Roman"/>
          <w:b/>
          <w:bCs/>
          <w:i w:val="false"/>
          <w:iCs w:val="false"/>
          <w:sz w:val="24"/>
          <w:szCs w:val="24"/>
        </w:rPr>
        <w:t xml:space="preserve">iç mekân duvar paneli</w:t>
      </w:r>
      <w:r>
        <w:rPr>
          <w:rFonts w:ascii="Times New Roman" w:cs="Times New Roman" w:eastAsia="Times New Roman" w:hAnsi="Times New Roman"/>
          <w:b w:val="false"/>
          <w:bCs w:val="false"/>
          <w:i w:val="false"/>
          <w:iCs w:val="false"/>
          <w:sz w:val="24"/>
          <w:szCs w:val="24"/>
        </w:rPr>
        <w:t xml:space="preserve"> çalışmasını ele almaktadır.</w:t>
      </w:r>
    </w:p>
    <w:p>
      <w:pPr>
        <w:spacing w:after="160" w:line="360"/>
        <w:jc w:val="both"/>
      </w:pPr>
      <w:r>
        <w:rPr>
          <w:rFonts w:ascii="Times New Roman" w:cs="Times New Roman" w:eastAsia="Times New Roman" w:hAnsi="Times New Roman"/>
          <w:b w:val="false"/>
          <w:bCs w:val="false"/>
          <w:i w:val="false"/>
          <w:iCs w:val="false"/>
          <w:sz w:val="24"/>
          <w:szCs w:val="24"/>
        </w:rPr>
        <w:t xml:space="preserve">Değerlendirmenin sonucu dikkat çekicidir. Atık kökenli tedarik ölçütü bakımından çalışma tam puan almakta; kahve atığı, kahve tüketiminin dünya genelinde yaygın bir yan ürünü olduğu ve döngüsel ekonomi hedefleriyle uyumlu bir tercih oluşturduğu için olumlu değerlendirilmektedir. Buna karşılık </w:t>
      </w:r>
      <w:r>
        <w:rPr>
          <w:rFonts w:ascii="Times New Roman" w:cs="Times New Roman" w:eastAsia="Times New Roman" w:hAnsi="Times New Roman"/>
          <w:b/>
          <w:bCs/>
          <w:i w:val="false"/>
          <w:iCs w:val="false"/>
          <w:sz w:val="24"/>
          <w:szCs w:val="24"/>
        </w:rPr>
        <w:t xml:space="preserve">geri dönüştürülebilirlik, biyobozunurluk ve ömür sonu ölçütü hiç dikkate alınmamış</w:t>
      </w:r>
      <w:r>
        <w:rPr>
          <w:rFonts w:ascii="Times New Roman" w:cs="Times New Roman" w:eastAsia="Times New Roman" w:hAnsi="Times New Roman"/>
          <w:b w:val="false"/>
          <w:bCs w:val="false"/>
          <w:i w:val="false"/>
          <w:iCs w:val="false"/>
          <w:sz w:val="24"/>
          <w:szCs w:val="24"/>
        </w:rPr>
        <w:t xml:space="preserve"> olarak puanlanmaktadır. Edalat (2026), çalışmanın malzemenin inşaat ölçeğindeki arzına ilişkin nicel veri sunmadığını ve alternatifleri değerlendirip karşılaştırmadığını; bu nedenle seçimin sistematik olmaktan çok fırsatçı göründüğünü belirtmektedir.</w:t>
      </w:r>
    </w:p>
    <w:p>
      <w:pPr>
        <w:spacing w:after="160" w:line="360"/>
        <w:jc w:val="both"/>
      </w:pPr>
      <w:r>
        <w:rPr>
          <w:rFonts w:ascii="Times New Roman" w:cs="Times New Roman" w:eastAsia="Times New Roman" w:hAnsi="Times New Roman"/>
          <w:sz w:val="24"/>
          <w:szCs w:val="24"/>
        </w:rPr>
        <w:t xml:space="preserve">Örnek, bölümün savını iç mimarlığın kendi nesnesi üzerinden göstermektedir: bir duvar paneli atıktan üretilmiş olabilir; ancak sentetik bir reçineyle bağlandığında ve ömür sonu senaryosu kurgulanmadığında döngüsel bir bileşen hâline gelmez.</w:t>
      </w:r>
    </w:p>
    <w:p>
      <w:pPr>
        <w:pStyle w:val="Heading2"/>
        <w:spacing w:after="180" w:before="320" w:line="360"/>
      </w:pPr>
      <w:r>
        <w:rPr>
          <w:rFonts w:ascii="Times New Roman" w:cs="Times New Roman" w:eastAsia="Times New Roman" w:hAnsi="Times New Roman"/>
          <w:b/>
          <w:bCs/>
          <w:sz w:val="26"/>
          <w:szCs w:val="26"/>
        </w:rPr>
        <w:t xml:space="preserve">6.4. Malzemeden Mekânsal Sisteme: Ölçekler Arası Geçiş</w:t>
      </w:r>
    </w:p>
    <w:p>
      <w:pPr>
        <w:spacing w:after="160" w:line="360"/>
        <w:jc w:val="both"/>
      </w:pPr>
      <w:r>
        <w:rPr>
          <w:rFonts w:ascii="Times New Roman" w:cs="Times New Roman" w:eastAsia="Times New Roman" w:hAnsi="Times New Roman"/>
          <w:sz w:val="24"/>
          <w:szCs w:val="24"/>
        </w:rPr>
        <w:t xml:space="preserve">Biyolojik temelli malzemelerin mekânsal karşılığı, tek bir bileşen ölçeğinde değil ölçekler arası bir ilişkide kurulur. Goidea, Floudas ve Andréen (2022), önerdikleri ölçekler arası yaklaşımın merkezine değişken ölçekler, sistemler ve malzemeler arasındaki karşılıklı bağımlılığı yerleştirmekte; bu bağımlılığın doğrusal olmayan etkileşimler ve hızla artan karmaşıklık ürettiğini belirtmektedir.</w:t>
      </w:r>
    </w:p>
    <w:p>
      <w:pPr>
        <w:spacing w:after="160" w:line="360"/>
        <w:jc w:val="both"/>
      </w:pPr>
      <w:r>
        <w:rPr>
          <w:rFonts w:ascii="Times New Roman" w:cs="Times New Roman" w:eastAsia="Times New Roman" w:hAnsi="Times New Roman"/>
          <w:sz w:val="24"/>
          <w:szCs w:val="24"/>
        </w:rPr>
        <w:t xml:space="preserve">Bu ilişkinin iç mekândaki karşılığı, bileşenin bağımsız bir nesne değil, sökülüp yeniden kurulabilen bir sistemin parçası olarak tasarlanmasıdır. Andréen ve Goidea’nın (2022) belirttiği gibi, sürekli yeniden biçimlendirme ve bakım ilkeleri üzerine kurulu bir yapı doğası gereği uyarlanabilirdir; malzemeler kimyasal olarak ya da ısıyla işlenmemiş olduğunda yapılı çevre tümüyle tersinir hâle gelir ve ekleme ile değişiklikler az çabayla yapılabilir.</w:t>
      </w:r>
    </w:p>
    <w:p>
      <w:pPr>
        <w:spacing w:after="160" w:line="360"/>
        <w:jc w:val="both"/>
      </w:pPr>
      <w:r>
        <w:rPr>
          <w:rFonts w:ascii="Times New Roman" w:cs="Times New Roman" w:eastAsia="Times New Roman" w:hAnsi="Times New Roman"/>
          <w:b w:val="false"/>
          <w:bCs w:val="false"/>
          <w:i w:val="false"/>
          <w:iCs w:val="false"/>
          <w:sz w:val="24"/>
          <w:szCs w:val="24"/>
        </w:rPr>
        <w:t xml:space="preserve">İç mekânın bu tartışmadaki özgül konumu, Edalat’ın (2026) gelecek araştırma yönleri arasında saydığı boşlukla da örtüşmektedir. Yazara göre döngüsel ekonominin </w:t>
      </w:r>
      <w:r>
        <w:rPr>
          <w:rFonts w:ascii="Times New Roman" w:cs="Times New Roman" w:eastAsia="Times New Roman" w:hAnsi="Times New Roman"/>
          <w:b/>
          <w:bCs/>
          <w:i w:val="false"/>
          <w:iCs w:val="false"/>
          <w:sz w:val="24"/>
          <w:szCs w:val="24"/>
        </w:rPr>
        <w:t xml:space="preserve">kullanım, onarım ve yeniden kullanım</w:t>
      </w:r>
      <w:r>
        <w:rPr>
          <w:rFonts w:ascii="Times New Roman" w:cs="Times New Roman" w:eastAsia="Times New Roman" w:hAnsi="Times New Roman"/>
          <w:b w:val="false"/>
          <w:bCs w:val="false"/>
          <w:i w:val="false"/>
          <w:iCs w:val="false"/>
          <w:sz w:val="24"/>
          <w:szCs w:val="24"/>
        </w:rPr>
        <w:t xml:space="preserve"> aşamaları yeterince araştırılmamış ve büyük ölçüde bağlama bağlıdır; kullanım ömrünü uzatma stratejileri ile kullanıcı kaynaklı bakım ve onarılabilirlik pratikleri öncelikli alanlar oluşturmaktadır. Bu aşamaların tamamı, kullanıcının malzemeyle doğrudan temas ettiği ölçekte, yani iç mekânda gerçekleşmektedir.</w:t>
      </w:r>
    </w:p>
    <w:p>
      <w:pPr>
        <w:pStyle w:val="Heading2"/>
        <w:spacing w:after="180" w:before="320" w:line="360"/>
      </w:pPr>
      <w:r>
        <w:rPr>
          <w:rFonts w:ascii="Times New Roman" w:cs="Times New Roman" w:eastAsia="Times New Roman" w:hAnsi="Times New Roman"/>
          <w:b/>
          <w:bCs/>
          <w:sz w:val="26"/>
          <w:szCs w:val="26"/>
        </w:rPr>
        <w:t xml:space="preserve">6.5. Belirsizlik, Deneyim ve Kabul</w:t>
      </w:r>
    </w:p>
    <w:p>
      <w:pPr>
        <w:spacing w:after="160" w:line="360"/>
        <w:jc w:val="both"/>
      </w:pPr>
      <w:r>
        <w:rPr>
          <w:rFonts w:ascii="Times New Roman" w:cs="Times New Roman" w:eastAsia="Times New Roman" w:hAnsi="Times New Roman"/>
          <w:b w:val="false"/>
          <w:bCs w:val="false"/>
          <w:i w:val="false"/>
          <w:iCs w:val="false"/>
          <w:sz w:val="24"/>
          <w:szCs w:val="24"/>
        </w:rPr>
        <w:t xml:space="preserve">Biyolojik temelli malzemelerin iç mekâna girişi yalnızca teknik bir mesele değildir. Karana ve arkadaşları (2018), miselyum esaslı bir malzemeyle yürütülen tasarım sürecinde tasarımcının üç belirsizlik kaynağıyla baş etmek durumunda kaldığını ortaya koymaktadır: </w:t>
      </w:r>
      <w:r>
        <w:rPr>
          <w:rFonts w:ascii="Times New Roman" w:cs="Times New Roman" w:eastAsia="Times New Roman" w:hAnsi="Times New Roman"/>
          <w:b/>
          <w:bCs/>
          <w:i w:val="false"/>
          <w:iCs w:val="false"/>
          <w:sz w:val="24"/>
          <w:szCs w:val="24"/>
        </w:rPr>
        <w:t xml:space="preserve">mikroorganizmanın failliği, malzemenin kendine özgü zamansallığı ve malzemenin toplum tarafından kabulü</w:t>
      </w:r>
      <w:r>
        <w:rPr>
          <w:rFonts w:ascii="Times New Roman" w:cs="Times New Roman" w:eastAsia="Times New Roman" w:hAnsi="Times New Roman"/>
          <w:b w:val="false"/>
          <w:bCs w:val="false"/>
          <w:i w:val="false"/>
          <w:iCs w:val="false"/>
          <w:sz w:val="24"/>
          <w:szCs w:val="24"/>
        </w:rPr>
        <w:t xml:space="preserve">.</w:t>
      </w:r>
    </w:p>
    <w:p>
      <w:pPr>
        <w:spacing w:after="160" w:line="360"/>
        <w:jc w:val="both"/>
      </w:pPr>
      <w:r>
        <w:rPr>
          <w:rFonts w:ascii="Times New Roman" w:cs="Times New Roman" w:eastAsia="Times New Roman" w:hAnsi="Times New Roman"/>
          <w:sz w:val="24"/>
          <w:szCs w:val="24"/>
        </w:rPr>
        <w:t xml:space="preserve">Üçüncüsü iç mimarlık açısından özellikle belirleyicidir. Rognoli ve Ayala García’nın (2018) belirttiği gibi malzeme deneyimimiz, çevremizi saran nesnelerin neredeyse tamamının endüstriyel seri üretimden gelmesi nedeniyle koşullanmış bir deneyimdir. Bu koşullanma, tekdüzeliği kalite ile, değişkenliği ise kusur ile özdeşleştiren bir beklenti üretir. Oysa biyolojik temelli malzemelerde değişkenlik malzemenin kimliğinin parçasıdır. İç mekân, kullanıcının malzemeye dokunduğu, yaşlanmasını izlediği ve onunla gündelik ilişki kurduğu ölçek olduğu için, bu beklentinin dönüşeceği ya da direneceği yer de burasıdır.</w:t>
      </w:r>
    </w:p>
    <w:p>
      <w:pPr>
        <w:pStyle w:val="Heading2"/>
        <w:spacing w:after="180" w:before="320" w:line="360"/>
      </w:pPr>
      <w:r>
        <w:rPr>
          <w:rFonts w:ascii="Times New Roman" w:cs="Times New Roman" w:eastAsia="Times New Roman" w:hAnsi="Times New Roman"/>
          <w:b/>
          <w:bCs/>
          <w:sz w:val="26"/>
          <w:szCs w:val="26"/>
        </w:rPr>
        <w:t xml:space="preserve">6.6. Bir Örnek: Atık Yumurta Kabuğundan Biyokompozit</w:t>
      </w:r>
    </w:p>
    <w:p>
      <w:pPr>
        <w:spacing w:after="160" w:line="360"/>
        <w:jc w:val="both"/>
      </w:pPr>
      <w:r>
        <w:rPr>
          <w:rFonts w:ascii="Times New Roman" w:cs="Times New Roman" w:eastAsia="Times New Roman" w:hAnsi="Times New Roman"/>
          <w:sz w:val="24"/>
          <w:szCs w:val="24"/>
        </w:rPr>
        <w:t xml:space="preserve">Yukarıda tartışılan ilişkiler, atık yumurta kabuğu ile doğal polimer esaslı bir bağlayıcı sistemden geliştirilen bir biyokompozit üzerinden somutlaştırılabilir (Ünal, 2025). Söz konusu çalışmada malzeme, bir ürün önerisi olarak değil, tasarım aracı olarak ele alınmıştır: atık bir akımın malzemeye dönüştürülmesi, Malzeme Odaklı Tasarım yöntemiyle teknik ve deneyimsel niteliklerinin birlikte değerlendirilmesi, malzeme değişkenliğinin modüler bir sisteme aktarılması ve bu sistemin sökülüp yeniden kurulabilir bir iç mekân kurgusu olarak geliştirilmesi izlenmiştir.</w:t>
      </w:r>
    </w:p>
    <w:p>
      <w:pPr>
        <w:spacing w:after="160" w:line="360"/>
        <w:jc w:val="both"/>
      </w:pPr>
      <w:r>
        <w:rPr>
          <w:rFonts w:ascii="Times New Roman" w:cs="Times New Roman" w:eastAsia="Times New Roman" w:hAnsi="Times New Roman"/>
          <w:sz w:val="24"/>
          <w:szCs w:val="24"/>
        </w:rPr>
        <w:t xml:space="preserve">Çalışmanın bu başlık açısından anlamı, yukarıda sıralanan üç ilişkiyi tek bir örnekte birleştirmesidir: malzeme bir ikame olarak değil kendi niteliklerinden yola çıkılarak konumlandırılmış; bağlayıcı sistemi ömür sonu senaryosu gözetilerek seçilmiş; ve bileşen tekil bir nesne olarak değil, yeniden kurgulanabilir bir mekânsal sistemin parçası olarak tasarlanmıştır. Malzemenin teknik performans değerleri ve dirençlilik çözümlemesi bu bölümün kapsamı dışındadır; ilgili bulgular için adı geçen çalışmaya bakılabilir.</w:t>
      </w:r>
    </w:p>
    <w:p>
      <w:pPr>
        <w:pStyle w:val="Heading1"/>
        <w:spacing w:after="180" w:before="480" w:line="360"/>
      </w:pPr>
      <w:r>
        <w:rPr>
          <w:rFonts w:ascii="Times New Roman" w:cs="Times New Roman" w:eastAsia="Times New Roman" w:hAnsi="Times New Roman"/>
          <w:b/>
          <w:bCs/>
          <w:sz w:val="26"/>
          <w:szCs w:val="26"/>
        </w:rPr>
        <w:t xml:space="preserve">KAYNAKÇA</w:t>
      </w:r>
    </w:p>
    <w:p>
      <w:pPr>
        <w:spacing w:after="140" w:line="360"/>
        <w:ind w:left="567" w:hanging="567"/>
        <w:jc w:val="left"/>
      </w:pPr>
      <w:r>
        <w:rPr>
          <w:rFonts w:ascii="Times New Roman" w:cs="Times New Roman" w:eastAsia="Times New Roman" w:hAnsi="Times New Roman"/>
          <w:i w:val="false"/>
          <w:iCs w:val="false"/>
          <w:sz w:val="24"/>
          <w:szCs w:val="24"/>
        </w:rPr>
        <w:t xml:space="preserve">Andréen, D., &amp; Goidea, A. (2022). Principles of biological design as a model for biodesign and biofabrication in architecture. </w:t>
      </w:r>
      <w:r>
        <w:rPr>
          <w:rFonts w:ascii="Times New Roman" w:cs="Times New Roman" w:eastAsia="Times New Roman" w:hAnsi="Times New Roman"/>
          <w:i/>
          <w:iCs/>
          <w:sz w:val="24"/>
          <w:szCs w:val="24"/>
        </w:rPr>
        <w:t xml:space="preserve">Architecture, Structures and Construction, 2</w:t>
      </w:r>
      <w:r>
        <w:rPr>
          <w:rFonts w:ascii="Times New Roman" w:cs="Times New Roman" w:eastAsia="Times New Roman" w:hAnsi="Times New Roman"/>
          <w:i w:val="false"/>
          <w:iCs w:val="false"/>
          <w:sz w:val="24"/>
          <w:szCs w:val="24"/>
        </w:rPr>
        <w:t xml:space="preserve">, 481–491. https://doi.org/10.1007/s44150-022-00049-6</w:t>
      </w:r>
    </w:p>
    <w:p>
      <w:pPr>
        <w:spacing w:after="140" w:line="360"/>
        <w:ind w:left="567" w:hanging="567"/>
        <w:jc w:val="left"/>
      </w:pPr>
      <w:r>
        <w:rPr>
          <w:rFonts w:ascii="Times New Roman" w:cs="Times New Roman" w:eastAsia="Times New Roman" w:hAnsi="Times New Roman"/>
          <w:i w:val="false"/>
          <w:iCs w:val="false"/>
          <w:sz w:val="24"/>
          <w:szCs w:val="24"/>
        </w:rPr>
        <w:t xml:space="preserve">Camere, S., &amp; Karana, E. (2018). Fabricating materials from living organisms: An emerging design practice. </w:t>
      </w:r>
      <w:r>
        <w:rPr>
          <w:rFonts w:ascii="Times New Roman" w:cs="Times New Roman" w:eastAsia="Times New Roman" w:hAnsi="Times New Roman"/>
          <w:i/>
          <w:iCs/>
          <w:sz w:val="24"/>
          <w:szCs w:val="24"/>
        </w:rPr>
        <w:t xml:space="preserve">Journal of Cleaner Production, 186</w:t>
      </w:r>
      <w:r>
        <w:rPr>
          <w:rFonts w:ascii="Times New Roman" w:cs="Times New Roman" w:eastAsia="Times New Roman" w:hAnsi="Times New Roman"/>
          <w:i w:val="false"/>
          <w:iCs w:val="false"/>
          <w:sz w:val="24"/>
          <w:szCs w:val="24"/>
        </w:rPr>
        <w:t xml:space="preserve">, 570–584. https://doi.org/10.1016/j.jclepro.2018.03.081</w:t>
      </w:r>
    </w:p>
    <w:p>
      <w:pPr>
        <w:spacing w:after="140" w:line="360"/>
        <w:ind w:left="567" w:hanging="567"/>
        <w:jc w:val="left"/>
      </w:pPr>
      <w:r>
        <w:rPr>
          <w:rFonts w:ascii="Times New Roman" w:cs="Times New Roman" w:eastAsia="Times New Roman" w:hAnsi="Times New Roman"/>
          <w:i w:val="false"/>
          <w:iCs w:val="false"/>
          <w:sz w:val="24"/>
          <w:szCs w:val="24"/>
        </w:rPr>
        <w:t xml:space="preserve">Chayaamor-Heil, N., Houette, T., Demirci, Ö., &amp; Badarnah, L. (2024). The potential of co-designing with living organisms: Towards a new ecological paradigm in architecture. </w:t>
      </w:r>
      <w:r>
        <w:rPr>
          <w:rFonts w:ascii="Times New Roman" w:cs="Times New Roman" w:eastAsia="Times New Roman" w:hAnsi="Times New Roman"/>
          <w:i/>
          <w:iCs/>
          <w:sz w:val="24"/>
          <w:szCs w:val="24"/>
        </w:rPr>
        <w:t xml:space="preserve">Sustainability, 16</w:t>
      </w:r>
      <w:r>
        <w:rPr>
          <w:rFonts w:ascii="Times New Roman" w:cs="Times New Roman" w:eastAsia="Times New Roman" w:hAnsi="Times New Roman"/>
          <w:i w:val="false"/>
          <w:iCs w:val="false"/>
          <w:sz w:val="24"/>
          <w:szCs w:val="24"/>
        </w:rPr>
        <w:t xml:space="preserve">(2), 673. https://doi.org/10.3390/su16020673</w:t>
      </w:r>
    </w:p>
    <w:p>
      <w:pPr>
        <w:spacing w:after="140" w:line="360"/>
        <w:ind w:left="567" w:hanging="567"/>
        <w:jc w:val="left"/>
      </w:pPr>
      <w:r>
        <w:rPr>
          <w:rFonts w:ascii="Times New Roman" w:cs="Times New Roman" w:eastAsia="Times New Roman" w:hAnsi="Times New Roman"/>
          <w:i w:val="false"/>
          <w:iCs w:val="false"/>
          <w:sz w:val="24"/>
          <w:szCs w:val="24"/>
        </w:rPr>
        <w:t xml:space="preserve">Edalat, S. (2026). Advancing circular economy of bio-based building materials: Critical gaps and future prospects. </w:t>
      </w:r>
      <w:r>
        <w:rPr>
          <w:rFonts w:ascii="Times New Roman" w:cs="Times New Roman" w:eastAsia="Times New Roman" w:hAnsi="Times New Roman"/>
          <w:i/>
          <w:iCs/>
          <w:sz w:val="24"/>
          <w:szCs w:val="24"/>
        </w:rPr>
        <w:t xml:space="preserve">Circular Economy and Sustainability, 6</w:t>
      </w:r>
      <w:r>
        <w:rPr>
          <w:rFonts w:ascii="Times New Roman" w:cs="Times New Roman" w:eastAsia="Times New Roman" w:hAnsi="Times New Roman"/>
          <w:i w:val="false"/>
          <w:iCs w:val="false"/>
          <w:sz w:val="24"/>
          <w:szCs w:val="24"/>
        </w:rPr>
        <w:t xml:space="preserve">, 151. https://doi.org/10.1007/s43615-026-00729-1</w:t>
      </w:r>
    </w:p>
    <w:p>
      <w:pPr>
        <w:spacing w:after="140" w:line="360"/>
        <w:ind w:left="567" w:hanging="567"/>
        <w:jc w:val="left"/>
      </w:pPr>
      <w:r>
        <w:rPr>
          <w:rFonts w:ascii="Times New Roman" w:cs="Times New Roman" w:eastAsia="Times New Roman" w:hAnsi="Times New Roman"/>
          <w:i w:val="false"/>
          <w:iCs w:val="false"/>
          <w:sz w:val="24"/>
          <w:szCs w:val="24"/>
        </w:rPr>
        <w:t xml:space="preserve">Goidea, A., Floudas, D., &amp; Andréen, D. (2022). Transcalar design: An approach to biodesign in the built environment. </w:t>
      </w:r>
      <w:r>
        <w:rPr>
          <w:rFonts w:ascii="Times New Roman" w:cs="Times New Roman" w:eastAsia="Times New Roman" w:hAnsi="Times New Roman"/>
          <w:i/>
          <w:iCs/>
          <w:sz w:val="24"/>
          <w:szCs w:val="24"/>
        </w:rPr>
        <w:t xml:space="preserve">Infrastructures, 7</w:t>
      </w:r>
      <w:r>
        <w:rPr>
          <w:rFonts w:ascii="Times New Roman" w:cs="Times New Roman" w:eastAsia="Times New Roman" w:hAnsi="Times New Roman"/>
          <w:i w:val="false"/>
          <w:iCs w:val="false"/>
          <w:sz w:val="24"/>
          <w:szCs w:val="24"/>
        </w:rPr>
        <w:t xml:space="preserve">(4), 50. https://doi.org/10.3390/infrastructures7040050</w:t>
      </w:r>
    </w:p>
    <w:p>
      <w:pPr>
        <w:spacing w:after="140" w:line="360"/>
        <w:ind w:left="567" w:hanging="567"/>
        <w:jc w:val="left"/>
      </w:pPr>
      <w:r>
        <w:rPr>
          <w:rFonts w:ascii="Times New Roman" w:cs="Times New Roman" w:eastAsia="Times New Roman" w:hAnsi="Times New Roman"/>
          <w:i w:val="false"/>
          <w:iCs w:val="false"/>
          <w:sz w:val="24"/>
          <w:szCs w:val="24"/>
        </w:rPr>
        <w:t xml:space="preserve">Karana, E., Barati, B., Rognoli, V., &amp; Zeeuw van der Laan, A. (2015). Material driven design (MDD): A method to design for material experiences. </w:t>
      </w:r>
      <w:r>
        <w:rPr>
          <w:rFonts w:ascii="Times New Roman" w:cs="Times New Roman" w:eastAsia="Times New Roman" w:hAnsi="Times New Roman"/>
          <w:i/>
          <w:iCs/>
          <w:sz w:val="24"/>
          <w:szCs w:val="24"/>
        </w:rPr>
        <w:t xml:space="preserve">International Journal of Design, 9</w:t>
      </w:r>
      <w:r>
        <w:rPr>
          <w:rFonts w:ascii="Times New Roman" w:cs="Times New Roman" w:eastAsia="Times New Roman" w:hAnsi="Times New Roman"/>
          <w:i w:val="false"/>
          <w:iCs w:val="false"/>
          <w:sz w:val="24"/>
          <w:szCs w:val="24"/>
        </w:rPr>
        <w:t xml:space="preserve">(2), 35–54.</w:t>
      </w:r>
    </w:p>
    <w:p>
      <w:pPr>
        <w:spacing w:after="140" w:line="360"/>
        <w:ind w:left="567" w:hanging="567"/>
        <w:jc w:val="left"/>
      </w:pPr>
      <w:r>
        <w:rPr>
          <w:rFonts w:ascii="Times New Roman" w:cs="Times New Roman" w:eastAsia="Times New Roman" w:hAnsi="Times New Roman"/>
          <w:i w:val="false"/>
          <w:iCs w:val="false"/>
          <w:sz w:val="24"/>
          <w:szCs w:val="24"/>
        </w:rPr>
        <w:t xml:space="preserve">Karana, E., Blauwhoff, D., Hultink, E.-J., &amp; Camere, S. (2018). When the material grows: A case study on designing (with) mycelium-based materials. </w:t>
      </w:r>
      <w:r>
        <w:rPr>
          <w:rFonts w:ascii="Times New Roman" w:cs="Times New Roman" w:eastAsia="Times New Roman" w:hAnsi="Times New Roman"/>
          <w:i/>
          <w:iCs/>
          <w:sz w:val="24"/>
          <w:szCs w:val="24"/>
        </w:rPr>
        <w:t xml:space="preserve">International Journal of Design, 12</w:t>
      </w:r>
      <w:r>
        <w:rPr>
          <w:rFonts w:ascii="Times New Roman" w:cs="Times New Roman" w:eastAsia="Times New Roman" w:hAnsi="Times New Roman"/>
          <w:i w:val="false"/>
          <w:iCs w:val="false"/>
          <w:sz w:val="24"/>
          <w:szCs w:val="24"/>
        </w:rPr>
        <w:t xml:space="preserve">(2), 119–136.</w:t>
      </w:r>
    </w:p>
    <w:p>
      <w:pPr>
        <w:spacing w:after="140" w:line="360"/>
        <w:ind w:left="567" w:hanging="567"/>
        <w:jc w:val="left"/>
      </w:pPr>
      <w:r>
        <w:rPr>
          <w:rFonts w:ascii="Times New Roman" w:cs="Times New Roman" w:eastAsia="Times New Roman" w:hAnsi="Times New Roman"/>
          <w:i w:val="false"/>
          <w:iCs w:val="false"/>
          <w:sz w:val="24"/>
          <w:szCs w:val="24"/>
        </w:rPr>
        <w:t xml:space="preserve">Rognoli, V., &amp; Ayala García, C. (2018). Material activism: New hybrid scenarios between design and technology. </w:t>
      </w:r>
      <w:r>
        <w:rPr>
          <w:rFonts w:ascii="Times New Roman" w:cs="Times New Roman" w:eastAsia="Times New Roman" w:hAnsi="Times New Roman"/>
          <w:i/>
          <w:iCs/>
          <w:sz w:val="24"/>
          <w:szCs w:val="24"/>
        </w:rPr>
        <w:t xml:space="preserve">Cuadernos del Centro de Estudios en Diseño y Comunicación</w:t>
      </w:r>
      <w:r>
        <w:rPr>
          <w:rFonts w:ascii="Times New Roman" w:cs="Times New Roman" w:eastAsia="Times New Roman" w:hAnsi="Times New Roman"/>
          <w:i w:val="false"/>
          <w:iCs w:val="false"/>
          <w:sz w:val="24"/>
          <w:szCs w:val="24"/>
        </w:rPr>
        <w:t xml:space="preserve">, (70), 105–115.</w:t>
      </w:r>
    </w:p>
    <w:p>
      <w:pPr>
        <w:spacing w:after="140" w:line="360"/>
        <w:ind w:left="567" w:hanging="567"/>
        <w:jc w:val="left"/>
      </w:pPr>
      <w:r>
        <w:rPr>
          <w:rFonts w:ascii="Times New Roman" w:cs="Times New Roman" w:eastAsia="Times New Roman" w:hAnsi="Times New Roman"/>
          <w:i w:val="false"/>
          <w:iCs w:val="false"/>
          <w:sz w:val="24"/>
          <w:szCs w:val="24"/>
        </w:rPr>
        <w:t xml:space="preserve">Ünal, B. (2025). </w:t>
      </w:r>
      <w:r>
        <w:rPr>
          <w:rFonts w:ascii="Times New Roman" w:cs="Times New Roman" w:eastAsia="Times New Roman" w:hAnsi="Times New Roman"/>
          <w:i/>
          <w:iCs/>
          <w:sz w:val="24"/>
          <w:szCs w:val="24"/>
        </w:rPr>
        <w:t xml:space="preserve">Biyoloji bazlı malzemelerin üretiminden mekânsal dirençlilik analizine: Tasarım odaklı deneysel bir yaklaşım</w:t>
      </w:r>
      <w:r>
        <w:rPr>
          <w:rFonts w:ascii="Times New Roman" w:cs="Times New Roman" w:eastAsia="Times New Roman" w:hAnsi="Times New Roman"/>
          <w:i w:val="false"/>
          <w:iCs w:val="false"/>
          <w:sz w:val="24"/>
          <w:szCs w:val="24"/>
        </w:rPr>
        <w:t xml:space="preserve"> [Doktora tezi]. Hacettepe Üniversitesi, Güzel Sanatlar Enstitüsü.</w:t>
      </w:r>
    </w:p>
    <w:p>
      <w:pPr>
        <w:pStyle w:val="Heading1"/>
        <w:spacing w:after="180" w:before="480" w:line="360"/>
      </w:pPr>
      <w:r>
        <w:rPr>
          <w:rFonts w:ascii="Times New Roman" w:cs="Times New Roman" w:eastAsia="Times New Roman" w:hAnsi="Times New Roman"/>
          <w:b/>
          <w:bCs/>
          <w:sz w:val="24"/>
          <w:szCs w:val="24"/>
        </w:rPr>
        <w:t xml:space="preserve">EK. Kaynak Doğrulama Notları (yazar kullanımı için)</w:t>
      </w:r>
    </w:p>
    <w:p>
      <w:pPr>
        <w:spacing w:after="160" w:line="360"/>
        <w:jc w:val="both"/>
      </w:pPr>
      <w:r>
        <w:rPr>
          <w:rFonts w:ascii="Times New Roman" w:cs="Times New Roman" w:eastAsia="Times New Roman" w:hAnsi="Times New Roman"/>
          <w:i/>
          <w:iCs/>
          <w:sz w:val="24"/>
          <w:szCs w:val="24"/>
        </w:rPr>
        <w:t xml:space="preserve">Nihai metinde yer almayacaktır; yalnızca kaynak denetimi içindir.</w:t>
      </w:r>
    </w:p>
    <w:p>
      <w:pPr>
        <w:spacing w:after="120" w:line="300"/>
        <w:ind w:left="400" w:hanging="400"/>
        <w:jc w:val="both"/>
      </w:pPr>
      <w:r>
        <w:rPr>
          <w:rFonts w:ascii="Times New Roman" w:cs="Times New Roman" w:eastAsia="Times New Roman" w:hAnsi="Times New Roman"/>
          <w:sz w:val="20"/>
          <w:szCs w:val="20"/>
        </w:rPr>
        <w:t xml:space="preserve">1. Metindeki on üç iddianın tamamı, tam metni incelenen kaynaklardan doğrulanmıştır. Tek dolaylı nokta, MDD yönteminin birincil makalesidir: yöntem Karana vd. (2018) içinde tanımlanmış olup künyesi aynı çalışmanın kaynakçasından doğrulanmıştır (International Journal of Design, 9(2), 35–54). Yöntemin aşamaları ayrıntılandırılacaksa birincil makale temin edilmelidir.</w:t>
      </w:r>
    </w:p>
    <w:p>
      <w:pPr>
        <w:spacing w:after="120" w:line="300"/>
        <w:ind w:left="400" w:hanging="400"/>
        <w:jc w:val="both"/>
      </w:pPr>
      <w:r>
        <w:rPr>
          <w:rFonts w:ascii="Times New Roman" w:cs="Times New Roman" w:eastAsia="Times New Roman" w:hAnsi="Times New Roman"/>
          <w:sz w:val="20"/>
          <w:szCs w:val="20"/>
        </w:rPr>
        <w:t xml:space="preserve">2. METNE ALINMAYAN İDDİA — İÇ MEKÂN YENİLEME DÖNGÜSÜ: Planlama aşamasında bölümün ana argümanlarından biri olarak “yapı 50–100 yıl ömürlüyken iç mekân donanımının 7–10 yılda bir yenilendiği” ifadesi öngörülmüştü. Bu iddia metne ALINMAMIŞTIR. Söz konusu rakamlar planlama sırasında sektör kaynaklarından derlenmiş olup hakemli bir akademik kaynaktan doğrulanmamıştır; repoda ve temin edilen kaynaklarda bu oranları veren bir çalışma bulunmamaktadır.</w:t>
      </w:r>
    </w:p>
    <w:p>
      <w:pPr>
        <w:spacing w:after="120" w:line="300"/>
        <w:ind w:left="400" w:hanging="400"/>
        <w:jc w:val="both"/>
      </w:pPr>
      <w:r>
        <w:rPr>
          <w:rFonts w:ascii="Times New Roman" w:cs="Times New Roman" w:eastAsia="Times New Roman" w:hAnsi="Times New Roman"/>
          <w:sz w:val="20"/>
          <w:szCs w:val="20"/>
        </w:rPr>
        <w:t xml:space="preserve">3. Katman ömürleri (shearing layers) kavramı için iki künye, Kırbaş Akyürek vd.’nin (2020) kaynakçasından doğrulanmıştır ve temin edilmeleri hâlinde argüman kaynaklı biçimde kurulabilir: Brand, S. (1994). How buildings learn. New York: Viking. — ve — Pushkar, S., &amp; Shaviv, E. (2016). Using shearing layer concept to evaluate green rating systems. Architectural Science Review, 59(2), 114–125. https://doi.org/10.1080/00038628.2014.966051. ÖNCELİK: BİRİNCİ.</w:t>
      </w:r>
    </w:p>
    <w:p>
      <w:pPr>
        <w:spacing w:after="120" w:line="300"/>
        <w:ind w:left="400" w:hanging="400"/>
        <w:jc w:val="both"/>
      </w:pPr>
      <w:r>
        <w:rPr>
          <w:rFonts w:ascii="Times New Roman" w:cs="Times New Roman" w:eastAsia="Times New Roman" w:hAnsi="Times New Roman"/>
          <w:sz w:val="20"/>
          <w:szCs w:val="20"/>
        </w:rPr>
        <w:t xml:space="preserve">4. Bu kaynaklar temin edilene kadar metin, aynı argümanı nicel oran vermeden ve Edalat’ın (2026) “kullanım, onarım ve yeniden kullanım aşamalarının bağlama bağlı olduğu” saptaması üzerinden kurmaktadır. Rakamlar kullanılacaksa mutlaka birincil kaynaktan verilmelidir.</w:t>
      </w:r>
    </w:p>
    <w:p>
      <w:pPr>
        <w:spacing w:after="120" w:line="300"/>
        <w:ind w:left="400" w:hanging="400"/>
        <w:jc w:val="both"/>
      </w:pPr>
      <w:r>
        <w:rPr>
          <w:rFonts w:ascii="Times New Roman" w:cs="Times New Roman" w:eastAsia="Times New Roman" w:hAnsi="Times New Roman"/>
          <w:sz w:val="20"/>
          <w:szCs w:val="20"/>
        </w:rPr>
        <w:t xml:space="preserve">5. 6.3’teki kahve atığı örneği Edalat’ın (2026) Tablo 2’sinden alınmıştır; tablo satırındaki puanlar ile aynı satırın gerekçe metni birlikte okunarak doğrulanmıştır. Değerlendirilen çalışma Edalat’ın kaynakçasında Choi vd. olarak geçmektedir; metinde doğrudan Choi vd.’ye atıf yapılmamış, değerlendirme Edalat’a atfedilmiştir. Doğrudan atıf istenirse künye Edalat’ın kaynakçasından (kaynak 112) alınmalıdır.</w:t>
      </w:r>
    </w:p>
    <w:p>
      <w:pPr>
        <w:spacing w:after="120" w:line="300"/>
        <w:ind w:left="400" w:hanging="400"/>
        <w:jc w:val="both"/>
      </w:pPr>
      <w:r>
        <w:rPr>
          <w:rFonts w:ascii="Times New Roman" w:cs="Times New Roman" w:eastAsia="Times New Roman" w:hAnsi="Times New Roman"/>
          <w:sz w:val="20"/>
          <w:szCs w:val="20"/>
        </w:rPr>
        <w:t xml:space="preserve">6. Tyagi ve Jain (2026), iç mekânda biyolojik temelli malzeme araştırmalarının zarf bileşenlerine (duvar, yalıtım) odaklandığını ortaya koymaktadır. Bu bulgu 6.1’i destekler niteliktedir ancak çalışmanın tam metni görülmediği için bu alt bölüme ALINMAMIŞTIR. Tam metin temin edilirse 6.1’e eklenebilir.</w:t>
      </w:r>
    </w:p>
    <w:p>
      <w:pPr>
        <w:spacing w:after="120" w:line="300"/>
        <w:ind w:left="400" w:hanging="400"/>
        <w:jc w:val="both"/>
      </w:pPr>
      <w:r>
        <w:rPr>
          <w:rFonts w:ascii="Times New Roman" w:cs="Times New Roman" w:eastAsia="Times New Roman" w:hAnsi="Times New Roman"/>
          <w:sz w:val="20"/>
          <w:szCs w:val="20"/>
        </w:rPr>
        <w:t xml:space="preserve">7. 6.6’da yazarın kendi doktora çalışmasına atıf yapılmıştır. Sayısal performans verisi ve dirençlilik çözümlemesi KULLANILMAMIŞ; yalnızca tasarım sürecinin kurgusu aktarılmıştır. Tez künyesindeki bilgiler doğrulanmalıdır (yıl, enstitü adı, tez türü).</w:t>
      </w:r>
    </w:p>
    <w:p>
      <w:pPr>
        <w:spacing w:after="120" w:line="300"/>
        <w:ind w:left="400" w:hanging="400"/>
        <w:jc w:val="both"/>
      </w:pPr>
      <w:r>
        <w:rPr>
          <w:rFonts w:ascii="Times New Roman" w:cs="Times New Roman" w:eastAsia="Times New Roman" w:hAnsi="Times New Roman"/>
          <w:sz w:val="20"/>
          <w:szCs w:val="20"/>
        </w:rPr>
        <w:t xml:space="preserve">8. HACİM: Gövde yaklaşık 920 kelimedir; plandaki hedef 900’dü.</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Biyotasarım ve İç Mimarlıkta Mekânsal Dönüşüm</dc:title>
  <dc:creator>Betül Ünal</dc:creator>
  <dc:description>İç Mimarlıkta Sürdürülebilir Malzeme Seçimi ve Döngüsel Tasarım — 6. bölüm taslağı</dc:description>
  <cp:lastModifiedBy>Un-named</cp:lastModifiedBy>
  <cp:revision>1</cp:revision>
  <dcterms:created xsi:type="dcterms:W3CDTF">2026-10-01T08:37:48.764Z</dcterms:created>
  <dcterms:modified xsi:type="dcterms:W3CDTF">2026-10-01T08:37:48.766Z</dcterms:modified>
</cp:coreProperties>
</file>

<file path=docProps/custom.xml><?xml version="1.0" encoding="utf-8"?>
<Properties xmlns="http://schemas.openxmlformats.org/officeDocument/2006/custom-properties" xmlns:vt="http://schemas.openxmlformats.org/officeDocument/2006/docPropsVTypes"/>
</file>