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E7C0C3" w14:textId="77777777" w:rsidR="00794094" w:rsidRPr="00794094" w:rsidRDefault="00794094" w:rsidP="00794094">
      <w:pPr>
        <w:jc w:val="center"/>
        <w:rPr>
          <w:rFonts w:ascii="Arial" w:eastAsia="Times New Roman" w:hAnsi="Arial" w:cs="Arial"/>
          <w:b/>
          <w:sz w:val="20"/>
          <w:szCs w:val="20"/>
          <w:lang w:val="tr-TR"/>
        </w:rPr>
      </w:pPr>
      <w:r w:rsidRPr="00794094">
        <w:rPr>
          <w:rFonts w:ascii="Arial" w:eastAsia="Times New Roman" w:hAnsi="Arial" w:cs="Arial"/>
          <w:b/>
          <w:sz w:val="20"/>
          <w:szCs w:val="20"/>
          <w:lang w:val="tr-TR"/>
        </w:rPr>
        <w:t>BİYOLOJİ TEMELLİ MODÜLER YAPI SİSTEMİ: ATIK TABANLI BİYOKOMPOZİT GELİŞTİRİLMESİ</w:t>
      </w:r>
    </w:p>
    <w:p w14:paraId="20DACFE9" w14:textId="77777777" w:rsidR="009D647C" w:rsidRDefault="009D647C" w:rsidP="00EE1912">
      <w:pPr>
        <w:spacing w:after="120" w:line="360" w:lineRule="auto"/>
        <w:jc w:val="both"/>
        <w:rPr>
          <w:rFonts w:ascii="Arial" w:eastAsia="Times New Roman" w:hAnsi="Arial" w:cs="Arial"/>
          <w:b/>
          <w:sz w:val="20"/>
          <w:szCs w:val="20"/>
          <w:lang w:val="tr-TR"/>
        </w:rPr>
      </w:pPr>
    </w:p>
    <w:p w14:paraId="0566D3AC" w14:textId="77777777" w:rsidR="00EE1912" w:rsidRPr="00EE1912" w:rsidRDefault="001F04A8" w:rsidP="00EE1912">
      <w:pPr>
        <w:spacing w:after="120" w:line="360" w:lineRule="auto"/>
        <w:jc w:val="both"/>
        <w:rPr>
          <w:rFonts w:ascii="Arial" w:eastAsia="Times New Roman" w:hAnsi="Arial" w:cs="Arial"/>
          <w:b/>
          <w:sz w:val="20"/>
          <w:szCs w:val="20"/>
          <w:lang w:val="tr-TR"/>
        </w:rPr>
      </w:pPr>
      <w:r w:rsidRPr="001F04A8">
        <w:rPr>
          <w:rFonts w:ascii="Arial" w:eastAsia="Times New Roman" w:hAnsi="Arial" w:cs="Arial"/>
          <w:b/>
          <w:sz w:val="20"/>
          <w:szCs w:val="20"/>
          <w:lang w:val="tr-TR"/>
        </w:rPr>
        <w:t>1. Biyoloji Temelli Tasarım: Antroposantrizmden Post-İnsancıl Bir Üretim Paradigmasına</w:t>
      </w:r>
    </w:p>
    <w:p w14:paraId="54D31F89"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İçinde bulunduğumuz çağ, insan etkinliklerinin yerkürenin biyofiziksel döngülerini geri dönüşsüz biçimde dönüştürdüğü bir dönem olarak tanımlanan Antroposen ile anılmaktadır. Bu kavram ilk kez Paul Crutzen ve Eugene Stoermer tarafından ortaya atılmış ve insan faaliyetlerinin ekosistemler, iklim ve biyosfer üzerindeki kalıcı etkilerini yeni bir jeolojik dönem olarak tanımlamıştır (Möller vd., 2021; Welcome to the Anthropocene, 2019). “Büyük Hızlanma” olarak adlandırılan süreçte artan karbon salınımı, tür kaybı, toprak ve su sistemlerindeki bozulma, insan merkezli üretim ve tüketim sistemlerinin sürdürülemezliğini açık biçimde ortaya koymaktadır.</w:t>
      </w:r>
    </w:p>
    <w:p w14:paraId="426DB17F"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Bu krizin düşünsel arka planında antroposantrizm yer alır. Protagoras’ın “İnsan her şeyin ölçüsüdür” ifadesiyle temellenen bu yaklaşım, doğayı insan ihtiyaçlarına hizmet eden bir kaynak deposu olarak konumlandırmıştır. Tasarım disiplini de tarihsel olarak bu düşünceyle şekillenmiş; malzeme, sürekli dönüştürülebilir, tüketilebilir ve insan konforu için optimize edilebilir bir nesne olarak ele alınmıştır (Naess, 2009). Bu yaklaşım, doğayı “kaynak” kavramı altında indirgerken, gezegenin ekolojik sınırlarını görünmez kılmıştır.</w:t>
      </w:r>
    </w:p>
    <w:p w14:paraId="053F301B"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Buna karşılık postantroposantrik tasarım anlayışı, insanı merkeze koyan bu hiyerarşik yapıyı sorgular ve insan ile insan-dışı varlıklar arasında karşılıklı bağımlılığa dayalı bir ontoloji önerir. Derin Ekoloji felsefesinin savunduğu içsel değer kavramı, yalnızca insan yaşamının değil tüm yaşam formlarının kendi başına değere sahip olduğunu ileri sürer (Naess, 2009). Bu yaklaşım tasarımı yalnızca estetik ya da işlevsel bir pratik değil, aynı zamanda etik bir sorumluluk olarak konumlandırır.</w:t>
      </w:r>
    </w:p>
    <w:p w14:paraId="64251C8D"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Bu bağlamda biyoloji temelli tasarım (biyotasarım), doğadan ilham almakla yetinmeyen; canlı organizmaları üretim sürecine aktif bir özne olarak dahil eden bir paradigma değişimini temsil eder (Myers, 2011; Ginsberg &amp; Chieza, 2018). Biyomimikriden farklı olarak, yalnızca doğayı taklit etmez; doğayla birlikte üretmeyi önerir (Myers, 2018). Tasarımcı, malzemeyi kontrol eden bir otorite olmaktan çıkar; büyüme, dönüşüm ve kendini organize etme gibi biyolojik süreçlerle birlikte öğrenen bir aktöre dönüşür (Karana vd., 2015).</w:t>
      </w:r>
    </w:p>
    <w:p w14:paraId="7EC53585"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yüzyılın “biyoloji yüzyılı” olacağı öngörüsü (Dyson, 2007), tasarım alanında da karşılığını bulmuştur. Biyofabrikasyon teknikleri sayesinde canlı hücreler, biyopolimerler ve doğal atıklar sürdürülebilir üretim sistemlerine entegre edilmektedir (Mironov vd., 2009; Oxman, 2016). Bu yaklaşım, yer kabuğundan ham madde çıkarmaya dayalı yüksek karbonlu üretim modellerine alternatif sunar; yenilenebilir girdilerle, düşük enerji tüketimiyle ve biyobozunur çıktılarla çalışan döngüsel sistemler geliştirilmesine olanak tanır (Holt vd., 2012; Lelivelt vd., 2015).</w:t>
      </w:r>
    </w:p>
    <w:p w14:paraId="6EA32986"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Biyoloji temelli tasarımın insanlığa katkısı üç temel düzlemde değerlendirilebilir:</w:t>
      </w:r>
    </w:p>
    <w:p w14:paraId="047CDD6A" w14:textId="77777777" w:rsidR="001F04A8" w:rsidRPr="001F04A8" w:rsidRDefault="00EE1912"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u w:val="single"/>
          <w:lang w:val="tr-TR"/>
        </w:rPr>
        <w:t xml:space="preserve">1. Ekolojik </w:t>
      </w:r>
      <w:r w:rsidR="001F04A8" w:rsidRPr="00EE1912">
        <w:rPr>
          <w:rFonts w:ascii="Arial" w:eastAsia="Times New Roman" w:hAnsi="Arial" w:cs="Arial"/>
          <w:sz w:val="20"/>
          <w:szCs w:val="20"/>
          <w:u w:val="single"/>
          <w:lang w:val="tr-TR"/>
        </w:rPr>
        <w:t>Katkı:</w:t>
      </w:r>
      <w:r w:rsidRPr="00EE1912">
        <w:rPr>
          <w:rFonts w:ascii="Arial" w:eastAsia="Times New Roman" w:hAnsi="Arial" w:cs="Arial"/>
          <w:sz w:val="20"/>
          <w:szCs w:val="20"/>
          <w:u w:val="single"/>
          <w:lang w:val="tr-TR"/>
        </w:rPr>
        <w:t xml:space="preserve"> </w:t>
      </w:r>
      <w:r w:rsidR="001F04A8" w:rsidRPr="001F04A8">
        <w:rPr>
          <w:rFonts w:ascii="Arial" w:eastAsia="Times New Roman" w:hAnsi="Arial" w:cs="Arial"/>
          <w:sz w:val="20"/>
          <w:szCs w:val="20"/>
          <w:lang w:val="tr-TR"/>
        </w:rPr>
        <w:t xml:space="preserve">Yenilenebilir, biyobozunur ve düşük karbon ayak izine sahip malzemeler geliştirerek yapı ve ürün tasarımında çevresel etkiyi azaltır (Braungart &amp; McDonough, 2009; Wijkman &amp; Rockström, 2012). </w:t>
      </w:r>
      <w:r w:rsidR="001F04A8" w:rsidRPr="001F04A8">
        <w:rPr>
          <w:rFonts w:ascii="Arial" w:eastAsia="Times New Roman" w:hAnsi="Arial" w:cs="Arial"/>
          <w:sz w:val="20"/>
          <w:szCs w:val="20"/>
          <w:lang w:val="tr-TR"/>
        </w:rPr>
        <w:lastRenderedPageBreak/>
        <w:t>Atık olarak görülen biyolojik materyalleri yeniden üretim döngüsüne kazandırarak döngüsel ekonomi modelini destekler.</w:t>
      </w:r>
    </w:p>
    <w:p w14:paraId="4546D5FE"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u w:val="single"/>
          <w:lang w:val="tr-TR"/>
        </w:rPr>
        <w:t>2. Mekânsal ve Yapısal Katkı:</w:t>
      </w:r>
      <w:r w:rsidR="00EE1912">
        <w:rPr>
          <w:rFonts w:ascii="Arial" w:eastAsia="Times New Roman" w:hAnsi="Arial" w:cs="Arial"/>
          <w:sz w:val="20"/>
          <w:szCs w:val="20"/>
          <w:lang w:val="tr-TR"/>
        </w:rPr>
        <w:t xml:space="preserve"> </w:t>
      </w:r>
      <w:r w:rsidRPr="001F04A8">
        <w:rPr>
          <w:rFonts w:ascii="Arial" w:eastAsia="Times New Roman" w:hAnsi="Arial" w:cs="Arial"/>
          <w:sz w:val="20"/>
          <w:szCs w:val="20"/>
          <w:lang w:val="tr-TR"/>
        </w:rPr>
        <w:t>Canlı organizmaların büyüme, kendini onarma ve çevreye uyum sağlama gibi özelliklerinden yararlanarak dirençli ve uyarlanabilir sistemlerin geliştirilmesine katkı sağlar (Collet, 2016; Brunetta, 2019). Bu yaklaşım, özellikle iklim krizi ve afet riski bağlamında esnek ve modüler yapı sistemleri geliştirilmesine olanak tanır.</w:t>
      </w:r>
    </w:p>
    <w:p w14:paraId="498C4ABD"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u w:val="single"/>
          <w:lang w:val="tr-TR"/>
        </w:rPr>
        <w:t>3. Düşünsel ve Etik Katkı:</w:t>
      </w:r>
      <w:r w:rsidR="00EE1912" w:rsidRPr="00EE1912">
        <w:rPr>
          <w:rFonts w:ascii="Arial" w:eastAsia="Times New Roman" w:hAnsi="Arial" w:cs="Arial"/>
          <w:sz w:val="20"/>
          <w:szCs w:val="20"/>
          <w:u w:val="single"/>
          <w:lang w:val="tr-TR"/>
        </w:rPr>
        <w:t xml:space="preserve"> </w:t>
      </w:r>
      <w:r w:rsidRPr="001F04A8">
        <w:rPr>
          <w:rFonts w:ascii="Arial" w:eastAsia="Times New Roman" w:hAnsi="Arial" w:cs="Arial"/>
          <w:sz w:val="20"/>
          <w:szCs w:val="20"/>
          <w:lang w:val="tr-TR"/>
        </w:rPr>
        <w:t>Tasarımı insan merkezli bir üretim pratiği olmaktan çıkararak, insanı ekosistem içinde konumlandıran bütüncül bir dünya görüşünü destekler. Thich Nhat Hanh’ın “birlikte-varlık” kavramında ifade ettiği gibi, her nesnenin varlığı çoklu ilişkiler ağına dayanır (Nhat Hanh, 1991). Biyotasarım bu ilişkisel ontolojiyi üretim süreçlerine taşır.</w:t>
      </w:r>
    </w:p>
    <w:p w14:paraId="261C09DB" w14:textId="77777777" w:rsidR="001F04A8" w:rsidRP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Sonuç olarak biyoloji temelli tasarım, yalnızca yeni bir malzeme geliştirme alanı değil; aynı zamanda tasarım disiplininin tarihsel olarak taşıdığı antroposantrik mirası dönüştürme potansiyeline sahip bir karşı-pratiktir. Doğayı pasif bir kaynak değil, işbirlikçi bir özne olarak konumlandırır. Bu yaklaşım, sürdürülebilirlik hedeflerinin ötesine geçerek, üretim biçimlerimizi, malzeme anlayışımızı ve mekânsal kurgularımızı gezegen sınırları içinde yeniden düşünmeye davet eder.</w:t>
      </w:r>
    </w:p>
    <w:p w14:paraId="1CB2DE31" w14:textId="77777777" w:rsidR="001F04A8" w:rsidRDefault="001F04A8" w:rsidP="00EE1912">
      <w:pPr>
        <w:spacing w:after="120" w:line="360" w:lineRule="auto"/>
        <w:jc w:val="both"/>
        <w:rPr>
          <w:rFonts w:ascii="Arial" w:eastAsia="Times New Roman" w:hAnsi="Arial" w:cs="Arial"/>
          <w:sz w:val="20"/>
          <w:szCs w:val="20"/>
          <w:lang w:val="tr-TR"/>
        </w:rPr>
      </w:pPr>
      <w:r w:rsidRPr="001F04A8">
        <w:rPr>
          <w:rFonts w:ascii="Arial" w:eastAsia="Times New Roman" w:hAnsi="Arial" w:cs="Arial"/>
          <w:sz w:val="20"/>
          <w:szCs w:val="20"/>
          <w:lang w:val="tr-TR"/>
        </w:rPr>
        <w:t>Bu proje kapsamında geliştirilen biyokompozit malzeme, söz konusu postantroposantrik yaklaşımın somut bir örneğini temsil etmektedir. Atık biyolojik bileşenlerin (yumurta kabuğu gibi) yeniden değerlendirilmesi ve doğal polimerlerle birleştirilmesi, hem teknik performans hem de etik üretim modeli açısından yeni bir malzeme dili önermektedir.</w:t>
      </w:r>
    </w:p>
    <w:p w14:paraId="1502CA28" w14:textId="77777777" w:rsidR="00EE1912" w:rsidRPr="00EE1912" w:rsidRDefault="00EE1912" w:rsidP="00EE1912">
      <w:pPr>
        <w:spacing w:after="120" w:line="360" w:lineRule="auto"/>
        <w:jc w:val="both"/>
        <w:rPr>
          <w:rFonts w:ascii="Arial" w:eastAsia="Times New Roman" w:hAnsi="Arial" w:cs="Arial"/>
          <w:sz w:val="20"/>
          <w:szCs w:val="20"/>
          <w:lang w:val="tr-TR"/>
        </w:rPr>
      </w:pPr>
    </w:p>
    <w:p w14:paraId="27121788"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2. Biyoloji Temelli Tasarım ve Biyofabrikasyon Yaklaşımları</w:t>
      </w:r>
    </w:p>
    <w:p w14:paraId="7C1D7C51"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Biyoloji temelli tasarım (biodesign), biyolojiyi yalnızca ilham kaynağı olarak değil, üretim sürecinin aktif bir bileşeni olarak tasarımın içine dahil eden disiplinlerarası bir yaklaşımdır. Bu yaklaşım, biyomimikriden farklı olarak doğayı taklit etmekle yetinmez; canlı organizmalarla birlikte üretmeyi ve biyolojik süreçleri tasarımın temel üretim mekanizması haline getirmeyi amaçlar (Myers, 2011; Myers, 2018).</w:t>
      </w:r>
    </w:p>
    <w:p w14:paraId="12372D4F"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Ginsberg ve Chieza’ya (2018) göre tasarım mevcut koşulları başka koşullara dönüştürme sürecidir; biyotasarım ise bu dönüşümü insan ve insan-dışı yaşam formlarını gözeterek yeniden düşünür. Bu bağlamda biyoloji temelli tasarım, bitkiler, mantarlar, bakteriler, algler veya biyopolimerler gibi canlı ya da biyolojik kökenli sistemlerle iş birliği kurarak yeni malzeme ve yapı bileşenleri üretir.</w:t>
      </w:r>
    </w:p>
    <w:p w14:paraId="69D1E92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Dyson’ın (2007) öngördüğü gibi 21. yüzyılın “biyoloji yüzyılı” olarak tanımlanması, üretim paradigmalarında da önemli bir kırılmaya işaret etmektedir. Endüstriyel üretim; yüksek enerji tüketimi, yer altı kaynaklarının çıkarımı ve geri dönüştürülemeyen atıklar üzerinden ilerlerken, biyoloji temelli üretim yenilenebilir girdiler, düşük sıcaklıkta süreçler ve biyobozunur çıktılar üzerinden çalışır. Bu durum, tasarım disiplinini doğrusal ekonomiden döngüsel ekonomiye geçişte stratejik bir aktör haline getirmektedir (Braungart &amp; McDonough, 2009; Wijkman &amp; Rockström, 2012).</w:t>
      </w:r>
    </w:p>
    <w:p w14:paraId="34EAFCAD"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2.1. Biyofabrikasyon Yöntemleri</w:t>
      </w:r>
    </w:p>
    <w:p w14:paraId="35EC3B76"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Biyoloji temelli tasarımın teknik altyapısını biyofabrikasyon oluşturur. Mironov vd. (2009) biyofabrikasyonu, canlı hücreler, biyomoleküller veya biyomalzemeler kullanılarak karmaşık biyolojik ya da yarı-biyolojik yapıların üretilmesi olarak tanımlar. Biyofabrikasyon, yalnızca biyomedikal alanda değil; yapı malzemeleri, enerji sistemleri ve sürdürülebilir üretim teknolojileri alanında da yeni olanaklar sunmaktadır (Oxman, 2016; Ginsberg vd., 2017).</w:t>
      </w:r>
    </w:p>
    <w:p w14:paraId="42B1E3B3"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Biyofabrikasyonun endüstriyel üretimden temel farkları şunlardır:</w:t>
      </w:r>
    </w:p>
    <w:p w14:paraId="3D792EF5"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Yüksek sıcaklık ve enerji yerine düşük sıcaklıklı, büyüme temelli süreçler kullanır.</w:t>
      </w:r>
    </w:p>
    <w:p w14:paraId="6D0B3A2D"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Yer kabuğundan ham madde çıkarmak yerine yenilenebilir veya atık biyolojik girdiler kullanır (Holt vd., 2012; Lelivelt vd., 2015).</w:t>
      </w:r>
    </w:p>
    <w:p w14:paraId="62C3D3FF"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Nihai ürünler biyolojik olarak parçalanabilir ve döngüsel sisteme yeniden dahil edilebilir.</w:t>
      </w:r>
    </w:p>
    <w:p w14:paraId="0DA8BD06"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üretim modeli, karbon yoğun yapı malzemelerine alternatif geliştirilmesi açısından kritik öneme sahiptir.</w:t>
      </w:r>
    </w:p>
    <w:p w14:paraId="1D684B6D"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2.2</w:t>
      </w:r>
      <w:r w:rsidRPr="00EE1912">
        <w:rPr>
          <w:rFonts w:ascii="Arial" w:eastAsia="Times New Roman" w:hAnsi="Arial" w:cs="Arial"/>
          <w:b/>
          <w:sz w:val="20"/>
          <w:szCs w:val="20"/>
          <w:lang w:val="tr-TR"/>
        </w:rPr>
        <w:t>. Tasarımcının Rolünün Dönüşümü</w:t>
      </w:r>
    </w:p>
    <w:p w14:paraId="45224992"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Biyoloji temelli tasarımda tasarımcı artık hazır malzemelerin pasif kullanıcısı değildir. Karana vd. (2015) ve Rognoli vd. (2015), bu dönüşümü tasarımcının “malzeme üreticisi”ne evrilmesi olarak tanımlar. Bu yaklaşım, malzeme aktivizmi kavramıyla da ilişkilidir (Ribul, 2014). Tasarımcı yalnızca form üretmez; malzemenin kimliğini, yaşam döngüsünü ve ekolojik etkisini tasarlar.</w:t>
      </w:r>
    </w:p>
    <w:p w14:paraId="4F6D4FFD"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dönüşüm özellikle yapı ve mekân tasarımı açısından kritik bir potansiyele sahiptir. Biyoloji temelli malzemeler:</w:t>
      </w:r>
    </w:p>
    <w:p w14:paraId="2FA2709B" w14:textId="77777777" w:rsidR="001F04A8" w:rsidRPr="00EE1912" w:rsidRDefault="001F04A8" w:rsidP="00EE1912">
      <w:pPr>
        <w:pStyle w:val="ListParagraph"/>
        <w:numPr>
          <w:ilvl w:val="0"/>
          <w:numId w:val="25"/>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Büyüyebilir,</w:t>
      </w:r>
    </w:p>
    <w:p w14:paraId="05C6C008" w14:textId="77777777" w:rsidR="001F04A8" w:rsidRPr="00EE1912" w:rsidRDefault="001F04A8" w:rsidP="00EE1912">
      <w:pPr>
        <w:pStyle w:val="ListParagraph"/>
        <w:numPr>
          <w:ilvl w:val="0"/>
          <w:numId w:val="25"/>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Kendini bağlayabilir,</w:t>
      </w:r>
    </w:p>
    <w:p w14:paraId="34C19E97" w14:textId="77777777" w:rsidR="001F04A8" w:rsidRPr="00EE1912" w:rsidRDefault="001F04A8" w:rsidP="00EE1912">
      <w:pPr>
        <w:pStyle w:val="ListParagraph"/>
        <w:numPr>
          <w:ilvl w:val="0"/>
          <w:numId w:val="25"/>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Gözenekli ve hafif yapılar oluşturabilir,</w:t>
      </w:r>
    </w:p>
    <w:p w14:paraId="02EDDCBA" w14:textId="77777777" w:rsidR="001F04A8" w:rsidRPr="00EE1912" w:rsidRDefault="001F04A8" w:rsidP="00EE1912">
      <w:pPr>
        <w:pStyle w:val="ListParagraph"/>
        <w:numPr>
          <w:ilvl w:val="0"/>
          <w:numId w:val="25"/>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Çevresel koşullara uyum gösterebilir,</w:t>
      </w:r>
    </w:p>
    <w:p w14:paraId="7A398530" w14:textId="77777777" w:rsidR="001F04A8" w:rsidRPr="00EE1912" w:rsidRDefault="001F04A8" w:rsidP="00EE1912">
      <w:pPr>
        <w:pStyle w:val="ListParagraph"/>
        <w:numPr>
          <w:ilvl w:val="0"/>
          <w:numId w:val="25"/>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Biyobozunur özellik sergileyebilir.</w:t>
      </w:r>
    </w:p>
    <w:p w14:paraId="0BB7766F"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özellikler, özellikle geçici mimari sistemler, modüler yapılar ve düşük karbonlu iç mekân uygulamaları için yeni olanaklar sunmaktadır.</w:t>
      </w:r>
    </w:p>
    <w:p w14:paraId="18472B69"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2.3</w:t>
      </w:r>
      <w:r w:rsidRPr="00EE1912">
        <w:rPr>
          <w:rFonts w:ascii="Arial" w:eastAsia="Times New Roman" w:hAnsi="Arial" w:cs="Arial"/>
          <w:b/>
          <w:sz w:val="20"/>
          <w:szCs w:val="20"/>
          <w:lang w:val="tr-TR"/>
        </w:rPr>
        <w:t>. Dirençlilik ve Uyarlanabilirlik Potansiyeli</w:t>
      </w:r>
    </w:p>
    <w:p w14:paraId="7D591FA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Biyoloji temelli üretim sistemleri doğanın kendi işleyiş prensiplerinden öğrenir. Brunetta’ya (2019) göre mekânsal dirençlilik, bir sistemin çevresel değişimlere uyum sağlama kapasitesiyle ilişkilidir. Canlı organizmaların büyüme ve iyileşme yetileri, bu kapasiteyi artıran bir model sunar. Collet (2016), biyolojik süreçlerle tasarlanan sistemlerin öğrenme ve iyileşme potansiyeli taşıdığını vurgular.</w:t>
      </w:r>
    </w:p>
    <w:p w14:paraId="5F1F3E13" w14:textId="77777777" w:rsidR="001F04A8"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bağlamda biyoloji temelli tasarım, yalnızca çevre dostu malzeme üretmek değil; aynı zamanda değişen iklim koşullarına ve kaynak kısıtlarına uyum sağlayabilen esnek sistemler geliştirmek anlamına gelir.</w:t>
      </w:r>
    </w:p>
    <w:p w14:paraId="4C9D4FF8" w14:textId="77777777" w:rsidR="00794094" w:rsidRPr="00EE1912" w:rsidRDefault="00794094" w:rsidP="00EE1912">
      <w:pPr>
        <w:spacing w:after="120" w:line="360" w:lineRule="auto"/>
        <w:jc w:val="both"/>
        <w:rPr>
          <w:rFonts w:ascii="Arial" w:eastAsia="Times New Roman" w:hAnsi="Arial" w:cs="Arial"/>
          <w:sz w:val="20"/>
          <w:szCs w:val="20"/>
          <w:lang w:val="tr-TR"/>
        </w:rPr>
      </w:pPr>
    </w:p>
    <w:p w14:paraId="4A11BA9B"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 Geliştirilen Biyokompozit Malzeme: Tasarım Gerekçesi, Bileşen Seçimi ve Üretim Süreci</w:t>
      </w:r>
    </w:p>
    <w:p w14:paraId="25309A29"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3.1. Malzemenin Kavramsal ve Teknik Konumlandırılması</w:t>
      </w:r>
    </w:p>
    <w:p w14:paraId="5496E62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proje kapsamında geliştirilen malzeme, biyoloji temelli üretim prensipleri doğrultusunda tasarlanmış bir biyokompozittir. Malzeme, yenilenebilir ve biyolojik kökenli girdiler kullanılarak, düşük enerji gerektiren üretim süreciyle elde edilmiş; taşıyıcı olmayan ancak yapısal bütünlük gerektiren iç mekân bileşenleri için alternatif oluşturabilecek şekilde geliştirilmiştir.</w:t>
      </w:r>
    </w:p>
    <w:p w14:paraId="3C08E034"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Malzemenin geliştirilmesindeki temel amaç, doğrusal üretim sistemlerine bağımlı, yüksek karbon ayak izine sahip yapı malzemelerine karşı, döngüsel ekonomiye uyumlu ve biyobozunur bir alternatif ortaya koymaktır. Bu bağlamda malzeme; atık biyolojik maddelerin yeniden değerlendirilmesi, düşük sıcaklıkta üretim, geri dönüştürülebilirlik ve yaşam sonu senaryolarında doğaya geri dönüş kapasitesi gibi kriterler gözetilerek tasarlanmıştır.</w:t>
      </w:r>
    </w:p>
    <w:p w14:paraId="3B8E09E6"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Geliştirilen biyokompozit, mineral içerikli bir biyodolgu (yumurta kabuğu) ile doğal polimer esaslı bir bağlayıcı sistemin (agar agar + gliserin) bir araya getirilmesiyle oluşturulmuştur. Bu yapı, hem mekanik dayanım hem de esneklik özellikleri arasında dengeli bir performans elde edilmesini hedeflemektedir.</w:t>
      </w:r>
    </w:p>
    <w:p w14:paraId="531EA2AE"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 xml:space="preserve">3.2. Bileşen Seçimi </w:t>
      </w:r>
    </w:p>
    <w:p w14:paraId="5953DD27"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3.2.1. Yumurta Kabuğu</w:t>
      </w:r>
    </w:p>
    <w:p w14:paraId="0158093F"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Yumurta kabuğu, dünya genelinde yüksek miktarda oluşan biyolojik atıklardan biridir ve sürdürülebilir tasarım yaklaşımları kapsamında yeniden değerlendirilme potansiyeline sahiptir. Literatürde yumurta kabuklarının kompozit malzemelerde dolgu olarak kullanılabildiği, mekanik performansı artırabildiği ve çeşitli yapı uygulamalarında alternatif oluşturabildiği belirtilmektedir (Torres vd., 2010; William &amp; Owen, 1995).</w:t>
      </w:r>
    </w:p>
    <w:p w14:paraId="296774D4"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Kimyasal olarak yaklaşık %94 oranında kalsiyum karbonat içeren yumurta kabuğu, mineral esaslı bir takviye elemanı olarak kompozit içerisinde rijitlik ve basınç dayanımına katkı sağlamaktadır (William &amp; Owen, 1995). Ayrıca mikroskobik gözenekli yapısı, malzemenin içsel yapısal bütünlüğünü ve yük dağılımını etkileyen bir mikro-iskelet işlevi görmektedir. Bu özellikler, geliştirilen biyokompozitte yumurta kabuğunu ana dolgu ve dayanım artırıcı bileşen olarak konumlandırmaktadır.</w:t>
      </w:r>
    </w:p>
    <w:p w14:paraId="00F9B2AD"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Yumurta kabuğunun atık niteliği, malzemenin döngüsel ekonomi ilkeleriyle uyumlu olmasını sağlamaktadır. Bu bağlamda seçimi yalnızca teknik değil, aynı zamanda çevresel ve etik bir tercihtir.</w:t>
      </w:r>
    </w:p>
    <w:p w14:paraId="064844AC"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3.2.2. Agar Agar (Su Yosunu)</w:t>
      </w:r>
    </w:p>
    <w:p w14:paraId="1D7F1D9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Agar agar, deniz yosunlarından elde edilen doğal bir polisakkarit olup, biyolojik olarak parçalanabilir ve yenilenebilir bir kaynaktır (Rhim &amp; Wang, 2013). Termoplastik davranışı sayesinde ısıtıldığında çözünür, soğutulduğunda jel formuna geçer. Bu özellik, malzemenin kalıplanabilir ve yeniden şekillendirilebilir olmasını sağlamaktadır.</w:t>
      </w:r>
    </w:p>
    <w:p w14:paraId="309EFFC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Kompozit sistem içerisinde agar, bağlayıcı matrisi oluşturarak yumurta kabuğu partiküllerini bir arada tutan ana polimer ağını meydana getirmektedir. Literatürde agar bazlı biyomalzemelerin esnek film ve yarı-rijit yapı üretiminde kullanılabildiği belirtilmektedir (Arrieta vd., 2015). Bu yönüyle agar, biyokompozitin hem şekil alabilirliğini hem de homojenliğini destekleyen temel bağlayıcıdır.</w:t>
      </w:r>
    </w:p>
    <w:p w14:paraId="5EC7EE0E"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3.2.3. Gliserin</w:t>
      </w:r>
    </w:p>
    <w:p w14:paraId="37046AB9"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Gliserin, biyopolimer sistemlerde plastifiyan olarak kullanılan, biyolojik olarak parçalanabilir ve toksik olmayan bir bileşendir (Pagliaro vd., 2007). Agar bazlı sistemlerde kırılganlığı azaltarak malzemeye esneklik kazandırdığı bilinmektedir (Rhim, 2011).</w:t>
      </w:r>
    </w:p>
    <w:p w14:paraId="3F7F1AA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biyokompozitte gliserin, malzemenin sünek davranışını artırmak ve ani kırılma riskini azaltmak amacıyla kontrollü oranlarda kullanılmıştır. Yapılan deneylerde gliserin oranının artmasıyla malzemenin esnekliğinin arttığı, ancak aşırı oranlarda mekanik dayanımın azaldığı gözlemlenmiştir. Bu nedenle, dayanım ve esneklik arasında optimum denge sağlayan oranlar deneysel olarak belirlenmiştir.</w:t>
      </w:r>
    </w:p>
    <w:p w14:paraId="0A2ED556"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3.3. Üretim Süreci</w:t>
      </w:r>
    </w:p>
    <w:p w14:paraId="41BAF51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Malzemenin üretim süreci düşük teknolojiye dayalı, laboratuvar ölçeğinde uygulanabilir ve enerji yoğun olmayan bir yöntemle gerçekleştirilmiştir.</w:t>
      </w:r>
    </w:p>
    <w:p w14:paraId="3C59840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Üretim aşamaları aşağıdaki şekilde özetlenebilir:</w:t>
      </w:r>
    </w:p>
    <w:p w14:paraId="512B6A2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Hazırlık Aşaması:</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Yumurta kabukları yıkanmış, zarlarından arındırılmış, sterilize edilmiş ve öğütülerek toz formuna getirilmiştir.</w:t>
      </w:r>
    </w:p>
    <w:p w14:paraId="0994DB1A"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Bağlayıcı Karışımın Hazırlanması:</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Su ve gliserin karışımı ısıtılmış, içerisine agar agar eklenerek homojen bir jel kıvamı elde edilmiştir.</w:t>
      </w:r>
    </w:p>
    <w:p w14:paraId="2EA62201"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Kompozit Oluşturma:</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Öğütülmüş ve elenmiş yumurta kabuğu tozu, hazırlanan agar-gliserin matrisi ile karıştırılmıştır. Farklı prototiplerde su, agar, gliserin ve yumurta kabuğu oranları değiştirilerek deneysel varyasyonlar oluşturulmuştur.</w:t>
      </w:r>
    </w:p>
    <w:p w14:paraId="367344A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Kalıplama ve Kür Süreci:</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Karışım kalıplara dökülmüş ve oda koşullarında kontrollü şekilde kurutularak katı form elde edilmiştir.</w:t>
      </w:r>
    </w:p>
    <w:p w14:paraId="7F1C73CE" w14:textId="77777777" w:rsidR="001F04A8"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üretim modeli, yüksek sıcaklıkta pişirme veya endüstriyel basınç gerektirmemesi açısından enerji verimlidir. Aynı zamanda yerel ölçekte uygulanabilir olması, malzemenin ölçeklenebilirliğini artırmaktadır.</w:t>
      </w:r>
    </w:p>
    <w:p w14:paraId="0193A332" w14:textId="77777777" w:rsidR="00EE1912" w:rsidRDefault="00EE1912" w:rsidP="00EE1912">
      <w:pPr>
        <w:spacing w:after="120" w:line="360" w:lineRule="auto"/>
        <w:jc w:val="both"/>
        <w:rPr>
          <w:rFonts w:ascii="Arial" w:eastAsia="Times New Roman" w:hAnsi="Arial" w:cs="Arial"/>
          <w:sz w:val="20"/>
          <w:szCs w:val="20"/>
          <w:lang w:val="tr-TR"/>
        </w:rPr>
      </w:pPr>
    </w:p>
    <w:p w14:paraId="17E8644C" w14:textId="77777777" w:rsidR="00EE1912" w:rsidRDefault="00EE1912" w:rsidP="00EE1912">
      <w:pPr>
        <w:spacing w:after="120" w:line="360" w:lineRule="auto"/>
        <w:jc w:val="center"/>
        <w:rPr>
          <w:rFonts w:ascii="Arial" w:eastAsia="Times New Roman" w:hAnsi="Arial" w:cs="Arial"/>
          <w:sz w:val="20"/>
          <w:szCs w:val="20"/>
          <w:lang w:val="tr-TR"/>
        </w:rPr>
      </w:pPr>
      <w:r w:rsidRPr="006576C5">
        <w:rPr>
          <w:rFonts w:ascii="Arial" w:eastAsia="Calibri" w:hAnsi="Arial" w:cs="Arial"/>
          <w:noProof/>
        </w:rPr>
        <w:drawing>
          <wp:inline distT="0" distB="0" distL="0" distR="0" wp14:anchorId="7AA37F0D" wp14:editId="6D4E1300">
            <wp:extent cx="4263081" cy="2398188"/>
            <wp:effectExtent l="0" t="0" r="4445" b="2540"/>
            <wp:docPr id="14" name="Picture 14" descr="A group of white and brown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white and brown object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7598" cy="2406354"/>
                    </a:xfrm>
                    <a:prstGeom prst="rect">
                      <a:avLst/>
                    </a:prstGeom>
                  </pic:spPr>
                </pic:pic>
              </a:graphicData>
            </a:graphic>
          </wp:inline>
        </w:drawing>
      </w:r>
      <w:r w:rsidRPr="00EE1912">
        <w:rPr>
          <w:rFonts w:ascii="Arial" w:eastAsia="Times New Roman" w:hAnsi="Arial" w:cs="Arial"/>
          <w:sz w:val="20"/>
          <w:szCs w:val="20"/>
          <w:lang w:val="tr-TR"/>
        </w:rPr>
        <w:drawing>
          <wp:inline distT="0" distB="0" distL="0" distR="0" wp14:anchorId="673BDBD0" wp14:editId="7E6C9B4B">
            <wp:extent cx="2719137" cy="2645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
                      <a:extLst>
                        <a:ext uri="{28A0092B-C50C-407E-A947-70E740481C1C}">
                          <a14:useLocalDpi xmlns:a14="http://schemas.microsoft.com/office/drawing/2010/main" val="0"/>
                        </a:ext>
                      </a:extLst>
                    </a:blip>
                    <a:stretch>
                      <a:fillRect/>
                    </a:stretch>
                  </pic:blipFill>
                  <pic:spPr>
                    <a:xfrm>
                      <a:off x="0" y="0"/>
                      <a:ext cx="2727986" cy="2654410"/>
                    </a:xfrm>
                    <a:prstGeom prst="rect">
                      <a:avLst/>
                    </a:prstGeom>
                  </pic:spPr>
                </pic:pic>
              </a:graphicData>
            </a:graphic>
          </wp:inline>
        </w:drawing>
      </w:r>
    </w:p>
    <w:p w14:paraId="495C74C0" w14:textId="77777777" w:rsidR="00EE1912" w:rsidRPr="00EE1912" w:rsidRDefault="00EE1912" w:rsidP="00EE1912">
      <w:pPr>
        <w:spacing w:after="120" w:line="360" w:lineRule="auto"/>
        <w:jc w:val="both"/>
        <w:rPr>
          <w:rFonts w:ascii="Arial" w:eastAsia="Times New Roman" w:hAnsi="Arial" w:cs="Arial"/>
          <w:sz w:val="20"/>
          <w:szCs w:val="20"/>
          <w:lang w:val="tr-TR"/>
        </w:rPr>
      </w:pPr>
    </w:p>
    <w:p w14:paraId="7AF7D77B"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3.4. Mekanik Performans Analizi ve Karşılaştırmalı Değerlendirme</w:t>
      </w:r>
    </w:p>
    <w:p w14:paraId="1112773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Geliştirilen biyokompozit malzemenin yapısal potansiyelini değerlendirmek amacıyla basma dayanımı, eğilme dayanımı (üç nokta eğilme), elastiklik modülü ve yoğunluk analizleri gerçekleştirilmiştir. Bu testler, malzemenin taşıyıcı olmayan ancak yapısal bütünlük gerektiren iç mekân uygulamalarında kullanılabilirliğini ortaya koymak amacıyla tasarlanmıştır.</w:t>
      </w:r>
    </w:p>
    <w:p w14:paraId="0C74DB7E"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3.4.1. Basınç Dayanımı (Basma Mukavemeti)</w:t>
      </w:r>
    </w:p>
    <w:p w14:paraId="7A152811"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Farklı içerik oranlarına sahip üç kübik numune (50×50×50 mm) üzerinde gerçekleştirilen basma testlerinde, malzemenin maksimum basınç dayanımı yaklaşık </w:t>
      </w:r>
      <w:r w:rsidRPr="00EE1912">
        <w:rPr>
          <w:rFonts w:ascii="Arial" w:eastAsia="Times New Roman" w:hAnsi="Arial" w:cs="Arial"/>
          <w:bCs/>
          <w:sz w:val="20"/>
          <w:szCs w:val="20"/>
          <w:lang w:val="tr-TR"/>
        </w:rPr>
        <w:t>4,1 MPa</w:t>
      </w:r>
      <w:r w:rsidRPr="00EE1912">
        <w:rPr>
          <w:rFonts w:ascii="Arial" w:eastAsia="Times New Roman" w:hAnsi="Arial" w:cs="Arial"/>
          <w:sz w:val="20"/>
          <w:szCs w:val="20"/>
          <w:lang w:val="tr-TR"/>
        </w:rPr>
        <w:t xml:space="preserve"> olarak ölçülmüştür. İçerik oranlarında yumurta kabuğu ve agar miktarının artırılması, su oranının azaltılması ile birlikte dayanım değerlerinde anlamlı artış gözlemlenmiştir.</w:t>
      </w:r>
    </w:p>
    <w:p w14:paraId="18AF1654"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değer, geleneksel yapı malzemeleriyle karşılaştırıldığında şu şekilde konumlanmaktadır:</w:t>
      </w:r>
    </w:p>
    <w:p w14:paraId="0FF85BA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Normal beton:</w:t>
      </w:r>
      <w:r w:rsidRPr="00EE1912">
        <w:rPr>
          <w:rFonts w:ascii="Arial" w:eastAsia="Times New Roman" w:hAnsi="Arial" w:cs="Arial"/>
          <w:sz w:val="20"/>
          <w:szCs w:val="20"/>
          <w:lang w:val="tr-TR"/>
        </w:rPr>
        <w:t xml:space="preserve"> 20–40 MPa</w:t>
      </w:r>
    </w:p>
    <w:p w14:paraId="45DFCB1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Tuğla:</w:t>
      </w:r>
      <w:r w:rsidRPr="00EE1912">
        <w:rPr>
          <w:rFonts w:ascii="Arial" w:eastAsia="Times New Roman" w:hAnsi="Arial" w:cs="Arial"/>
          <w:sz w:val="20"/>
          <w:szCs w:val="20"/>
          <w:lang w:val="tr-TR"/>
        </w:rPr>
        <w:t xml:space="preserve"> 10–20 MPa</w:t>
      </w:r>
    </w:p>
    <w:p w14:paraId="357DF8A9"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Sıkıştırılmış toprak blok (CEB):</w:t>
      </w:r>
      <w:r w:rsidRPr="00EE1912">
        <w:rPr>
          <w:rFonts w:ascii="Arial" w:eastAsia="Times New Roman" w:hAnsi="Arial" w:cs="Arial"/>
          <w:sz w:val="20"/>
          <w:szCs w:val="20"/>
          <w:lang w:val="tr-TR"/>
        </w:rPr>
        <w:t xml:space="preserve"> 2–5 MPa</w:t>
      </w:r>
    </w:p>
    <w:p w14:paraId="3CB928B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Miselyum bazlı biyokompozitler:</w:t>
      </w:r>
      <w:r w:rsidRPr="00EE1912">
        <w:rPr>
          <w:rFonts w:ascii="Arial" w:eastAsia="Times New Roman" w:hAnsi="Arial" w:cs="Arial"/>
          <w:sz w:val="20"/>
          <w:szCs w:val="20"/>
          <w:lang w:val="tr-TR"/>
        </w:rPr>
        <w:t xml:space="preserve"> 0,2–2 MPa</w:t>
      </w:r>
    </w:p>
    <w:p w14:paraId="265AB1BE"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Geliştirilen biyokompozit:</w:t>
      </w:r>
      <w:r w:rsidRPr="00EE1912">
        <w:rPr>
          <w:rFonts w:ascii="Arial" w:eastAsia="Times New Roman" w:hAnsi="Arial" w:cs="Arial"/>
          <w:sz w:val="20"/>
          <w:szCs w:val="20"/>
          <w:lang w:val="tr-TR"/>
        </w:rPr>
        <w:t xml:space="preserve"> ~4,1 MPa</w:t>
      </w:r>
    </w:p>
    <w:p w14:paraId="00619CA5"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karşılaştırma göstermektedir ki geliştirilen malzeme, geleneksel beton veya tuğla seviyesinde taşıyıcı bir yapı malzemesi değildir; ancak biyolojik temelli hafif malzemelere kıyasla belirgin şekilde daha yüksek basınç dayanımı sunmaktadır. Özellikle miselyum bazlı kompozitlerin çoğunlukla 1–2 MPa aralığında kaldığı göz önüne alındığında, 4 MPa seviyesine ulaşan bir biyokompozit, biyolojik kökenli malzemeler arasında üst segmentte konumlanmaktadır.</w:t>
      </w:r>
    </w:p>
    <w:p w14:paraId="3BC31885"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Ayrıca testlerde gözlemlenen davranış yalnızca maksimum dayanım değeri açısından değil, kırılma karakteristiği açısından da önemlidir. İlk prototiplerde gevrek kırılma eğilimi görülürken, optimize edilen içerik oranında malzemenin ani kırılma yerine plastik deformasyonla çöktüğü gözlemlenmiştir. Bu durum, enerji yutma kapasitesi açısından avantaj sağlamaktadır. Malzeme yük altında dağılarak kırılmak yerine kontrollü biçimde deformasyona uğramakta, bu da darbe emici uygulamalar için potansiyel oluşturmaktadır.</w:t>
      </w:r>
    </w:p>
    <w:p w14:paraId="46907119"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3.4.2. Eğilme Dayanımı ve Elastiklik Modülü</w:t>
      </w:r>
    </w:p>
    <w:p w14:paraId="2E4F9896"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Üç nokta eğilme testi (ASTM D790 referanslı) sonucunda malzemenin eğilme mukavemeti yaklaşık </w:t>
      </w:r>
      <w:r w:rsidRPr="00EE1912">
        <w:rPr>
          <w:rFonts w:ascii="Arial" w:eastAsia="Times New Roman" w:hAnsi="Arial" w:cs="Arial"/>
          <w:bCs/>
          <w:sz w:val="20"/>
          <w:szCs w:val="20"/>
          <w:lang w:val="tr-TR"/>
        </w:rPr>
        <w:t>2,3 MPa</w:t>
      </w:r>
      <w:r w:rsidRPr="00EE1912">
        <w:rPr>
          <w:rFonts w:ascii="Arial" w:eastAsia="Times New Roman" w:hAnsi="Arial" w:cs="Arial"/>
          <w:sz w:val="20"/>
          <w:szCs w:val="20"/>
          <w:lang w:val="tr-TR"/>
        </w:rPr>
        <w:t xml:space="preserve">, elastiklik modülü ise </w:t>
      </w:r>
      <w:r w:rsidRPr="00EE1912">
        <w:rPr>
          <w:rFonts w:ascii="Arial" w:eastAsia="Times New Roman" w:hAnsi="Arial" w:cs="Arial"/>
          <w:bCs/>
          <w:sz w:val="20"/>
          <w:szCs w:val="20"/>
          <w:lang w:val="tr-TR"/>
        </w:rPr>
        <w:t>192 MPa</w:t>
      </w:r>
      <w:r w:rsidRPr="00EE1912">
        <w:rPr>
          <w:rFonts w:ascii="Arial" w:eastAsia="Times New Roman" w:hAnsi="Arial" w:cs="Arial"/>
          <w:sz w:val="20"/>
          <w:szCs w:val="20"/>
          <w:lang w:val="tr-TR"/>
        </w:rPr>
        <w:t xml:space="preserve"> olarak hesaplanmıştır.</w:t>
      </w:r>
    </w:p>
    <w:p w14:paraId="3E9D776D"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değerler farklı malzemelerle karşılaştırıldığında:</w:t>
      </w:r>
    </w:p>
    <w:p w14:paraId="39FB6EA2"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Masif ahşap (lif yönüne paralel):</w:t>
      </w:r>
      <w:r w:rsidRPr="00EE1912">
        <w:rPr>
          <w:rFonts w:ascii="Arial" w:eastAsia="Times New Roman" w:hAnsi="Arial" w:cs="Arial"/>
          <w:sz w:val="20"/>
          <w:szCs w:val="20"/>
          <w:lang w:val="tr-TR"/>
        </w:rPr>
        <w:t xml:space="preserve"> 40–100 MPa eğilme dayanımı</w:t>
      </w:r>
    </w:p>
    <w:p w14:paraId="7DD0151D"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OSB / yonga levha:</w:t>
      </w:r>
      <w:r w:rsidRPr="00EE1912">
        <w:rPr>
          <w:rFonts w:ascii="Arial" w:eastAsia="Times New Roman" w:hAnsi="Arial" w:cs="Arial"/>
          <w:sz w:val="20"/>
          <w:szCs w:val="20"/>
          <w:lang w:val="tr-TR"/>
        </w:rPr>
        <w:t xml:space="preserve"> 10–30 MPa</w:t>
      </w:r>
    </w:p>
    <w:p w14:paraId="32C6F8B1"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Alçı levha:</w:t>
      </w:r>
      <w:r w:rsidRPr="00EE1912">
        <w:rPr>
          <w:rFonts w:ascii="Arial" w:eastAsia="Times New Roman" w:hAnsi="Arial" w:cs="Arial"/>
          <w:sz w:val="20"/>
          <w:szCs w:val="20"/>
          <w:lang w:val="tr-TR"/>
        </w:rPr>
        <w:t xml:space="preserve"> 4–8 MPa</w:t>
      </w:r>
    </w:p>
    <w:p w14:paraId="163F5B3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Miselyum kompozitler:</w:t>
      </w:r>
      <w:r w:rsidRPr="00EE1912">
        <w:rPr>
          <w:rFonts w:ascii="Arial" w:eastAsia="Times New Roman" w:hAnsi="Arial" w:cs="Arial"/>
          <w:sz w:val="20"/>
          <w:szCs w:val="20"/>
          <w:lang w:val="tr-TR"/>
        </w:rPr>
        <w:t xml:space="preserve"> 0,5–3 MPa</w:t>
      </w:r>
    </w:p>
    <w:p w14:paraId="179B40AC"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Geliştirilen biyokompozit:</w:t>
      </w:r>
      <w:r w:rsidRPr="00EE1912">
        <w:rPr>
          <w:rFonts w:ascii="Arial" w:eastAsia="Times New Roman" w:hAnsi="Arial" w:cs="Arial"/>
          <w:sz w:val="20"/>
          <w:szCs w:val="20"/>
          <w:lang w:val="tr-TR"/>
        </w:rPr>
        <w:t xml:space="preserve"> ~2,3 MPa</w:t>
      </w:r>
    </w:p>
    <w:p w14:paraId="3A0CCB5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karşılaştırma, malzemenin geleneksel levha malzemelerinden daha düşük dayanım sunduğunu; ancak biyolojik kompozitlerle benzer hatta bazı örneklere göre daha yüksek performans gösterdiğini ortaya koymaktadır.</w:t>
      </w:r>
    </w:p>
    <w:p w14:paraId="17E1C60A"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Elastiklik modülü (192 MPa) ise malzemenin düşük yoğunluklu bir biyokompozit için orta düzeyde rijitlik sunduğunu göstermektedir. Karşılaştırmalı olarak:</w:t>
      </w:r>
    </w:p>
    <w:p w14:paraId="4B7723A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Ahşap:</w:t>
      </w:r>
      <w:r w:rsidRPr="00EE1912">
        <w:rPr>
          <w:rFonts w:ascii="Arial" w:eastAsia="Times New Roman" w:hAnsi="Arial" w:cs="Arial"/>
          <w:sz w:val="20"/>
          <w:szCs w:val="20"/>
          <w:lang w:val="tr-TR"/>
        </w:rPr>
        <w:t xml:space="preserve"> 8.000–12.000 MPa</w:t>
      </w:r>
    </w:p>
    <w:p w14:paraId="349FBC73"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Alçı levha:</w:t>
      </w:r>
      <w:r w:rsidRPr="00EE1912">
        <w:rPr>
          <w:rFonts w:ascii="Arial" w:eastAsia="Times New Roman" w:hAnsi="Arial" w:cs="Arial"/>
          <w:sz w:val="20"/>
          <w:szCs w:val="20"/>
          <w:lang w:val="tr-TR"/>
        </w:rPr>
        <w:t xml:space="preserve"> ~2.000–3.000 MPa</w:t>
      </w:r>
    </w:p>
    <w:p w14:paraId="6F0D4823"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Miselyum kompozitler:</w:t>
      </w:r>
      <w:r w:rsidRPr="00EE1912">
        <w:rPr>
          <w:rFonts w:ascii="Arial" w:eastAsia="Times New Roman" w:hAnsi="Arial" w:cs="Arial"/>
          <w:sz w:val="20"/>
          <w:szCs w:val="20"/>
          <w:lang w:val="tr-TR"/>
        </w:rPr>
        <w:t xml:space="preserve"> 50–200 MPa</w:t>
      </w:r>
    </w:p>
    <w:p w14:paraId="6B95680A"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Geliştirilen biyokompozit:</w:t>
      </w:r>
      <w:r w:rsidRPr="00EE1912">
        <w:rPr>
          <w:rFonts w:ascii="Arial" w:eastAsia="Times New Roman" w:hAnsi="Arial" w:cs="Arial"/>
          <w:sz w:val="20"/>
          <w:szCs w:val="20"/>
          <w:lang w:val="tr-TR"/>
        </w:rPr>
        <w:t xml:space="preserve"> 192 MPa</w:t>
      </w:r>
    </w:p>
    <w:p w14:paraId="5DC5354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sonuç, malzemenin rijit bir yapı elemanı değil; kontrollü esneklik gerektiren uygulamalara uygun olduğunu göstermektedir. Gliserin oranının artırılmasıyla süneklik artmakta; azaltılmasıyla rijitlik yükselmektedir. Bu parametre kontrolü, malzemenin farklı tasarım senaryolarına uyarlanabilirliğini artırmaktadır.</w:t>
      </w:r>
    </w:p>
    <w:p w14:paraId="7198CE8F"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3.4.3. Yoğunluk ve Dayanım/Ağırlık Oranı</w:t>
      </w:r>
    </w:p>
    <w:p w14:paraId="0E393CE3"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Numunenin yoğunluğu yaklaşık </w:t>
      </w:r>
      <w:r w:rsidRPr="00EE1912">
        <w:rPr>
          <w:rFonts w:ascii="Arial" w:eastAsia="Times New Roman" w:hAnsi="Arial" w:cs="Arial"/>
          <w:bCs/>
          <w:sz w:val="20"/>
          <w:szCs w:val="20"/>
          <w:lang w:val="tr-TR"/>
        </w:rPr>
        <w:t>1,38 g/cm³</w:t>
      </w:r>
      <w:r w:rsidRPr="00EE1912">
        <w:rPr>
          <w:rFonts w:ascii="Arial" w:eastAsia="Times New Roman" w:hAnsi="Arial" w:cs="Arial"/>
          <w:sz w:val="20"/>
          <w:szCs w:val="20"/>
          <w:lang w:val="tr-TR"/>
        </w:rPr>
        <w:t xml:space="preserve"> olarak hesaplanmıştır.</w:t>
      </w:r>
    </w:p>
    <w:p w14:paraId="44E18A89"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Karşılaştırmalı olarak:</w:t>
      </w:r>
    </w:p>
    <w:p w14:paraId="1B8C7AD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Beton:</w:t>
      </w:r>
      <w:r w:rsidRPr="00EE1912">
        <w:rPr>
          <w:rFonts w:ascii="Arial" w:eastAsia="Times New Roman" w:hAnsi="Arial" w:cs="Arial"/>
          <w:sz w:val="20"/>
          <w:szCs w:val="20"/>
          <w:lang w:val="tr-TR"/>
        </w:rPr>
        <w:t xml:space="preserve"> ~2,4 g/cm³</w:t>
      </w:r>
    </w:p>
    <w:p w14:paraId="77517879"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Tuğla:</w:t>
      </w:r>
      <w:r w:rsidRPr="00EE1912">
        <w:rPr>
          <w:rFonts w:ascii="Arial" w:eastAsia="Times New Roman" w:hAnsi="Arial" w:cs="Arial"/>
          <w:sz w:val="20"/>
          <w:szCs w:val="20"/>
          <w:lang w:val="tr-TR"/>
        </w:rPr>
        <w:t xml:space="preserve"> 1,6–2,0 g/cm³</w:t>
      </w:r>
    </w:p>
    <w:p w14:paraId="0B87A927"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Miselyum kompozit:</w:t>
      </w:r>
      <w:r w:rsidRPr="00EE1912">
        <w:rPr>
          <w:rFonts w:ascii="Arial" w:eastAsia="Times New Roman" w:hAnsi="Arial" w:cs="Arial"/>
          <w:sz w:val="20"/>
          <w:szCs w:val="20"/>
          <w:lang w:val="tr-TR"/>
        </w:rPr>
        <w:t xml:space="preserve"> 0,3–0,8 g/cm³</w:t>
      </w:r>
    </w:p>
    <w:p w14:paraId="6E7105EC"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Ahşap:</w:t>
      </w:r>
      <w:r w:rsidRPr="00EE1912">
        <w:rPr>
          <w:rFonts w:ascii="Arial" w:eastAsia="Times New Roman" w:hAnsi="Arial" w:cs="Arial"/>
          <w:sz w:val="20"/>
          <w:szCs w:val="20"/>
          <w:lang w:val="tr-TR"/>
        </w:rPr>
        <w:t xml:space="preserve"> 0,5–0,8 g/cm³</w:t>
      </w:r>
    </w:p>
    <w:p w14:paraId="00FD16E4"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lang w:val="tr-TR"/>
        </w:rPr>
        <w:t>Geliştirilen biyokompozit:</w:t>
      </w:r>
      <w:r w:rsidRPr="00EE1912">
        <w:rPr>
          <w:rFonts w:ascii="Arial" w:eastAsia="Times New Roman" w:hAnsi="Arial" w:cs="Arial"/>
          <w:sz w:val="20"/>
          <w:szCs w:val="20"/>
          <w:lang w:val="tr-TR"/>
        </w:rPr>
        <w:t xml:space="preserve"> 1,38 g/cm³</w:t>
      </w:r>
    </w:p>
    <w:p w14:paraId="0863C887"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değer, malzemenin biyolojik hafif malzemelerden daha yoğun; ancak geleneksel mineral esaslı yapı malzemelerinden daha hafif olduğunu göstermektedir. Bu ara konum, malzemeyi “hafif ama görece dayanıklı” bir sınıfa yerleştirmektedir.</w:t>
      </w:r>
    </w:p>
    <w:p w14:paraId="77109026"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Dayanım/yoğunluk oranı dikkate alındığında, malzeme taşıyıcı olmayan modüler sistemler için dengeli bir performans sunmaktadır. Özellikle geçici yapı elemanlarında, sökülebilir sistemlerde ve iç mekân ayırıcılarında hem yeterli mekanik stabilite hem de taşınabilirlik avantajı sağlamaktadır.</w:t>
      </w:r>
    </w:p>
    <w:p w14:paraId="5176F47B"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3.4.4. Genel Mekanik Değerlendirme</w:t>
      </w:r>
    </w:p>
    <w:p w14:paraId="5B8DFFDA"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Elde edilen bulgular doğrultusunda geliştirilen biyokompozit:</w:t>
      </w:r>
    </w:p>
    <w:p w14:paraId="719D40FC" w14:textId="77777777" w:rsidR="001F04A8" w:rsidRPr="00EE1912" w:rsidRDefault="001F04A8" w:rsidP="00EE1912">
      <w:pPr>
        <w:pStyle w:val="ListParagraph"/>
        <w:numPr>
          <w:ilvl w:val="0"/>
          <w:numId w:val="26"/>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Geleneksel taşıyıcı yapı malzemelerinin yerine geçmeyi hedeflememektedir.</w:t>
      </w:r>
    </w:p>
    <w:p w14:paraId="38D2E7E0" w14:textId="77777777" w:rsidR="001F04A8" w:rsidRPr="00EE1912" w:rsidRDefault="001F04A8" w:rsidP="00EE1912">
      <w:pPr>
        <w:pStyle w:val="ListParagraph"/>
        <w:numPr>
          <w:ilvl w:val="0"/>
          <w:numId w:val="26"/>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Biyolojik temelli malzemeler arasında yüksek basınç dayanımı kategorisinde konumlanmaktadır.</w:t>
      </w:r>
    </w:p>
    <w:p w14:paraId="0E165E9C" w14:textId="77777777" w:rsidR="001F04A8" w:rsidRPr="00EE1912" w:rsidRDefault="001F04A8" w:rsidP="00EE1912">
      <w:pPr>
        <w:pStyle w:val="ListParagraph"/>
        <w:numPr>
          <w:ilvl w:val="0"/>
          <w:numId w:val="26"/>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Dayanım–esneklik dengesi ayarlanabilir bir sistem sunmaktadır.</w:t>
      </w:r>
    </w:p>
    <w:p w14:paraId="0B383F2C" w14:textId="77777777" w:rsidR="001F04A8" w:rsidRPr="00EE1912" w:rsidRDefault="001F04A8" w:rsidP="00EE1912">
      <w:pPr>
        <w:pStyle w:val="ListParagraph"/>
        <w:numPr>
          <w:ilvl w:val="0"/>
          <w:numId w:val="26"/>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Plastik deformasyon davranışı sayesinde kırılgan değil, kontrollü çöken bir karakter sergilemektedir.</w:t>
      </w:r>
    </w:p>
    <w:p w14:paraId="07DC2CD1" w14:textId="77777777" w:rsidR="001F04A8" w:rsidRPr="00EE1912" w:rsidRDefault="001F04A8" w:rsidP="00EE1912">
      <w:pPr>
        <w:pStyle w:val="ListParagraph"/>
        <w:numPr>
          <w:ilvl w:val="0"/>
          <w:numId w:val="26"/>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Yoğunluk ve dayanım dengesi açısından geçici ve modüler sistemler için uygun bir profil çizmektedir.</w:t>
      </w:r>
    </w:p>
    <w:p w14:paraId="24AFF963"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3.5. Uygulama Potansiyeli</w:t>
      </w:r>
    </w:p>
    <w:p w14:paraId="0DFF0BEE"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Geliştirilen biyokompozit malzeme, biyoloji temelli tasarım ve biyofabrikasyon prensiplerini somutlaştıran bir araştırma çıktısıdır. Atık mineral içerikli biyodolgu ile doğal polimer bağlayıcının bir araya getirilmesi sayesinde hem çevresel sürdürülebilirlik hem de işlevsel performans açısından dengeli bir yapı elde edilmiştir.</w:t>
      </w:r>
    </w:p>
    <w:p w14:paraId="0C796F73"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malzeme, endüstriyel yapı malzemelerinin yerini doğrudan almak yerine; düşük karbonlu, modüler ve geçici mekânsal sistemlerde alternatif bir çözüm sunmayı hedeflemektedir. Aynı zamanda tasarımcının malzeme üretim sürecine aktif katılımını mümkün kılan bir üretim modeli ortaya koymaktadır.</w:t>
      </w:r>
    </w:p>
    <w:p w14:paraId="29B534EB"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Geliştirilen biyokompozit malzeme aşağıdaki alanlarda potansiyel kullanım sunmaktadır:</w:t>
      </w:r>
    </w:p>
    <w:p w14:paraId="27BBE04F" w14:textId="77777777" w:rsidR="001F04A8" w:rsidRPr="00EE1912" w:rsidRDefault="001F04A8" w:rsidP="00EE1912">
      <w:pPr>
        <w:pStyle w:val="ListParagraph"/>
        <w:numPr>
          <w:ilvl w:val="0"/>
          <w:numId w:val="27"/>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Taşıyıcı olmayan iç mekân panelleri</w:t>
      </w:r>
    </w:p>
    <w:p w14:paraId="6D98EE5E" w14:textId="77777777" w:rsidR="001F04A8" w:rsidRPr="00EE1912" w:rsidRDefault="001F04A8" w:rsidP="00EE1912">
      <w:pPr>
        <w:pStyle w:val="ListParagraph"/>
        <w:numPr>
          <w:ilvl w:val="0"/>
          <w:numId w:val="27"/>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Modüler ayırıcı sistemler</w:t>
      </w:r>
    </w:p>
    <w:p w14:paraId="1EFD8AC8" w14:textId="77777777" w:rsidR="001F04A8" w:rsidRPr="00EE1912" w:rsidRDefault="001F04A8" w:rsidP="00EE1912">
      <w:pPr>
        <w:pStyle w:val="ListParagraph"/>
        <w:numPr>
          <w:ilvl w:val="0"/>
          <w:numId w:val="27"/>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Geçici yapı elemanları</w:t>
      </w:r>
    </w:p>
    <w:p w14:paraId="7FC1CD3B" w14:textId="77777777" w:rsidR="001F04A8" w:rsidRPr="00EE1912" w:rsidRDefault="001F04A8" w:rsidP="00EE1912">
      <w:pPr>
        <w:pStyle w:val="ListParagraph"/>
        <w:numPr>
          <w:ilvl w:val="0"/>
          <w:numId w:val="27"/>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Sergi ve etkinlik mekânı kurguları</w:t>
      </w:r>
    </w:p>
    <w:p w14:paraId="48EB4193" w14:textId="77777777" w:rsidR="001F04A8" w:rsidRPr="00EE1912" w:rsidRDefault="001F04A8" w:rsidP="00EE1912">
      <w:pPr>
        <w:pStyle w:val="ListParagraph"/>
        <w:numPr>
          <w:ilvl w:val="0"/>
          <w:numId w:val="27"/>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Darbe emici yüzey uygulamaları</w:t>
      </w:r>
    </w:p>
    <w:p w14:paraId="043F8909" w14:textId="77777777" w:rsidR="001F04A8" w:rsidRPr="00EE1912" w:rsidRDefault="001F04A8" w:rsidP="00EE1912">
      <w:pPr>
        <w:pStyle w:val="ListParagraph"/>
        <w:numPr>
          <w:ilvl w:val="0"/>
          <w:numId w:val="27"/>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Düşük karbonlu tasarım bileşenleri</w:t>
      </w:r>
    </w:p>
    <w:p w14:paraId="1478CF93" w14:textId="77777777" w:rsidR="001F04A8"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Malzemenin bileşen oranları değiştirilerek dayanım–esneklik dengesi ayarlanabilmekte, bu da farklı tasarım senaryolarına uyarlanabilirlik sağlamaktadır.</w:t>
      </w:r>
    </w:p>
    <w:p w14:paraId="79C001CE" w14:textId="77777777" w:rsidR="00EE1912" w:rsidRPr="00EE1912" w:rsidRDefault="00EE1912" w:rsidP="00EE1912">
      <w:pPr>
        <w:spacing w:after="120" w:line="360" w:lineRule="auto"/>
        <w:jc w:val="both"/>
        <w:rPr>
          <w:rFonts w:ascii="Arial" w:eastAsia="Times New Roman" w:hAnsi="Arial" w:cs="Arial"/>
          <w:sz w:val="20"/>
          <w:szCs w:val="20"/>
          <w:lang w:val="tr-TR"/>
        </w:rPr>
      </w:pPr>
    </w:p>
    <w:p w14:paraId="56124002"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4. Tasarım Önerisi: Biyokompozit Tabanlı Modüler Mekânsal Sistem</w:t>
      </w:r>
    </w:p>
    <w:p w14:paraId="152E7674"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4.1. Tasarımın Kavramsal Çerçevesi</w:t>
      </w:r>
      <w:r w:rsidR="00794094">
        <w:rPr>
          <w:rFonts w:ascii="Arial" w:eastAsia="Times New Roman" w:hAnsi="Arial" w:cs="Arial"/>
          <w:b/>
          <w:sz w:val="20"/>
          <w:szCs w:val="20"/>
          <w:lang w:val="tr-TR"/>
        </w:rPr>
        <w:t xml:space="preserve"> ve Modül Oluşumu</w:t>
      </w:r>
    </w:p>
    <w:p w14:paraId="3282FEEF"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Geliştirilen biyokompozit malzemenin mekanik, esneklik ve yoğunluk özellikleri doğrultusunda önerilen tasarım sistemi; taşıyıcı olmayan ancak yapısal bütünlük gerektiren, modüler, sökülebilir ve yeniden birleştirilebilir iç mekân bileşenlerinden oluşmaktadır.</w:t>
      </w:r>
    </w:p>
    <w:p w14:paraId="667AD28A"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Tasarım önerisi, postantroposantrik tasarım yaklaşımıyla uyumlu olarak, malzemeyi yalnızca biçim verilen pasif bir unsur değil; davranışı ve performansı tasarım kararlarını belirleyen aktif bir bileşen olarak ele almaktadır. Malzemenin kontrollü plastisite göstermesi, hafiflik–dayanım dengesi sunması ve kalıplanabilir olması, modüler bir sistem geliştirilmesine olanak tanımıştır.</w:t>
      </w:r>
    </w:p>
    <w:p w14:paraId="10EBEF6C" w14:textId="77777777" w:rsidR="001F04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Tasarım önerisinde tek tip modül kullanımı tercih edilme sebebi, sistemin üretim ve tekrar edilebilirlik kapasitesini artırmasının yanı sıra modülerliğin temel ilkesi olan tek birimden çoklu varyasyon üretme anlayışını yansıtmasıdır. Tek tip modül kullanımı sayesinde üretim süreci standardize edilmiş, modüller arası bağlantılar homojen bir yapıda tasarlanmış ve sistemin bütünlüğü korunmuştur. </w:t>
      </w:r>
      <w:r w:rsidR="001F04A8" w:rsidRPr="00EE1912">
        <w:rPr>
          <w:rFonts w:ascii="Arial" w:eastAsia="Times New Roman" w:hAnsi="Arial" w:cs="Arial"/>
          <w:sz w:val="20"/>
          <w:szCs w:val="20"/>
          <w:lang w:val="tr-TR"/>
        </w:rPr>
        <w:t>Bu bağlamda önerilen sistem, “geçici ama yapısal olarak kararlı” mekânsal kurulumlar üretmeye odaklanmaktadır.</w:t>
      </w:r>
    </w:p>
    <w:p w14:paraId="464CBC4E"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Aşağıda </w:t>
      </w:r>
      <w:r w:rsidR="00EE1912">
        <w:rPr>
          <w:rFonts w:ascii="Arial" w:eastAsia="Times New Roman" w:hAnsi="Arial" w:cs="Arial"/>
          <w:sz w:val="20"/>
          <w:szCs w:val="20"/>
          <w:lang w:val="tr-TR"/>
        </w:rPr>
        <w:t xml:space="preserve">modülün teknik özelliklerini ve </w:t>
      </w:r>
      <w:r w:rsidRPr="00EE1912">
        <w:rPr>
          <w:rFonts w:ascii="Arial" w:eastAsia="Times New Roman" w:hAnsi="Arial" w:cs="Arial"/>
          <w:sz w:val="20"/>
          <w:szCs w:val="20"/>
          <w:lang w:val="tr-TR"/>
        </w:rPr>
        <w:t>temel ölçülerini gösteren çizimlere yer verilmiştir</w:t>
      </w:r>
      <w:r w:rsidRPr="00EE1912">
        <w:rPr>
          <w:rFonts w:ascii="Arial" w:eastAsia="Times New Roman" w:hAnsi="Arial" w:cs="Arial"/>
          <w:sz w:val="20"/>
          <w:szCs w:val="20"/>
          <w:lang w:val="tr-TR"/>
        </w:rPr>
        <w:t>.</w:t>
      </w:r>
    </w:p>
    <w:p w14:paraId="08E0CD69" w14:textId="77777777" w:rsidR="002C4FA8" w:rsidRDefault="002C4FA8" w:rsidP="00EE1912">
      <w:pPr>
        <w:spacing w:after="120" w:line="360" w:lineRule="auto"/>
        <w:jc w:val="center"/>
        <w:rPr>
          <w:rFonts w:ascii="Arial" w:eastAsia="Times New Roman" w:hAnsi="Arial" w:cs="Arial"/>
          <w:sz w:val="20"/>
          <w:szCs w:val="20"/>
          <w:lang w:val="tr-TR"/>
        </w:rPr>
      </w:pPr>
      <w:r w:rsidRPr="00EE1912">
        <w:rPr>
          <w:rFonts w:ascii="Arial" w:eastAsia="Times New Roman" w:hAnsi="Arial" w:cs="Arial"/>
          <w:sz w:val="20"/>
          <w:szCs w:val="20"/>
          <w:lang w:val="tr-TR"/>
        </w:rPr>
        <w:drawing>
          <wp:inline distT="0" distB="0" distL="0" distR="0" wp14:anchorId="278E7932" wp14:editId="1FCC2AD7">
            <wp:extent cx="1590040" cy="1467210"/>
            <wp:effectExtent l="0" t="0" r="0" b="6350"/>
            <wp:docPr id="21" name="Picture 2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white background with black lines&#10;&#10;Description automatically generated"/>
                    <pic:cNvPicPr/>
                  </pic:nvPicPr>
                  <pic:blipFill rotWithShape="1">
                    <a:blip r:embed="rId7">
                      <a:extLst>
                        <a:ext uri="{28A0092B-C50C-407E-A947-70E740481C1C}">
                          <a14:useLocalDpi xmlns:a14="http://schemas.microsoft.com/office/drawing/2010/main" val="0"/>
                        </a:ext>
                      </a:extLst>
                    </a:blip>
                    <a:srcRect l="5598" t="15385" r="80056" b="68383"/>
                    <a:stretch/>
                  </pic:blipFill>
                  <pic:spPr bwMode="auto">
                    <a:xfrm>
                      <a:off x="0" y="0"/>
                      <a:ext cx="1614896" cy="1490146"/>
                    </a:xfrm>
                    <a:prstGeom prst="rect">
                      <a:avLst/>
                    </a:prstGeom>
                    <a:ln>
                      <a:noFill/>
                    </a:ln>
                    <a:extLst>
                      <a:ext uri="{53640926-AAD7-44D8-BBD7-CCE9431645EC}">
                        <a14:shadowObscured xmlns:a14="http://schemas.microsoft.com/office/drawing/2010/main"/>
                      </a:ext>
                    </a:extLst>
                  </pic:spPr>
                </pic:pic>
              </a:graphicData>
            </a:graphic>
          </wp:inline>
        </w:drawing>
      </w:r>
      <w:r w:rsidRPr="00EE1912">
        <w:rPr>
          <w:rFonts w:ascii="Arial" w:eastAsia="Times New Roman" w:hAnsi="Arial" w:cs="Arial"/>
          <w:sz w:val="20"/>
          <w:szCs w:val="20"/>
          <w:lang w:val="tr-TR"/>
        </w:rPr>
        <w:drawing>
          <wp:inline distT="0" distB="0" distL="0" distR="0" wp14:anchorId="76942C01" wp14:editId="2D692185">
            <wp:extent cx="2065655" cy="1477979"/>
            <wp:effectExtent l="0" t="0" r="4445" b="0"/>
            <wp:docPr id="22" name="Picture 22" descr="A white background with a squar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background with a square object&#10;&#10;Description automatically generated"/>
                    <pic:cNvPicPr/>
                  </pic:nvPicPr>
                  <pic:blipFill rotWithShape="1">
                    <a:blip r:embed="rId8">
                      <a:extLst>
                        <a:ext uri="{28A0092B-C50C-407E-A947-70E740481C1C}">
                          <a14:useLocalDpi xmlns:a14="http://schemas.microsoft.com/office/drawing/2010/main" val="0"/>
                        </a:ext>
                      </a:extLst>
                    </a:blip>
                    <a:srcRect l="28611" t="15653" r="53383" b="68654"/>
                    <a:stretch/>
                  </pic:blipFill>
                  <pic:spPr bwMode="auto">
                    <a:xfrm>
                      <a:off x="0" y="0"/>
                      <a:ext cx="2097751" cy="1500944"/>
                    </a:xfrm>
                    <a:prstGeom prst="rect">
                      <a:avLst/>
                    </a:prstGeom>
                    <a:ln>
                      <a:noFill/>
                    </a:ln>
                    <a:extLst>
                      <a:ext uri="{53640926-AAD7-44D8-BBD7-CCE9431645EC}">
                        <a14:shadowObscured xmlns:a14="http://schemas.microsoft.com/office/drawing/2010/main"/>
                      </a:ext>
                    </a:extLst>
                  </pic:spPr>
                </pic:pic>
              </a:graphicData>
            </a:graphic>
          </wp:inline>
        </w:drawing>
      </w:r>
    </w:p>
    <w:p w14:paraId="3334FD27" w14:textId="77777777" w:rsidR="001F04A8" w:rsidRPr="00EE1912" w:rsidRDefault="001F04A8" w:rsidP="00EE1912">
      <w:pPr>
        <w:spacing w:after="120" w:line="360" w:lineRule="auto"/>
        <w:jc w:val="both"/>
        <w:rPr>
          <w:rFonts w:ascii="Arial" w:eastAsia="Times New Roman" w:hAnsi="Arial" w:cs="Arial"/>
          <w:sz w:val="20"/>
          <w:szCs w:val="20"/>
          <w:lang w:val="tr-TR"/>
        </w:rPr>
      </w:pPr>
    </w:p>
    <w:p w14:paraId="12E08A00"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4.2. Sistem Tanımı</w:t>
      </w:r>
    </w:p>
    <w:p w14:paraId="4B1AEAC1"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Tasarım önerisi, biyokompozit panellerden oluşan modüler bir iç mekân ayırıcı / mekânsal örgü sistemidir. Sistem aşağıdaki özelliklere sahiptir:</w:t>
      </w:r>
    </w:p>
    <w:p w14:paraId="62ACD643" w14:textId="77777777" w:rsidR="001F04A8" w:rsidRPr="00EE1912" w:rsidRDefault="001F04A8" w:rsidP="00EE1912">
      <w:pPr>
        <w:pStyle w:val="ListParagraph"/>
        <w:numPr>
          <w:ilvl w:val="0"/>
          <w:numId w:val="28"/>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Modüler plaka elemanlardan oluşur</w:t>
      </w:r>
    </w:p>
    <w:p w14:paraId="1BA4B49D" w14:textId="77777777" w:rsidR="001F04A8" w:rsidRPr="00EE1912" w:rsidRDefault="001F04A8" w:rsidP="00EE1912">
      <w:pPr>
        <w:pStyle w:val="ListParagraph"/>
        <w:numPr>
          <w:ilvl w:val="0"/>
          <w:numId w:val="28"/>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Birbirine geçmeli (çentikli) bağlantı prensibiyle çalışır</w:t>
      </w:r>
    </w:p>
    <w:p w14:paraId="18B1B092" w14:textId="77777777" w:rsidR="001F04A8" w:rsidRPr="00EE1912" w:rsidRDefault="001F04A8" w:rsidP="00EE1912">
      <w:pPr>
        <w:pStyle w:val="ListParagraph"/>
        <w:numPr>
          <w:ilvl w:val="0"/>
          <w:numId w:val="28"/>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Yapıştırıcı veya metal bağlantı elemanı gerektirmez</w:t>
      </w:r>
    </w:p>
    <w:p w14:paraId="73CF9A17" w14:textId="77777777" w:rsidR="001F04A8" w:rsidRPr="00EE1912" w:rsidRDefault="001F04A8" w:rsidP="00EE1912">
      <w:pPr>
        <w:pStyle w:val="ListParagraph"/>
        <w:numPr>
          <w:ilvl w:val="0"/>
          <w:numId w:val="28"/>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Sökülebilir ve yeniden kurulabilir</w:t>
      </w:r>
    </w:p>
    <w:p w14:paraId="7E576860" w14:textId="77777777" w:rsidR="001F04A8" w:rsidRPr="00EE1912" w:rsidRDefault="001F04A8" w:rsidP="00EE1912">
      <w:pPr>
        <w:pStyle w:val="ListParagraph"/>
        <w:numPr>
          <w:ilvl w:val="0"/>
          <w:numId w:val="28"/>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Taşıyıcı olmayan ancak kendi kendini dengeleyen bir strüktürel kurguya sahiptir</w:t>
      </w:r>
    </w:p>
    <w:p w14:paraId="7A4C2D2C"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Her modül, biyokompozit levhaların kalıp temelli üretimiyle elde edilebilecek ölçü ve geometride tasarlanmıştır. Bağlantı noktaları malzemenin basınç dayanımı ve eğilme davranışı dikkate alınarak konumlandırılmıştır.</w:t>
      </w:r>
    </w:p>
    <w:p w14:paraId="576DEC64"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Tasarım süreci, tasarlanan modüllerin üç boyutlu bir uzayda çoğaltılmasıyla başlamıştır. Süreç, tekil modülün dört yöne doğru çoğalabilirlik potansiyeline dayanmakta olup, her modülün diğerleriyle ortalanmış çentikler üzerinden herhangi bir ara bağlantı elemanına ihtiyaç duymadan birbirine geçerek bağlanması esasına dayanmaktadır. </w:t>
      </w:r>
    </w:p>
    <w:p w14:paraId="2F129876" w14:textId="77777777" w:rsidR="001F04A8" w:rsidRPr="00EE1912" w:rsidRDefault="002C4FA8" w:rsidP="00794094">
      <w:pPr>
        <w:spacing w:after="120" w:line="360" w:lineRule="auto"/>
        <w:jc w:val="center"/>
        <w:rPr>
          <w:rFonts w:ascii="Arial" w:eastAsia="Times New Roman" w:hAnsi="Arial" w:cs="Arial"/>
          <w:sz w:val="20"/>
          <w:szCs w:val="20"/>
          <w:lang w:val="tr-TR"/>
        </w:rPr>
      </w:pPr>
      <w:r w:rsidRPr="00EE1912">
        <w:rPr>
          <w:rFonts w:ascii="Arial" w:eastAsia="Times New Roman" w:hAnsi="Arial" w:cs="Arial"/>
          <w:sz w:val="20"/>
          <w:szCs w:val="20"/>
          <w:lang w:val="tr-TR"/>
        </w:rPr>
        <w:drawing>
          <wp:inline distT="0" distB="0" distL="0" distR="0" wp14:anchorId="3537A83C" wp14:editId="333DD320">
            <wp:extent cx="5706503" cy="2374770"/>
            <wp:effectExtent l="0" t="0" r="0" b="635"/>
            <wp:docPr id="24" name="Picture 24" descr="A diagram of a puzz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puzzle&#10;&#10;Description automatically generated with medium confidence"/>
                    <pic:cNvPicPr/>
                  </pic:nvPicPr>
                  <pic:blipFill rotWithShape="1">
                    <a:blip r:embed="rId9" cstate="print">
                      <a:extLst>
                        <a:ext uri="{28A0092B-C50C-407E-A947-70E740481C1C}">
                          <a14:useLocalDpi xmlns:a14="http://schemas.microsoft.com/office/drawing/2010/main" val="0"/>
                        </a:ext>
                      </a:extLst>
                    </a:blip>
                    <a:srcRect l="3668" t="42390" b="8779"/>
                    <a:stretch/>
                  </pic:blipFill>
                  <pic:spPr bwMode="auto">
                    <a:xfrm>
                      <a:off x="0" y="0"/>
                      <a:ext cx="5756337" cy="2395508"/>
                    </a:xfrm>
                    <a:prstGeom prst="rect">
                      <a:avLst/>
                    </a:prstGeom>
                    <a:ln>
                      <a:noFill/>
                    </a:ln>
                    <a:extLst>
                      <a:ext uri="{53640926-AAD7-44D8-BBD7-CCE9431645EC}">
                        <a14:shadowObscured xmlns:a14="http://schemas.microsoft.com/office/drawing/2010/main"/>
                      </a:ext>
                    </a:extLst>
                  </pic:spPr>
                </pic:pic>
              </a:graphicData>
            </a:graphic>
          </wp:inline>
        </w:drawing>
      </w:r>
    </w:p>
    <w:p w14:paraId="776FC26D"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4.3. Mekanik Performans ile Tasarım Kararları Arasındaki İlişki</w:t>
      </w:r>
    </w:p>
    <w:p w14:paraId="1582CE74"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Malzemenin yaklaşık 4,1 MPa basınç dayanımına sahip olması, modüllerin düşey yük altında kırılmadan stabil kalmasını sağlamaktadır. Ancak beton veya ahşap gibi taşıyıcı sistemler için yeterli dayanım sunmadığı için tasarım, yük taşıyan ana sistem değil; dolgu ve mekânsal ayırıcı sistem olarak kurgulanmıştır.</w:t>
      </w:r>
    </w:p>
    <w:p w14:paraId="5636FF8C"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Eğilme dayanımı ve elastiklik modülü değerleri, malzemenin kontrollü esneklik sergilediğini göstermektedir. Bu özellik tasarımda iki avantaja dönüşmektedir:</w:t>
      </w:r>
    </w:p>
    <w:p w14:paraId="16F67BAC" w14:textId="77777777" w:rsidR="001F04A8" w:rsidRPr="00EE1912" w:rsidRDefault="001F04A8" w:rsidP="00EE1912">
      <w:pPr>
        <w:pStyle w:val="ListParagraph"/>
        <w:numPr>
          <w:ilvl w:val="0"/>
          <w:numId w:val="29"/>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Ani kırılma yerine esneme davranışı sayesinde güvenli deformasyon</w:t>
      </w:r>
    </w:p>
    <w:p w14:paraId="08F338D9" w14:textId="77777777" w:rsidR="001F04A8" w:rsidRPr="00EE1912" w:rsidRDefault="001F04A8" w:rsidP="00EE1912">
      <w:pPr>
        <w:pStyle w:val="ListParagraph"/>
        <w:numPr>
          <w:ilvl w:val="0"/>
          <w:numId w:val="29"/>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Darbe veya lokal yük altında enerji yutma kapasitesi</w:t>
      </w:r>
    </w:p>
    <w:p w14:paraId="75D89B9E"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nedenle önerilen sistem; geçici sergi mekânları, etkinlik alanları, pavyon sistemleri ve iç mekân bölücüler gibi yarı-yapısal uygulamalara uygun şekilde tasarlanmıştır.</w:t>
      </w:r>
    </w:p>
    <w:p w14:paraId="11D704D9" w14:textId="77777777" w:rsidR="002C4F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 xml:space="preserve">4.4. </w:t>
      </w:r>
      <w:r w:rsidR="002C4FA8" w:rsidRPr="00EE1912">
        <w:rPr>
          <w:rFonts w:ascii="Arial" w:eastAsia="Times New Roman" w:hAnsi="Arial" w:cs="Arial"/>
          <w:b/>
          <w:sz w:val="20"/>
          <w:szCs w:val="20"/>
          <w:lang w:val="tr-TR"/>
        </w:rPr>
        <w:tab/>
        <w:t>Tasarım Önerisinin Mekânsal Karakteri ve İşlevsel Potansiyelleri</w:t>
      </w:r>
    </w:p>
    <w:p w14:paraId="00E1A378"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 xml:space="preserve">Geliştirilen </w:t>
      </w:r>
      <w:r w:rsidRPr="00794094">
        <w:rPr>
          <w:rFonts w:ascii="Arial" w:eastAsia="Times New Roman" w:hAnsi="Arial" w:cs="Arial"/>
          <w:sz w:val="20"/>
          <w:szCs w:val="20"/>
          <w:lang w:val="tr-TR"/>
        </w:rPr>
        <w:t xml:space="preserve">modüler sistem, üç boyutlu bir mekânsal strüktür olarak tasarlanmış olup hem yapısal bütünlük hem de iç mekân kullanım potansiyeli açısından işlevsel bir öneri sunmaktadır. Sistem yatay düzlemde </w:t>
      </w:r>
      <w:r w:rsidRPr="00794094">
        <w:rPr>
          <w:rFonts w:ascii="Arial" w:eastAsia="Times New Roman" w:hAnsi="Arial" w:cs="Arial"/>
          <w:bCs/>
          <w:sz w:val="20"/>
          <w:szCs w:val="20"/>
          <w:lang w:val="tr-TR"/>
        </w:rPr>
        <w:t>375 cm × 276 cm</w:t>
      </w:r>
      <w:r w:rsidRPr="00794094">
        <w:rPr>
          <w:rFonts w:ascii="Arial" w:eastAsia="Times New Roman" w:hAnsi="Arial" w:cs="Arial"/>
          <w:sz w:val="20"/>
          <w:szCs w:val="20"/>
          <w:lang w:val="tr-TR"/>
        </w:rPr>
        <w:t xml:space="preserve"> ölçülerinde bir alana yayılmakta, düşeyde ise </w:t>
      </w:r>
      <w:r w:rsidRPr="00794094">
        <w:rPr>
          <w:rFonts w:ascii="Arial" w:eastAsia="Times New Roman" w:hAnsi="Arial" w:cs="Arial"/>
          <w:bCs/>
          <w:sz w:val="20"/>
          <w:szCs w:val="20"/>
          <w:lang w:val="tr-TR"/>
        </w:rPr>
        <w:t>309 cm</w:t>
      </w:r>
      <w:r w:rsidRPr="00794094">
        <w:rPr>
          <w:rFonts w:ascii="Arial" w:eastAsia="Times New Roman" w:hAnsi="Arial" w:cs="Arial"/>
          <w:sz w:val="20"/>
          <w:szCs w:val="20"/>
          <w:lang w:val="tr-TR"/>
        </w:rPr>
        <w:t xml:space="preserve"> yüksekliğe ulaşmaktadır. Bu boyutlandırma, yapının insan ölçeğiyle doğrudan ilişki kurmasını sağlayacak biçimde kurgulanmıştır. Alt kotta bırakılan </w:t>
      </w:r>
      <w:r w:rsidRPr="00794094">
        <w:rPr>
          <w:rFonts w:ascii="Arial" w:eastAsia="Times New Roman" w:hAnsi="Arial" w:cs="Arial"/>
          <w:bCs/>
          <w:sz w:val="20"/>
          <w:szCs w:val="20"/>
          <w:lang w:val="tr-TR"/>
        </w:rPr>
        <w:t>198 cm’lik açıklık</w:t>
      </w:r>
      <w:r w:rsidRPr="00794094">
        <w:rPr>
          <w:rFonts w:ascii="Arial" w:eastAsia="Times New Roman" w:hAnsi="Arial" w:cs="Arial"/>
          <w:sz w:val="20"/>
          <w:szCs w:val="20"/>
          <w:lang w:val="tr-TR"/>
        </w:rPr>
        <w:t>, ergonomik geçiş yüksekliği sunarak sistemin yalnızca görsel değil, fiziksel olarak da deneyimlenebilir olmasını mümkün kılmaktadır.</w:t>
      </w:r>
    </w:p>
    <w:p w14:paraId="6B48F3A1"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sz w:val="20"/>
          <w:szCs w:val="20"/>
          <w:lang w:val="tr-TR"/>
        </w:rPr>
        <w:t>Yan görünüşte sistemin düşey geçirgenlik karakteri belirginleşmektedir. Seçili modüllerin çıkarılmasıyla oluşturulan açıklıklar, hem dolaşım hem de ışık geçirgenliği açısından çok yönlü kullanım senaryolarına olanak tanımaktadır. Böylece yapı, tekil</w:t>
      </w:r>
      <w:r w:rsidRPr="00EE1912">
        <w:rPr>
          <w:rFonts w:ascii="Arial" w:eastAsia="Times New Roman" w:hAnsi="Arial" w:cs="Arial"/>
          <w:sz w:val="20"/>
          <w:szCs w:val="20"/>
          <w:lang w:val="tr-TR"/>
        </w:rPr>
        <w:t xml:space="preserve"> bir yüzey olmaktan çıkarak iç–dış ilişkisini yeniden tanımlayan yarı geçirgen bir kabuk sistemine dönüşmektedir.</w:t>
      </w:r>
    </w:p>
    <w:p w14:paraId="68B75ACD"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Plan düzleminde ise sistemin yalnızca yatay değil, dikey yönde de geçirgen olduğu görülmektedir. Zeminden ve tavandan bırakılan boşluklar sayesinde üst kotta da bir açıklık tanımlanmış; bu sayede gün ışığının iç mekâna nüfuzu, doğal havalandırma ve mekânsal derinlik algısı desteklenmiştir. Özellikle geçici mimarlık uygulamalarında bu tür düşey açıklıklar, hem atmosfer üretimi hem de çevresel uyum açısından önemli bir tasarım bileşeni olarak değerlendirilmektedir.</w:t>
      </w:r>
    </w:p>
    <w:p w14:paraId="5D2364D4"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Boşlukların bilinçli yerleşimi, mekâna yönlendirici bir akış kazandırmakta; dolaşım, sergileme veya kamusal etkileşim gibi farklı kullanım senaryolarına esneklik sağlamaktadır. Bu mekânsal geçirgenlik, sistemin modülerlik, uyarlanabilirlik ve çevik dönüşüm kapasitesi gibi dirençlilik öznitelikleriyle doğrudan ilişkilidir.</w:t>
      </w:r>
    </w:p>
    <w:p w14:paraId="31E00A9C"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Sistem, standart ölçü ve biçime sahip modüllerin tekrarıyla oluşturulmuştur. Bu standartlaşma, üretim kolaylığı sağlamakla birlikte, tasarımın ölçeklenebilirliğini ve yeniden kurgulanabilirliğini artırmaktadır. Modüllerin yer değiştirilmesi, çıkarılması ya da eklenmesi sayesinde sistem farklı mekânsal senaryolara uyarlanabilmektedir.</w:t>
      </w:r>
    </w:p>
    <w:p w14:paraId="7B03C43B"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sz w:val="20"/>
          <w:szCs w:val="20"/>
          <w:lang w:val="tr-TR"/>
        </w:rPr>
        <w:t xml:space="preserve">Toplamda </w:t>
      </w:r>
      <w:r w:rsidRPr="00794094">
        <w:rPr>
          <w:rFonts w:ascii="Arial" w:eastAsia="Times New Roman" w:hAnsi="Arial" w:cs="Arial"/>
          <w:bCs/>
          <w:sz w:val="20"/>
          <w:szCs w:val="20"/>
          <w:lang w:val="tr-TR"/>
        </w:rPr>
        <w:t>377 adet modül</w:t>
      </w:r>
      <w:r w:rsidRPr="00794094">
        <w:rPr>
          <w:rFonts w:ascii="Arial" w:eastAsia="Times New Roman" w:hAnsi="Arial" w:cs="Arial"/>
          <w:sz w:val="20"/>
          <w:szCs w:val="20"/>
          <w:lang w:val="tr-TR"/>
        </w:rPr>
        <w:t xml:space="preserve"> kullanılmıştır. Her modül geometrik olarak aynı olsa da bağlantı sayıları açısından çeşitlilik göstermektedir:</w:t>
      </w:r>
    </w:p>
    <w:p w14:paraId="5A8C0929"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bCs/>
          <w:sz w:val="20"/>
          <w:szCs w:val="20"/>
          <w:lang w:val="tr-TR"/>
        </w:rPr>
        <w:t>91 modül</w:t>
      </w:r>
      <w:r w:rsidRPr="00794094">
        <w:rPr>
          <w:rFonts w:ascii="Arial" w:eastAsia="Times New Roman" w:hAnsi="Arial" w:cs="Arial"/>
          <w:sz w:val="20"/>
          <w:szCs w:val="20"/>
          <w:lang w:val="tr-TR"/>
        </w:rPr>
        <w:t xml:space="preserve"> iki bağlantı noktasıyla,</w:t>
      </w:r>
    </w:p>
    <w:p w14:paraId="4948624E"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bCs/>
          <w:sz w:val="20"/>
          <w:szCs w:val="20"/>
          <w:lang w:val="tr-TR"/>
        </w:rPr>
        <w:t>224 modül</w:t>
      </w:r>
      <w:r w:rsidRPr="00794094">
        <w:rPr>
          <w:rFonts w:ascii="Arial" w:eastAsia="Times New Roman" w:hAnsi="Arial" w:cs="Arial"/>
          <w:sz w:val="20"/>
          <w:szCs w:val="20"/>
          <w:lang w:val="tr-TR"/>
        </w:rPr>
        <w:t xml:space="preserve"> üç bağlantı noktasıyla,</w:t>
      </w:r>
    </w:p>
    <w:p w14:paraId="78F02033"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bCs/>
          <w:sz w:val="20"/>
          <w:szCs w:val="20"/>
          <w:lang w:val="tr-TR"/>
        </w:rPr>
        <w:t>62 modül</w:t>
      </w:r>
      <w:r w:rsidRPr="00794094">
        <w:rPr>
          <w:rFonts w:ascii="Arial" w:eastAsia="Times New Roman" w:hAnsi="Arial" w:cs="Arial"/>
          <w:sz w:val="20"/>
          <w:szCs w:val="20"/>
          <w:lang w:val="tr-TR"/>
        </w:rPr>
        <w:t xml:space="preserve"> dört bağlantı noktasıyla sistemde yer almaktadır.</w:t>
      </w:r>
    </w:p>
    <w:p w14:paraId="2F104AE0"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sz w:val="20"/>
          <w:szCs w:val="20"/>
          <w:lang w:val="tr-TR"/>
        </w:rPr>
        <w:t>Modüllerin %59,4’ünün üç bağlantı noktasıyla birleşmesi, sistemin genel yapısal stabilitesini sağlamaktadır. %16,4 oranındaki dört bağlantılı modüller ise sistemin dayanıklılığını artırırken, esnekliğin tamamen kaybolmasını engellemektedir. Bilinçli bir tasarım kararı olarak hiçbir modül yalnızca tek bağlantı noktasıyla bırakılmamıştır. Bu tercih, yapısal sürekliliği artırmak ve bağlantısallık özniteliğini güçlendirmek amacıyla yapılmıştır.</w:t>
      </w:r>
      <w:bookmarkStart w:id="0" w:name="_GoBack"/>
      <w:bookmarkEnd w:id="0"/>
    </w:p>
    <w:p w14:paraId="1F154114" w14:textId="77777777" w:rsidR="002C4FA8" w:rsidRPr="00794094" w:rsidRDefault="002C4FA8" w:rsidP="00EE1912">
      <w:pPr>
        <w:spacing w:after="120" w:line="360" w:lineRule="auto"/>
        <w:jc w:val="both"/>
        <w:rPr>
          <w:rFonts w:ascii="Arial" w:eastAsia="Times New Roman" w:hAnsi="Arial" w:cs="Arial"/>
          <w:sz w:val="20"/>
          <w:szCs w:val="20"/>
          <w:lang w:val="tr-TR"/>
        </w:rPr>
      </w:pPr>
      <w:r w:rsidRPr="00794094">
        <w:rPr>
          <w:rFonts w:ascii="Arial" w:eastAsia="Times New Roman" w:hAnsi="Arial" w:cs="Arial"/>
          <w:sz w:val="20"/>
          <w:szCs w:val="20"/>
          <w:lang w:val="tr-TR"/>
        </w:rPr>
        <w:t>Sonuç olarak önerilen sistem:</w:t>
      </w:r>
    </w:p>
    <w:p w14:paraId="0D6E5D9B" w14:textId="77777777" w:rsidR="002C4FA8" w:rsidRPr="00EE1912" w:rsidRDefault="002C4FA8" w:rsidP="00EE1912">
      <w:pPr>
        <w:pStyle w:val="ListParagraph"/>
        <w:numPr>
          <w:ilvl w:val="0"/>
          <w:numId w:val="30"/>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İnsan ölçeğiyle ilişkili, geçirgen bir mekânsal kurgu sunmakta,</w:t>
      </w:r>
    </w:p>
    <w:p w14:paraId="5E09C5C5" w14:textId="77777777" w:rsidR="002C4FA8" w:rsidRPr="00EE1912" w:rsidRDefault="002C4FA8" w:rsidP="00EE1912">
      <w:pPr>
        <w:pStyle w:val="ListParagraph"/>
        <w:numPr>
          <w:ilvl w:val="0"/>
          <w:numId w:val="30"/>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Modüler ve sökülebilir yapısıyla dönüştürülebilirlik sağlamaktadır,</w:t>
      </w:r>
    </w:p>
    <w:p w14:paraId="37F4F4D4" w14:textId="77777777" w:rsidR="002C4FA8" w:rsidRPr="00EE1912" w:rsidRDefault="002C4FA8" w:rsidP="00EE1912">
      <w:pPr>
        <w:pStyle w:val="ListParagraph"/>
        <w:numPr>
          <w:ilvl w:val="0"/>
          <w:numId w:val="30"/>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Bağlantı çeşitliliği sayesinde hem esneklik hem de yapısal süreklilik üretmektedir,</w:t>
      </w:r>
    </w:p>
    <w:p w14:paraId="4B612FD3" w14:textId="77777777" w:rsidR="002C4FA8" w:rsidRPr="00EE1912" w:rsidRDefault="002C4FA8" w:rsidP="00EE1912">
      <w:pPr>
        <w:pStyle w:val="ListParagraph"/>
        <w:numPr>
          <w:ilvl w:val="0"/>
          <w:numId w:val="30"/>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Dirençlilik kuramı çerçevesinde çeşitlilik, bağlantısallık ve uyarlanabilirlik özniteliklerini yapısal düzlemde karşılamaktadır.</w:t>
      </w:r>
    </w:p>
    <w:p w14:paraId="6A747E14" w14:textId="77777777" w:rsidR="001F04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yönleriyle tasarım önerisi yalnızca estetik veya strüktürel bir çözüm değil; malzeme, modül ve mekân ilişkisini dinamik ve dirençli bir sistem olarak ele alan bütüncül bir mimari yaklaşım olarak değerlendirilmelidir.</w:t>
      </w:r>
    </w:p>
    <w:p w14:paraId="1215A999"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Tasarımın temel prensibi modülerliktir. Modüler sistem:</w:t>
      </w:r>
    </w:p>
    <w:p w14:paraId="64180E5F" w14:textId="77777777" w:rsidR="001F04A8" w:rsidRPr="00EE1912" w:rsidRDefault="001F04A8" w:rsidP="00EE1912">
      <w:pPr>
        <w:pStyle w:val="ListParagraph"/>
        <w:numPr>
          <w:ilvl w:val="0"/>
          <w:numId w:val="31"/>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Farklı mekânsal ölçeklere uyarlanabilir</w:t>
      </w:r>
    </w:p>
    <w:p w14:paraId="09EC50C5" w14:textId="77777777" w:rsidR="001F04A8" w:rsidRPr="00EE1912" w:rsidRDefault="001F04A8" w:rsidP="00EE1912">
      <w:pPr>
        <w:pStyle w:val="ListParagraph"/>
        <w:numPr>
          <w:ilvl w:val="0"/>
          <w:numId w:val="31"/>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Parça bazlı üretim sayesinde atık minimizasyonu sağlar</w:t>
      </w:r>
    </w:p>
    <w:p w14:paraId="49E34B84" w14:textId="77777777" w:rsidR="001F04A8" w:rsidRPr="00EE1912" w:rsidRDefault="001F04A8" w:rsidP="00EE1912">
      <w:pPr>
        <w:pStyle w:val="ListParagraph"/>
        <w:numPr>
          <w:ilvl w:val="0"/>
          <w:numId w:val="31"/>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Hasar gören modüllerin tekil olarak değiştirilebilmesine olanak tanır</w:t>
      </w:r>
    </w:p>
    <w:p w14:paraId="2FD4D867" w14:textId="77777777" w:rsidR="001F04A8" w:rsidRPr="00EE1912" w:rsidRDefault="001F04A8" w:rsidP="00EE1912">
      <w:pPr>
        <w:pStyle w:val="ListParagraph"/>
        <w:numPr>
          <w:ilvl w:val="0"/>
          <w:numId w:val="31"/>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Nakliye ve depolama açısından avantaj sunar</w:t>
      </w:r>
    </w:p>
    <w:p w14:paraId="137EABE8" w14:textId="77777777" w:rsidR="001F04A8"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yaklaşım, döngüsel ekonomi prensipleriyle uyumludur. Malzemenin biyolojik kökenli olması, kullanım ömrü sonunda kompostlanabilir veya yeniden öğütülerek üretim sürecine dahil edilebilir olmasını mümkün kılar.</w:t>
      </w:r>
    </w:p>
    <w:p w14:paraId="7D959781" w14:textId="77777777" w:rsidR="009D647C" w:rsidRDefault="009D647C" w:rsidP="009D647C">
      <w:pPr>
        <w:pStyle w:val="Caption"/>
        <w:keepNext/>
        <w:spacing w:after="240" w:line="360" w:lineRule="auto"/>
        <w:jc w:val="center"/>
        <w:rPr>
          <w:rFonts w:ascii="Arial" w:hAnsi="Arial" w:cs="Arial"/>
          <w:noProof/>
          <w:sz w:val="20"/>
          <w:szCs w:val="20"/>
          <w:lang w:val="tr-TR"/>
        </w:rPr>
      </w:pPr>
      <w:bookmarkStart w:id="1" w:name="_Toc209354762"/>
    </w:p>
    <w:p w14:paraId="6EE220DA" w14:textId="77777777" w:rsidR="009D647C" w:rsidRDefault="009D647C" w:rsidP="009D647C">
      <w:pPr>
        <w:pStyle w:val="Caption"/>
        <w:keepNext/>
        <w:spacing w:after="240" w:line="360" w:lineRule="auto"/>
        <w:jc w:val="center"/>
        <w:rPr>
          <w:rFonts w:ascii="Arial" w:hAnsi="Arial" w:cs="Arial"/>
          <w:noProof/>
          <w:sz w:val="20"/>
          <w:szCs w:val="20"/>
          <w:lang w:val="tr-TR"/>
        </w:rPr>
      </w:pPr>
      <w:r w:rsidRPr="006576C5">
        <w:rPr>
          <w:noProof/>
          <w:lang w:val="en-US"/>
        </w:rPr>
        <w:drawing>
          <wp:inline distT="0" distB="0" distL="0" distR="0" wp14:anchorId="2CFBEBE0" wp14:editId="5794ADBD">
            <wp:extent cx="2749917" cy="1927860"/>
            <wp:effectExtent l="0" t="0" r="6350" b="2540"/>
            <wp:docPr id="26" name="Picture 26" descr="A person standing next to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erson standing next to a wall&#10;&#10;Description automatically generated"/>
                    <pic:cNvPicPr/>
                  </pic:nvPicPr>
                  <pic:blipFill>
                    <a:blip r:embed="rId10" cstate="print">
                      <a:extLst>
                        <a:ext uri="{28A0092B-C50C-407E-A947-70E740481C1C}">
                          <a14:useLocalDpi xmlns:a14="http://schemas.microsoft.com/office/drawing/2010/main" val="0"/>
                        </a:ext>
                      </a:extLst>
                    </a:blip>
                    <a:srcRect t="7303" b="7303"/>
                    <a:stretch>
                      <a:fillRect/>
                    </a:stretch>
                  </pic:blipFill>
                  <pic:spPr bwMode="auto">
                    <a:xfrm>
                      <a:off x="0" y="0"/>
                      <a:ext cx="2759217" cy="1934380"/>
                    </a:xfrm>
                    <a:prstGeom prst="rect">
                      <a:avLst/>
                    </a:prstGeom>
                    <a:ln>
                      <a:noFill/>
                    </a:ln>
                    <a:extLst>
                      <a:ext uri="{53640926-AAD7-44D8-BBD7-CCE9431645EC}">
                        <a14:shadowObscured xmlns:a14="http://schemas.microsoft.com/office/drawing/2010/main"/>
                      </a:ext>
                    </a:extLst>
                  </pic:spPr>
                </pic:pic>
              </a:graphicData>
            </a:graphic>
          </wp:inline>
        </w:drawing>
      </w:r>
      <w:r w:rsidRPr="006576C5">
        <w:rPr>
          <w:noProof/>
          <w:lang w:val="en-US"/>
        </w:rPr>
        <w:drawing>
          <wp:inline distT="0" distB="0" distL="0" distR="0" wp14:anchorId="7DDA22CB" wp14:editId="3475BE9B">
            <wp:extent cx="2759542" cy="1938699"/>
            <wp:effectExtent l="0" t="0" r="0" b="4445"/>
            <wp:docPr id="28" name="Picture 28" descr="A person standing next to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erson standing next to a wall&#10;&#10;Description automatically generated"/>
                    <pic:cNvPicPr/>
                  </pic:nvPicPr>
                  <pic:blipFill>
                    <a:blip r:embed="rId11" cstate="print">
                      <a:extLst>
                        <a:ext uri="{28A0092B-C50C-407E-A947-70E740481C1C}">
                          <a14:useLocalDpi xmlns:a14="http://schemas.microsoft.com/office/drawing/2010/main" val="0"/>
                        </a:ext>
                      </a:extLst>
                    </a:blip>
                    <a:srcRect t="7213" b="7213"/>
                    <a:stretch>
                      <a:fillRect/>
                    </a:stretch>
                  </pic:blipFill>
                  <pic:spPr bwMode="auto">
                    <a:xfrm>
                      <a:off x="0" y="0"/>
                      <a:ext cx="2759542" cy="1938699"/>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74134819" w14:textId="77777777" w:rsidR="009D647C" w:rsidRPr="009D647C" w:rsidRDefault="009D647C" w:rsidP="009D647C">
      <w:pPr>
        <w:jc w:val="center"/>
      </w:pPr>
      <w:r w:rsidRPr="006576C5">
        <w:rPr>
          <w:noProof/>
        </w:rPr>
        <w:drawing>
          <wp:inline distT="0" distB="0" distL="0" distR="0" wp14:anchorId="31F35558" wp14:editId="5F1DD890">
            <wp:extent cx="2479675" cy="2035777"/>
            <wp:effectExtent l="0" t="0" r="0" b="0"/>
            <wp:docPr id="45" name="Picture 45" descr="A person walking past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erson walking past a structur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2173" cy="2054247"/>
                    </a:xfrm>
                    <a:prstGeom prst="rect">
                      <a:avLst/>
                    </a:prstGeom>
                  </pic:spPr>
                </pic:pic>
              </a:graphicData>
            </a:graphic>
          </wp:inline>
        </w:drawing>
      </w:r>
      <w:r>
        <w:rPr>
          <w:lang w:val="tr-TR"/>
        </w:rPr>
        <w:t xml:space="preserve">              </w:t>
      </w:r>
      <w:r w:rsidRPr="006576C5">
        <w:rPr>
          <w:noProof/>
        </w:rPr>
        <w:drawing>
          <wp:inline distT="0" distB="0" distL="0" distR="0" wp14:anchorId="7967E581" wp14:editId="21DC80BF">
            <wp:extent cx="2514981" cy="2064762"/>
            <wp:effectExtent l="0" t="0" r="0" b="5715"/>
            <wp:docPr id="47" name="Picture 47" descr="A person standing next to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erson standing next to a structur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2543805" cy="2088426"/>
                    </a:xfrm>
                    <a:prstGeom prst="rect">
                      <a:avLst/>
                    </a:prstGeom>
                  </pic:spPr>
                </pic:pic>
              </a:graphicData>
            </a:graphic>
          </wp:inline>
        </w:drawing>
      </w:r>
    </w:p>
    <w:p w14:paraId="22C1DF7E" w14:textId="77777777" w:rsidR="009D647C" w:rsidRDefault="009D647C" w:rsidP="009D647C"/>
    <w:p w14:paraId="02A7BAB8" w14:textId="77777777" w:rsidR="009D647C" w:rsidRPr="009D647C" w:rsidRDefault="009D647C" w:rsidP="009D647C">
      <w:pPr>
        <w:jc w:val="center"/>
      </w:pPr>
      <w:r w:rsidRPr="006576C5">
        <w:rPr>
          <w:b/>
          <w:bCs/>
          <w:noProof/>
        </w:rPr>
        <w:drawing>
          <wp:inline distT="0" distB="0" distL="0" distR="0" wp14:anchorId="6ABCB034" wp14:editId="63C0A55D">
            <wp:extent cx="2476500" cy="2033171"/>
            <wp:effectExtent l="0" t="0" r="0" b="0"/>
            <wp:docPr id="54" name="Picture 54" descr="A person standing in a room with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erson standing in a room with a couple of peop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3294" cy="2063378"/>
                    </a:xfrm>
                    <a:prstGeom prst="rect">
                      <a:avLst/>
                    </a:prstGeom>
                  </pic:spPr>
                </pic:pic>
              </a:graphicData>
            </a:graphic>
          </wp:inline>
        </w:drawing>
      </w:r>
      <w:r>
        <w:t xml:space="preserve">              </w:t>
      </w:r>
      <w:r w:rsidRPr="006576C5">
        <w:rPr>
          <w:b/>
          <w:bCs/>
          <w:noProof/>
        </w:rPr>
        <w:drawing>
          <wp:inline distT="0" distB="0" distL="0" distR="0" wp14:anchorId="1578A75E" wp14:editId="50B98D20">
            <wp:extent cx="2475431" cy="2032293"/>
            <wp:effectExtent l="0" t="0" r="1270" b="0"/>
            <wp:docPr id="56" name="Picture 56" descr="A person walking in a ma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erson walking in a maz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0094" cy="2060751"/>
                    </a:xfrm>
                    <a:prstGeom prst="rect">
                      <a:avLst/>
                    </a:prstGeom>
                  </pic:spPr>
                </pic:pic>
              </a:graphicData>
            </a:graphic>
          </wp:inline>
        </w:drawing>
      </w:r>
    </w:p>
    <w:p w14:paraId="77B2E56E" w14:textId="77777777" w:rsidR="009D647C" w:rsidRPr="00EE1912" w:rsidRDefault="009D647C" w:rsidP="00EE1912">
      <w:pPr>
        <w:spacing w:after="120" w:line="360" w:lineRule="auto"/>
        <w:jc w:val="both"/>
        <w:rPr>
          <w:rFonts w:ascii="Arial" w:eastAsia="Times New Roman" w:hAnsi="Arial" w:cs="Arial"/>
          <w:sz w:val="20"/>
          <w:szCs w:val="20"/>
          <w:lang w:val="tr-TR"/>
        </w:rPr>
      </w:pPr>
    </w:p>
    <w:p w14:paraId="25189CD5"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4.5. Uygulama Senaryoları</w:t>
      </w:r>
    </w:p>
    <w:p w14:paraId="3C456920"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Önerilen biyokompozit modüler sistem aşağıdaki alanlarda uygulanabilir:</w:t>
      </w:r>
    </w:p>
    <w:p w14:paraId="4DDED0FB" w14:textId="77777777" w:rsidR="001F04A8" w:rsidRPr="00EE1912" w:rsidRDefault="001F04A8" w:rsidP="00EE1912">
      <w:pPr>
        <w:pStyle w:val="ListParagraph"/>
        <w:numPr>
          <w:ilvl w:val="0"/>
          <w:numId w:val="32"/>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Sergi ve bienal kurulumları</w:t>
      </w:r>
    </w:p>
    <w:p w14:paraId="78041DA6" w14:textId="77777777" w:rsidR="001F04A8" w:rsidRPr="00EE1912" w:rsidRDefault="001F04A8" w:rsidP="00EE1912">
      <w:pPr>
        <w:pStyle w:val="ListParagraph"/>
        <w:numPr>
          <w:ilvl w:val="0"/>
          <w:numId w:val="32"/>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Geçici kamusal etkinlik yapıları</w:t>
      </w:r>
    </w:p>
    <w:p w14:paraId="50F25BCB" w14:textId="77777777" w:rsidR="001F04A8" w:rsidRPr="00EE1912" w:rsidRDefault="001F04A8" w:rsidP="00EE1912">
      <w:pPr>
        <w:pStyle w:val="ListParagraph"/>
        <w:numPr>
          <w:ilvl w:val="0"/>
          <w:numId w:val="32"/>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İç mekân bölücü paneller</w:t>
      </w:r>
    </w:p>
    <w:p w14:paraId="7CB86990" w14:textId="77777777" w:rsidR="001F04A8" w:rsidRPr="00EE1912" w:rsidRDefault="001F04A8" w:rsidP="00EE1912">
      <w:pPr>
        <w:pStyle w:val="ListParagraph"/>
        <w:numPr>
          <w:ilvl w:val="0"/>
          <w:numId w:val="32"/>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Eğitim mekânlarında esnek alan organizasyonu</w:t>
      </w:r>
    </w:p>
    <w:p w14:paraId="49B6ABF4" w14:textId="77777777" w:rsidR="001F04A8" w:rsidRPr="00EE1912" w:rsidRDefault="001F04A8" w:rsidP="00EE1912">
      <w:pPr>
        <w:pStyle w:val="ListParagraph"/>
        <w:numPr>
          <w:ilvl w:val="0"/>
          <w:numId w:val="32"/>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Afet sonrası geçici mekânsal çözümler</w:t>
      </w:r>
    </w:p>
    <w:p w14:paraId="7FEF862E" w14:textId="77777777" w:rsidR="001F04A8" w:rsidRPr="00EE1912" w:rsidRDefault="001F04A8" w:rsidP="00EE1912">
      <w:pPr>
        <w:pStyle w:val="ListParagraph"/>
        <w:numPr>
          <w:ilvl w:val="0"/>
          <w:numId w:val="32"/>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Düşük karbonlu deneysel pavyon yapıları</w:t>
      </w:r>
    </w:p>
    <w:p w14:paraId="22FB8B0C"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Malzemenin hafifliği, kurulum ve söküm süreçlerini hızlandırırken; plastik deformasyon davranışı güvenlik açısından avantaj sağlar.</w:t>
      </w:r>
    </w:p>
    <w:p w14:paraId="27121A69" w14:textId="77777777" w:rsidR="001F04A8" w:rsidRPr="00EE1912" w:rsidRDefault="001F04A8"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4.6. Sürdürülebilirlik ve Yenilik Değeri</w:t>
      </w:r>
    </w:p>
    <w:p w14:paraId="7C8BF9D2"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tasarım önerisi üç düzeyde yenilik sunmaktadır:</w:t>
      </w:r>
    </w:p>
    <w:p w14:paraId="20FBD8AA"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Malzeme Düzeyinde:</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Atık biyolojik içerik (yumurta kabuğu) ile doğal polimer matrisi birleştiren yerel üretilebilir bir biyokompozit.</w:t>
      </w:r>
    </w:p>
    <w:p w14:paraId="78B3B078"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Sistem Düzeyinde:</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Metal bağlantı gerektirmeyen, sökülebilir modüler kurgu.</w:t>
      </w:r>
    </w:p>
    <w:p w14:paraId="2085ED12" w14:textId="77777777" w:rsidR="001F04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Yaklaşım Düzeyinde:</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Malzeme davranışının tasarım biçimini belirlediği biyoloji temelli bir üretim modeli.</w:t>
      </w:r>
    </w:p>
    <w:p w14:paraId="4CE4A095" w14:textId="77777777" w:rsidR="002C4FA8" w:rsidRPr="00EE1912" w:rsidRDefault="001F04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yönleriyle sistem, yalnızca bir ürün değil; alternatif bir üretim ve mekân kurma yaklaşımı önermektedir.</w:t>
      </w:r>
      <w:r w:rsidR="002C4FA8" w:rsidRPr="00EE1912">
        <w:rPr>
          <w:rFonts w:ascii="Arial" w:eastAsia="Times New Roman" w:hAnsi="Arial" w:cs="Arial"/>
          <w:sz w:val="20"/>
          <w:szCs w:val="20"/>
          <w:lang w:val="tr-TR"/>
        </w:rPr>
        <w:t xml:space="preserve"> </w:t>
      </w:r>
      <w:r w:rsidR="002C4FA8" w:rsidRPr="00EE1912">
        <w:rPr>
          <w:rFonts w:ascii="Arial" w:eastAsia="Times New Roman" w:hAnsi="Arial" w:cs="Arial"/>
          <w:sz w:val="20"/>
          <w:szCs w:val="20"/>
          <w:lang w:val="tr-TR"/>
        </w:rPr>
        <w:t>Biyokompozit malzemenin doğada çözünebilen yapısı sayesinde, tasarım yalnızca yapılı çevreyle değil; aynı zamanda doğanın döngüsel süreçleriyle de ilişkilendirilmiştir. Böylece öneri, sabit bir mimari yapıdan ziyade, değişen koşullara uyum sağlayan, sürdürülebilir ve evrimsel bir sistem olarak değerlendirilmiştir.</w:t>
      </w:r>
    </w:p>
    <w:p w14:paraId="79F1542F" w14:textId="77777777" w:rsidR="00EE1912" w:rsidRDefault="00EE1912" w:rsidP="00EE1912">
      <w:pPr>
        <w:spacing w:after="120" w:line="360" w:lineRule="auto"/>
        <w:jc w:val="both"/>
        <w:rPr>
          <w:rFonts w:ascii="Arial" w:eastAsia="Times New Roman" w:hAnsi="Arial" w:cs="Arial"/>
          <w:b/>
          <w:sz w:val="20"/>
          <w:szCs w:val="20"/>
          <w:lang w:val="tr-TR"/>
        </w:rPr>
      </w:pPr>
    </w:p>
    <w:p w14:paraId="3A378A08" w14:textId="77777777" w:rsidR="002C4FA8" w:rsidRPr="00EE1912" w:rsidRDefault="00EE1912" w:rsidP="009D647C">
      <w:pPr>
        <w:spacing w:after="120" w:line="360" w:lineRule="auto"/>
        <w:jc w:val="both"/>
        <w:outlineLvl w:val="0"/>
        <w:rPr>
          <w:rFonts w:ascii="Arial" w:eastAsia="Times New Roman" w:hAnsi="Arial" w:cs="Arial"/>
          <w:b/>
          <w:sz w:val="20"/>
          <w:szCs w:val="20"/>
          <w:lang w:val="tr-TR"/>
        </w:rPr>
      </w:pPr>
      <w:r>
        <w:rPr>
          <w:rFonts w:ascii="Arial" w:eastAsia="Times New Roman" w:hAnsi="Arial" w:cs="Arial"/>
          <w:b/>
          <w:sz w:val="20"/>
          <w:szCs w:val="20"/>
          <w:lang w:val="tr-TR"/>
        </w:rPr>
        <w:t>5.</w:t>
      </w:r>
      <w:r w:rsidR="002C4FA8" w:rsidRPr="00EE1912">
        <w:rPr>
          <w:rFonts w:ascii="Arial" w:eastAsia="Times New Roman" w:hAnsi="Arial" w:cs="Arial"/>
          <w:b/>
          <w:sz w:val="20"/>
          <w:szCs w:val="20"/>
          <w:lang w:val="tr-TR"/>
        </w:rPr>
        <w:t xml:space="preserve"> Tasarım Önerisinin Yenilik, Etki ve Ölçeklenebilirlik Potansiyeli</w:t>
      </w:r>
    </w:p>
    <w:p w14:paraId="7FB73197"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Geliştirilen modüler biyokompozit sistem, yalnızca bir mekânsal kurgu değil; alternatif bir üretim ve yapı yaklaşımı önermektedir. Tasarım, malzeme araştırması ile mekânsal organizasyonu bütünleştiren deneysel bir model sunmakta ve üç temel düzeyde yenilik ortaya koymaktadır: malzeme düzeyi, sistem düzeyi ve mimari yaklaşım düzeyi.</w:t>
      </w:r>
    </w:p>
    <w:p w14:paraId="31F66225" w14:textId="77777777" w:rsidR="002C4FA8" w:rsidRPr="00EE1912" w:rsidRDefault="00EE1912"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5.1.</w:t>
      </w:r>
      <w:r w:rsidR="002C4FA8" w:rsidRPr="00EE1912">
        <w:rPr>
          <w:rFonts w:ascii="Arial" w:eastAsia="Times New Roman" w:hAnsi="Arial" w:cs="Arial"/>
          <w:b/>
          <w:sz w:val="20"/>
          <w:szCs w:val="20"/>
          <w:lang w:val="tr-TR"/>
        </w:rPr>
        <w:t xml:space="preserve"> Yenilik Değeri (Innovation)</w:t>
      </w:r>
    </w:p>
    <w:p w14:paraId="541FFBAF"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Malzeme Düzeyinde Yenilik:</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Atık niteliğindeki yumurta kabuğunun doğal polimer bazlı bir bağlayıcı sistemle birleştirilmesi, düşük enerjili üretimle elde edilen biyokompozit bir yapı bileşeni ortaya koymaktadır. Bu yaklaşım, yer kabuğundan çıkarılan mineral esaslı yapı malzemelerine alternatif, döngüsel ve biyobozunur bir çözüm sunmaktadır.</w:t>
      </w:r>
    </w:p>
    <w:p w14:paraId="6A074509"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bCs/>
          <w:sz w:val="20"/>
          <w:szCs w:val="20"/>
          <w:u w:val="single"/>
          <w:lang w:val="tr-TR"/>
        </w:rPr>
        <w:t>Sistem Düzeyinde Yenilik:</w:t>
      </w:r>
      <w:r w:rsidR="00EE1912" w:rsidRPr="00EE1912">
        <w:rPr>
          <w:rFonts w:ascii="Arial" w:eastAsia="Times New Roman" w:hAnsi="Arial" w:cs="Arial"/>
          <w:sz w:val="20"/>
          <w:szCs w:val="20"/>
          <w:u w:val="single"/>
          <w:lang w:val="tr-TR"/>
        </w:rPr>
        <w:t xml:space="preserve"> </w:t>
      </w:r>
      <w:r w:rsidRPr="00EE1912">
        <w:rPr>
          <w:rFonts w:ascii="Arial" w:eastAsia="Times New Roman" w:hAnsi="Arial" w:cs="Arial"/>
          <w:sz w:val="20"/>
          <w:szCs w:val="20"/>
          <w:lang w:val="tr-TR"/>
        </w:rPr>
        <w:t>Önerilen modüler yapı sistemi, metal bağlantı elemanına ihtiyaç duymadan, yalnızca modüler çentik sistemiyle bir araya gelmektedir. Bu durum:</w:t>
      </w:r>
    </w:p>
    <w:p w14:paraId="33F049A8" w14:textId="77777777" w:rsidR="002C4FA8" w:rsidRPr="00EE1912" w:rsidRDefault="002C4FA8" w:rsidP="00EE1912">
      <w:pPr>
        <w:pStyle w:val="ListParagraph"/>
        <w:numPr>
          <w:ilvl w:val="0"/>
          <w:numId w:val="33"/>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Kurulum süresini azaltmakta,</w:t>
      </w:r>
    </w:p>
    <w:p w14:paraId="24466E47" w14:textId="77777777" w:rsidR="002C4FA8" w:rsidRPr="00EE1912" w:rsidRDefault="002C4FA8" w:rsidP="00EE1912">
      <w:pPr>
        <w:pStyle w:val="ListParagraph"/>
        <w:numPr>
          <w:ilvl w:val="0"/>
          <w:numId w:val="33"/>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Sökülebilirliği mümkün kılmakta,</w:t>
      </w:r>
    </w:p>
    <w:p w14:paraId="3D014EC5" w14:textId="77777777" w:rsidR="002C4FA8" w:rsidRPr="00EE1912" w:rsidRDefault="002C4FA8" w:rsidP="00EE1912">
      <w:pPr>
        <w:pStyle w:val="ListParagraph"/>
        <w:numPr>
          <w:ilvl w:val="0"/>
          <w:numId w:val="33"/>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Malzeme geri kazanımını kolaylaştırmaktadır.</w:t>
      </w:r>
    </w:p>
    <w:p w14:paraId="76379F26"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9D647C">
        <w:rPr>
          <w:rFonts w:ascii="Arial" w:eastAsia="Times New Roman" w:hAnsi="Arial" w:cs="Arial"/>
          <w:bCs/>
          <w:sz w:val="20"/>
          <w:szCs w:val="20"/>
          <w:u w:val="single"/>
          <w:lang w:val="tr-TR"/>
        </w:rPr>
        <w:t>Mekânsal Yaklaşım Düzeyinde Yenilik:</w:t>
      </w:r>
      <w:r w:rsidR="009D647C">
        <w:rPr>
          <w:rFonts w:ascii="Arial" w:eastAsia="Times New Roman" w:hAnsi="Arial" w:cs="Arial"/>
          <w:sz w:val="20"/>
          <w:szCs w:val="20"/>
          <w:lang w:val="tr-TR"/>
        </w:rPr>
        <w:t xml:space="preserve"> </w:t>
      </w:r>
      <w:r w:rsidRPr="00EE1912">
        <w:rPr>
          <w:rFonts w:ascii="Arial" w:eastAsia="Times New Roman" w:hAnsi="Arial" w:cs="Arial"/>
          <w:sz w:val="20"/>
          <w:szCs w:val="20"/>
          <w:lang w:val="tr-TR"/>
        </w:rPr>
        <w:t>Yapı, geçirgen kabuk sistemi olarak tasarlanmış; ışık, hava ve dolaşım ilişkisini modüler boşluklar üzerinden kurgulamıştır. Bu yaklaşım, kapalı yüzey mantığı yerine yarı geçirgen mekânsal organizasyon önermektedir.</w:t>
      </w:r>
    </w:p>
    <w:p w14:paraId="4EE16EDD" w14:textId="77777777" w:rsidR="002C4FA8" w:rsidRPr="009D647C" w:rsidRDefault="009D647C" w:rsidP="009D647C">
      <w:pPr>
        <w:spacing w:after="120" w:line="360" w:lineRule="auto"/>
        <w:jc w:val="both"/>
        <w:outlineLvl w:val="0"/>
        <w:rPr>
          <w:rFonts w:ascii="Arial" w:eastAsia="Times New Roman" w:hAnsi="Arial" w:cs="Arial"/>
          <w:b/>
          <w:sz w:val="20"/>
          <w:szCs w:val="20"/>
          <w:lang w:val="tr-TR"/>
        </w:rPr>
      </w:pPr>
      <w:r w:rsidRPr="009D647C">
        <w:rPr>
          <w:rFonts w:ascii="Arial" w:eastAsia="Times New Roman" w:hAnsi="Arial" w:cs="Arial"/>
          <w:b/>
          <w:sz w:val="20"/>
          <w:szCs w:val="20"/>
          <w:lang w:val="tr-TR"/>
        </w:rPr>
        <w:t>5.</w:t>
      </w:r>
      <w:r w:rsidR="002C4FA8" w:rsidRPr="009D647C">
        <w:rPr>
          <w:rFonts w:ascii="Arial" w:eastAsia="Times New Roman" w:hAnsi="Arial" w:cs="Arial"/>
          <w:b/>
          <w:sz w:val="20"/>
          <w:szCs w:val="20"/>
          <w:lang w:val="tr-TR"/>
        </w:rPr>
        <w:t>2. Etki Potansiyeli (Impact)</w:t>
      </w:r>
    </w:p>
    <w:p w14:paraId="3966EA14"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tasarım önerisi aşağıdaki alanlarda somut etki üretme potansiyeline sahiptir:</w:t>
      </w:r>
    </w:p>
    <w:p w14:paraId="3C2EDA48" w14:textId="77777777" w:rsidR="009D647C" w:rsidRPr="009D647C" w:rsidRDefault="002C4FA8" w:rsidP="009D647C">
      <w:pPr>
        <w:spacing w:after="120" w:line="360" w:lineRule="auto"/>
        <w:jc w:val="both"/>
        <w:outlineLvl w:val="0"/>
        <w:rPr>
          <w:rFonts w:ascii="Arial" w:eastAsia="Times New Roman" w:hAnsi="Arial" w:cs="Arial"/>
          <w:sz w:val="20"/>
          <w:szCs w:val="20"/>
          <w:u w:val="single"/>
          <w:lang w:val="tr-TR"/>
        </w:rPr>
      </w:pPr>
      <w:r w:rsidRPr="009D647C">
        <w:rPr>
          <w:rFonts w:ascii="Arial" w:eastAsia="Times New Roman" w:hAnsi="Arial" w:cs="Arial"/>
          <w:sz w:val="20"/>
          <w:szCs w:val="20"/>
          <w:u w:val="single"/>
          <w:lang w:val="tr-TR"/>
        </w:rPr>
        <w:t>Çevresel Etki</w:t>
      </w:r>
      <w:r w:rsidR="009D647C" w:rsidRPr="009D647C">
        <w:rPr>
          <w:rFonts w:ascii="Arial" w:eastAsia="Times New Roman" w:hAnsi="Arial" w:cs="Arial"/>
          <w:sz w:val="20"/>
          <w:szCs w:val="20"/>
          <w:u w:val="single"/>
          <w:lang w:val="tr-TR"/>
        </w:rPr>
        <w:t xml:space="preserve">: </w:t>
      </w:r>
    </w:p>
    <w:p w14:paraId="6C78CDE7" w14:textId="77777777" w:rsidR="002C4FA8" w:rsidRPr="00EE1912" w:rsidRDefault="002C4FA8" w:rsidP="009D647C">
      <w:pPr>
        <w:spacing w:after="120" w:line="360" w:lineRule="auto"/>
        <w:jc w:val="both"/>
        <w:outlineLvl w:val="0"/>
        <w:rPr>
          <w:rFonts w:ascii="Arial" w:eastAsia="Times New Roman" w:hAnsi="Arial" w:cs="Arial"/>
          <w:sz w:val="20"/>
          <w:szCs w:val="20"/>
          <w:lang w:val="tr-TR"/>
        </w:rPr>
      </w:pPr>
      <w:r w:rsidRPr="00EE1912">
        <w:rPr>
          <w:rFonts w:ascii="Arial" w:eastAsia="Times New Roman" w:hAnsi="Arial" w:cs="Arial"/>
          <w:sz w:val="20"/>
          <w:szCs w:val="20"/>
          <w:lang w:val="tr-TR"/>
        </w:rPr>
        <w:t>Atık biyolojik materyalin (yumurta kabuğu) yeniden değerlendirilmesi</w:t>
      </w:r>
    </w:p>
    <w:p w14:paraId="717FF746"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Düşük sıcaklıkta üretim sayesinde enerji tüketiminin azaltılması</w:t>
      </w:r>
    </w:p>
    <w:p w14:paraId="553E290C"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Yaşam döngüsü sonunda biyobozunur yapı</w:t>
      </w:r>
    </w:p>
    <w:p w14:paraId="4CB98B7F"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Döngüsel ekonomi ilkeleriyle uyumlu modüler sistem</w:t>
      </w:r>
    </w:p>
    <w:p w14:paraId="052974B0"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yönüyle proje, yapı sektörünün karbon yoğun üretim modeline alternatif bir malzeme–sistem yaklaşımı sunmaktadır.</w:t>
      </w:r>
    </w:p>
    <w:p w14:paraId="226E267B" w14:textId="77777777" w:rsidR="002C4FA8" w:rsidRPr="009D647C" w:rsidRDefault="002C4FA8" w:rsidP="009D647C">
      <w:pPr>
        <w:spacing w:after="120" w:line="360" w:lineRule="auto"/>
        <w:jc w:val="both"/>
        <w:outlineLvl w:val="0"/>
        <w:rPr>
          <w:rFonts w:ascii="Arial" w:eastAsia="Times New Roman" w:hAnsi="Arial" w:cs="Arial"/>
          <w:sz w:val="20"/>
          <w:szCs w:val="20"/>
          <w:u w:val="single"/>
          <w:lang w:val="tr-TR"/>
        </w:rPr>
      </w:pPr>
      <w:r w:rsidRPr="009D647C">
        <w:rPr>
          <w:rFonts w:ascii="Arial" w:eastAsia="Times New Roman" w:hAnsi="Arial" w:cs="Arial"/>
          <w:sz w:val="20"/>
          <w:szCs w:val="20"/>
          <w:u w:val="single"/>
          <w:lang w:val="tr-TR"/>
        </w:rPr>
        <w:t>Sosyal ve Kamusal Etki</w:t>
      </w:r>
    </w:p>
    <w:p w14:paraId="76C70C67"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Modüler ve geçirgen yapı sistemi:</w:t>
      </w:r>
    </w:p>
    <w:p w14:paraId="4D33D5CF"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Geçici kamusal etkinlik alanları,</w:t>
      </w:r>
    </w:p>
    <w:p w14:paraId="589E52EB"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Sergi mekânları,</w:t>
      </w:r>
    </w:p>
    <w:p w14:paraId="4CDFF0B7"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Eğitim ortamları,</w:t>
      </w:r>
    </w:p>
    <w:p w14:paraId="4622732C"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Afet sonrası geçici yapılar</w:t>
      </w:r>
    </w:p>
    <w:p w14:paraId="32A93EE5"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gibi alanlarda hızlı kurulabilir ve yeniden yapılandırılabilir mekânsal çözümler sunmaktadır.</w:t>
      </w:r>
    </w:p>
    <w:p w14:paraId="21DE9DDA"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İnsan ölçeğiyle kurulan doğrudan ilişki, sistemin kamusal kullanım senaryolarına uygunluğunu güçlendirmektedir.</w:t>
      </w:r>
    </w:p>
    <w:p w14:paraId="745A72AF" w14:textId="77777777" w:rsidR="002C4FA8" w:rsidRPr="009D647C" w:rsidRDefault="002C4FA8" w:rsidP="009D647C">
      <w:pPr>
        <w:spacing w:after="120" w:line="360" w:lineRule="auto"/>
        <w:jc w:val="both"/>
        <w:outlineLvl w:val="0"/>
        <w:rPr>
          <w:rFonts w:ascii="Arial" w:eastAsia="Times New Roman" w:hAnsi="Arial" w:cs="Arial"/>
          <w:sz w:val="20"/>
          <w:szCs w:val="20"/>
          <w:u w:val="single"/>
          <w:lang w:val="tr-TR"/>
        </w:rPr>
      </w:pPr>
      <w:r w:rsidRPr="009D647C">
        <w:rPr>
          <w:rFonts w:ascii="Arial" w:eastAsia="Times New Roman" w:hAnsi="Arial" w:cs="Arial"/>
          <w:sz w:val="20"/>
          <w:szCs w:val="20"/>
          <w:u w:val="single"/>
          <w:lang w:val="tr-TR"/>
        </w:rPr>
        <w:t>Akademik ve Araştırma Etkisi</w:t>
      </w:r>
    </w:p>
    <w:p w14:paraId="4CEE9025"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Sistem, yalnızca tasarım önerisi değil; nicel bağlantısallık verileri ve modüler dağılım analizi ile ölçülebilir bir dirençlilik modeline dayanmaktadır. 377 modülün farklı bağlantı kombinasyonları, sistemin çeşitlilik ve bağlantısallık kapasitesini ortaya koyan veri seti üretmektedir.</w:t>
      </w:r>
      <w:r w:rsidR="009D647C">
        <w:rPr>
          <w:rFonts w:ascii="Arial" w:eastAsia="Times New Roman" w:hAnsi="Arial" w:cs="Arial"/>
          <w:sz w:val="20"/>
          <w:szCs w:val="20"/>
          <w:lang w:val="tr-TR"/>
        </w:rPr>
        <w:t xml:space="preserve"> </w:t>
      </w:r>
      <w:r w:rsidR="009D647C" w:rsidRPr="009D647C">
        <w:rPr>
          <w:rFonts w:ascii="Arial" w:eastAsia="Times New Roman" w:hAnsi="Arial" w:cs="Arial"/>
          <w:sz w:val="20"/>
          <w:szCs w:val="20"/>
          <w:lang w:val="tr-TR"/>
        </w:rPr>
        <w:t>Açık kaynak üretim rehberi, bilimsel yayınlar ve kamusal sergilemeler yoluyla bilgini</w:t>
      </w:r>
      <w:r w:rsidR="009D647C">
        <w:rPr>
          <w:rFonts w:ascii="Arial" w:eastAsia="Times New Roman" w:hAnsi="Arial" w:cs="Arial"/>
          <w:sz w:val="20"/>
          <w:szCs w:val="20"/>
          <w:lang w:val="tr-TR"/>
        </w:rPr>
        <w:t>n yaygınlaştırılmasını sağlar.</w:t>
      </w:r>
    </w:p>
    <w:p w14:paraId="771CBCEC" w14:textId="77777777" w:rsidR="002C4FA8" w:rsidRPr="009D647C" w:rsidRDefault="009D647C" w:rsidP="009D647C">
      <w:pPr>
        <w:spacing w:after="120" w:line="360" w:lineRule="auto"/>
        <w:jc w:val="both"/>
        <w:outlineLvl w:val="0"/>
        <w:rPr>
          <w:rFonts w:ascii="Arial" w:eastAsia="Times New Roman" w:hAnsi="Arial" w:cs="Arial"/>
          <w:b/>
          <w:sz w:val="20"/>
          <w:szCs w:val="20"/>
          <w:lang w:val="tr-TR"/>
        </w:rPr>
      </w:pPr>
      <w:r w:rsidRPr="009D647C">
        <w:rPr>
          <w:rFonts w:ascii="Arial" w:eastAsia="Times New Roman" w:hAnsi="Arial" w:cs="Arial"/>
          <w:b/>
          <w:sz w:val="20"/>
          <w:szCs w:val="20"/>
          <w:lang w:val="tr-TR"/>
        </w:rPr>
        <w:t>5.3. Ölçeklenebilirlik Potansiyeli (Scalability)</w:t>
      </w:r>
    </w:p>
    <w:p w14:paraId="24888FA4" w14:textId="77777777" w:rsidR="002C4FA8" w:rsidRPr="009D647C" w:rsidRDefault="002C4FA8" w:rsidP="009D647C">
      <w:pPr>
        <w:spacing w:after="120" w:line="360" w:lineRule="auto"/>
        <w:jc w:val="both"/>
        <w:rPr>
          <w:rFonts w:ascii="Arial" w:eastAsia="Times New Roman" w:hAnsi="Arial" w:cs="Arial"/>
          <w:sz w:val="20"/>
          <w:szCs w:val="20"/>
          <w:lang w:val="tr-TR"/>
        </w:rPr>
      </w:pPr>
      <w:r w:rsidRPr="009D647C">
        <w:rPr>
          <w:rFonts w:ascii="Arial" w:eastAsia="Times New Roman" w:hAnsi="Arial" w:cs="Arial"/>
          <w:sz w:val="20"/>
          <w:szCs w:val="20"/>
          <w:lang w:val="tr-TR"/>
        </w:rPr>
        <w:t>Modüllerin standart ölçü ve geometriye sahip olması, üretimin tekrarlanabilirliğini artırmaktadır. Sistem:</w:t>
      </w:r>
    </w:p>
    <w:p w14:paraId="25FB3B41" w14:textId="77777777" w:rsidR="002C4FA8" w:rsidRPr="00EE1912" w:rsidRDefault="002C4FA8" w:rsidP="00EE1912">
      <w:pPr>
        <w:pStyle w:val="ListParagraph"/>
        <w:numPr>
          <w:ilvl w:val="0"/>
          <w:numId w:val="34"/>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Farklı mekânsal ölçeklere uyarlanabilir,</w:t>
      </w:r>
    </w:p>
    <w:p w14:paraId="321CFAB1" w14:textId="77777777" w:rsidR="002C4FA8" w:rsidRPr="00EE1912" w:rsidRDefault="002C4FA8" w:rsidP="00EE1912">
      <w:pPr>
        <w:pStyle w:val="ListParagraph"/>
        <w:numPr>
          <w:ilvl w:val="0"/>
          <w:numId w:val="34"/>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Parça bazlı üretim sayesinde lokal üretime uygundur,</w:t>
      </w:r>
    </w:p>
    <w:p w14:paraId="1CCA161E" w14:textId="77777777" w:rsidR="002C4FA8" w:rsidRPr="00EE1912" w:rsidRDefault="002C4FA8" w:rsidP="00EE1912">
      <w:pPr>
        <w:pStyle w:val="ListParagraph"/>
        <w:numPr>
          <w:ilvl w:val="0"/>
          <w:numId w:val="34"/>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Hasarlı modüller tekil olarak değiştirilebilir,</w:t>
      </w:r>
    </w:p>
    <w:p w14:paraId="0FBF511F" w14:textId="77777777" w:rsidR="002C4FA8" w:rsidRPr="00EE1912" w:rsidRDefault="002C4FA8" w:rsidP="00EE1912">
      <w:pPr>
        <w:pStyle w:val="ListParagraph"/>
        <w:numPr>
          <w:ilvl w:val="0"/>
          <w:numId w:val="34"/>
        </w:num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Farklı kombinasyonlarla yeniden kurgulanabilir.</w:t>
      </w:r>
    </w:p>
    <w:p w14:paraId="3997CC08"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özellikler, sistemi yalnızca tekil bir tasarım değil; farklı bağlamlara adapte edilebilir bir sistem önerisine dönüştürmektedir.</w:t>
      </w:r>
    </w:p>
    <w:p w14:paraId="0F7B2A79"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Ayrıca üretim sürecinin düşük teknolojiye dayanması, yerel üretim kapasitesi olan bölgelerde uygulanabilirliğini artırmaktadır. Bu durum özellikle gelişmekte olan bölgelerde sürdürülebilir yapı çözümleri açısından önemli bir potansiyel taşımaktadır.</w:t>
      </w:r>
    </w:p>
    <w:p w14:paraId="03191617" w14:textId="77777777" w:rsidR="00EE1912" w:rsidRDefault="00EE1912" w:rsidP="00EE1912">
      <w:pPr>
        <w:spacing w:after="120" w:line="360" w:lineRule="auto"/>
        <w:jc w:val="both"/>
        <w:rPr>
          <w:rFonts w:ascii="Arial" w:eastAsia="Times New Roman" w:hAnsi="Arial" w:cs="Arial"/>
          <w:sz w:val="20"/>
          <w:szCs w:val="20"/>
          <w:lang w:val="tr-TR"/>
        </w:rPr>
      </w:pPr>
    </w:p>
    <w:p w14:paraId="74711152" w14:textId="77777777" w:rsidR="002C4FA8" w:rsidRDefault="00EE1912"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 xml:space="preserve">6. </w:t>
      </w:r>
      <w:r w:rsidR="002C4FA8" w:rsidRPr="00EE1912">
        <w:rPr>
          <w:rFonts w:ascii="Arial" w:eastAsia="Times New Roman" w:hAnsi="Arial" w:cs="Arial"/>
          <w:b/>
          <w:sz w:val="20"/>
          <w:szCs w:val="20"/>
          <w:lang w:val="tr-TR"/>
        </w:rPr>
        <w:t>Sonuç</w:t>
      </w:r>
    </w:p>
    <w:p w14:paraId="30B273FF" w14:textId="77777777" w:rsidR="009D647C" w:rsidRPr="009D647C" w:rsidRDefault="009D647C" w:rsidP="009D647C">
      <w:pPr>
        <w:spacing w:after="120" w:line="360" w:lineRule="auto"/>
        <w:jc w:val="both"/>
        <w:rPr>
          <w:rFonts w:ascii="Arial" w:eastAsia="Times New Roman" w:hAnsi="Arial" w:cs="Arial"/>
          <w:sz w:val="20"/>
          <w:szCs w:val="20"/>
          <w:lang w:val="tr-TR"/>
        </w:rPr>
      </w:pPr>
      <w:r>
        <w:rPr>
          <w:rFonts w:ascii="Arial" w:eastAsia="Times New Roman" w:hAnsi="Arial" w:cs="Arial"/>
          <w:sz w:val="20"/>
          <w:szCs w:val="20"/>
          <w:lang w:val="tr-TR"/>
        </w:rPr>
        <w:t>Bu</w:t>
      </w:r>
      <w:r w:rsidRPr="009D647C">
        <w:rPr>
          <w:rFonts w:ascii="Arial" w:eastAsia="Times New Roman" w:hAnsi="Arial" w:cs="Arial"/>
          <w:sz w:val="20"/>
          <w:szCs w:val="20"/>
          <w:lang w:val="tr-TR"/>
        </w:rPr>
        <w:t xml:space="preserve"> proje, biyoloji temelli tasarım ve biyofabrikasyon prensiplerine dayanan, atık biyolojik içeriklerden geliştirilen düşük karbonlu bir yapı malzemesi ve bu malzeme ile üretilmiş modüler bir mekânsal sistem önermektedir. Çalışma, antroposantrik üretim modellerinin çevresel etkilerine alternatif olarak, döngüsel ekonomi ve postantroposantrik tasarım yaklaşımı doğrultusunda geliştirilmiştir.</w:t>
      </w:r>
    </w:p>
    <w:p w14:paraId="4918DC1F" w14:textId="77777777" w:rsidR="009D647C" w:rsidRPr="009D647C" w:rsidRDefault="009D647C" w:rsidP="009D647C">
      <w:pPr>
        <w:spacing w:after="120" w:line="360" w:lineRule="auto"/>
        <w:jc w:val="both"/>
        <w:rPr>
          <w:rFonts w:ascii="Arial" w:eastAsia="Times New Roman" w:hAnsi="Arial" w:cs="Arial"/>
          <w:sz w:val="20"/>
          <w:szCs w:val="20"/>
          <w:lang w:val="tr-TR"/>
        </w:rPr>
      </w:pPr>
      <w:r w:rsidRPr="009D647C">
        <w:rPr>
          <w:rFonts w:ascii="Arial" w:eastAsia="Times New Roman" w:hAnsi="Arial" w:cs="Arial"/>
          <w:sz w:val="20"/>
          <w:szCs w:val="20"/>
          <w:lang w:val="tr-TR"/>
        </w:rPr>
        <w:t>Proje kapsamında, yüksek oranda kalsiyum karbonat içeren atık yumurta kabuğu, doğal polimer bazlı bir bağlayıcı sistem (agar agar ve gliserin) ile birleştirilerek biyokompozit bir malzeme geliştirilmiştir. Malzeme, düşük enerji gerektiren üretim süreciyle elde edilmekte; biyobozunur ve yerel ölçekte üretilebilir özellik göstermektedir. Gerçekleştirilen mekanik testler sonucunda malzeme yaklaşık 4 MPa basınç dayanımı sergilemiş; esneklik–dayanım dengesi optimize edilmiştir. Bu değerler, malzemeyi biyolojik temelli kompozitler arasında yüksek performans kategorisine yerleştirmektedir.</w:t>
      </w:r>
    </w:p>
    <w:p w14:paraId="59C16CF9" w14:textId="77777777" w:rsidR="009D647C" w:rsidRPr="009D647C" w:rsidRDefault="009D647C" w:rsidP="009D647C">
      <w:pPr>
        <w:spacing w:after="120" w:line="360" w:lineRule="auto"/>
        <w:jc w:val="both"/>
        <w:rPr>
          <w:rFonts w:ascii="Arial" w:eastAsia="Times New Roman" w:hAnsi="Arial" w:cs="Arial"/>
          <w:sz w:val="20"/>
          <w:szCs w:val="20"/>
          <w:lang w:val="tr-TR"/>
        </w:rPr>
      </w:pPr>
      <w:r w:rsidRPr="009D647C">
        <w:rPr>
          <w:rFonts w:ascii="Arial" w:eastAsia="Times New Roman" w:hAnsi="Arial" w:cs="Arial"/>
          <w:sz w:val="20"/>
          <w:szCs w:val="20"/>
          <w:lang w:val="tr-TR"/>
        </w:rPr>
        <w:t>Geliştirilen biyokompozit, tam ölçekli bir modüler mekânsal sistemde uygulanmıştır. Sistem, farklı bağlantı kombinasyonları sayesinde hem yapısal süreklilik hem de esneklik sağlamaktadır. Modüllerin hiçbirinin tek bağlantı noktasına sahip olmaması, yapının dayanıklılık ve bağlantısallık kapasitesini güçlendirmektedir.</w:t>
      </w:r>
    </w:p>
    <w:p w14:paraId="6C7E72E2" w14:textId="77777777" w:rsidR="009D647C" w:rsidRPr="009D647C" w:rsidRDefault="009D647C" w:rsidP="009D647C">
      <w:pPr>
        <w:spacing w:after="120" w:line="360" w:lineRule="auto"/>
        <w:jc w:val="both"/>
        <w:rPr>
          <w:rFonts w:ascii="Arial" w:eastAsia="Times New Roman" w:hAnsi="Arial" w:cs="Arial"/>
          <w:sz w:val="20"/>
          <w:szCs w:val="20"/>
          <w:lang w:val="tr-TR"/>
        </w:rPr>
      </w:pPr>
      <w:r w:rsidRPr="009D647C">
        <w:rPr>
          <w:rFonts w:ascii="Arial" w:eastAsia="Times New Roman" w:hAnsi="Arial" w:cs="Arial"/>
          <w:sz w:val="20"/>
          <w:szCs w:val="20"/>
          <w:lang w:val="tr-TR"/>
        </w:rPr>
        <w:t>Önerilen sistem, metal bağlantı gerektirmeyen, sökülebilir ve yeniden yapılandırılabilir bir kurguya sahiptir. Bu özellik, geçici mimarlık uygulamaları, sergi yapıları, kamusal etkinlik mekânları ve esnek iç mekân çözümleri için ölçeklenebilir bir model sunmaktadır.</w:t>
      </w:r>
    </w:p>
    <w:p w14:paraId="4A0A2D8E"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Önerilen biyokompozit modüler sistem, sürdürülebilir malzeme araştırmasını mekânsal bir prototipe dönüştüren bütüncül bir tasarım yaklaşımıdır. Proje, atık biyolojik materyalin yeniden değerlendirilmesini, düşük karbonlu üretim modelini ve uyarlanabilir mekânsal sistemleri bir araya getirmektedir.</w:t>
      </w:r>
    </w:p>
    <w:p w14:paraId="03827855" w14:textId="77777777" w:rsidR="009D647C" w:rsidRPr="009D647C" w:rsidRDefault="009D647C" w:rsidP="009D647C">
      <w:pPr>
        <w:spacing w:after="120" w:line="360" w:lineRule="auto"/>
        <w:jc w:val="both"/>
        <w:rPr>
          <w:rFonts w:ascii="Arial" w:eastAsia="Times New Roman" w:hAnsi="Arial" w:cs="Arial"/>
          <w:sz w:val="20"/>
          <w:szCs w:val="20"/>
          <w:lang w:val="tr-TR"/>
        </w:rPr>
      </w:pPr>
      <w:r w:rsidRPr="009D647C">
        <w:rPr>
          <w:rFonts w:ascii="Arial" w:eastAsia="Times New Roman" w:hAnsi="Arial" w:cs="Arial"/>
          <w:sz w:val="20"/>
          <w:szCs w:val="20"/>
          <w:lang w:val="tr-TR"/>
        </w:rPr>
        <w:t>P</w:t>
      </w:r>
      <w:r>
        <w:rPr>
          <w:rFonts w:ascii="Arial" w:eastAsia="Times New Roman" w:hAnsi="Arial" w:cs="Arial"/>
          <w:sz w:val="20"/>
          <w:szCs w:val="20"/>
          <w:lang w:val="tr-TR"/>
        </w:rPr>
        <w:t>roje, yalnızca bir malzeme veya tasarım önerisi</w:t>
      </w:r>
      <w:r w:rsidRPr="009D647C">
        <w:rPr>
          <w:rFonts w:ascii="Arial" w:eastAsia="Times New Roman" w:hAnsi="Arial" w:cs="Arial"/>
          <w:sz w:val="20"/>
          <w:szCs w:val="20"/>
          <w:lang w:val="tr-TR"/>
        </w:rPr>
        <w:t xml:space="preserve"> değil; malzeme, modül ve mekân ilişkisini dirençlilik kuramı çerçevesinde yeniden düşünen bütüncül bir tasarım araştırmasıdır. Ölçeklenebilir üretim modeli, açık kaynaklı paylaşım potansiyeli ve kamusal uygulama kapasitesi sayesinde, proje çıktılarının fon süresi sonrasında da etkisini sürdürmesi hedeflenmektedir.</w:t>
      </w:r>
    </w:p>
    <w:p w14:paraId="3F4EFCE4" w14:textId="77777777" w:rsidR="009D647C" w:rsidRPr="009D647C" w:rsidRDefault="009D647C" w:rsidP="009D647C">
      <w:pPr>
        <w:spacing w:after="120" w:line="360" w:lineRule="auto"/>
        <w:jc w:val="both"/>
        <w:rPr>
          <w:rFonts w:ascii="Arial" w:eastAsia="Times New Roman" w:hAnsi="Arial" w:cs="Arial"/>
          <w:sz w:val="20"/>
          <w:szCs w:val="20"/>
          <w:lang w:val="tr-TR"/>
        </w:rPr>
      </w:pPr>
    </w:p>
    <w:p w14:paraId="54489084" w14:textId="77777777" w:rsidR="009D647C" w:rsidRPr="00EE1912" w:rsidRDefault="009D647C" w:rsidP="00EE1912">
      <w:pPr>
        <w:spacing w:after="120" w:line="360" w:lineRule="auto"/>
        <w:jc w:val="both"/>
        <w:rPr>
          <w:rFonts w:ascii="Arial" w:eastAsia="Times New Roman" w:hAnsi="Arial" w:cs="Arial"/>
          <w:sz w:val="20"/>
          <w:szCs w:val="20"/>
          <w:lang w:val="tr-TR"/>
        </w:rPr>
      </w:pPr>
      <w:r w:rsidRPr="009D647C">
        <w:rPr>
          <w:rFonts w:ascii="Arial" w:eastAsia="Times New Roman" w:hAnsi="Arial" w:cs="Arial"/>
          <w:sz w:val="20"/>
          <w:szCs w:val="20"/>
          <w:lang w:val="tr-TR"/>
        </w:rPr>
        <w:t>Sonuç olarak bu çalışma, biyoloji temelli malzeme araştırmasını mimari sistem üretimiyle entegre ederek, düşük karbonlu, modüler ve uyarlanabilir yapı çözümleri geliştirme yönünde deneysel fakat uygulanabilir bir model ortaya koymaktadır. Bu yönüyle proje, sürdürülebilir yapı malzemeleri ve dirençli mekânsal sistemler alanında yenilikçi ve çoğaltılabilir bir yaklaşım sunmaktadır.</w:t>
      </w:r>
    </w:p>
    <w:p w14:paraId="7EDD020C" w14:textId="77777777" w:rsidR="002C4FA8" w:rsidRPr="00EE1912" w:rsidRDefault="00EE1912" w:rsidP="009D647C">
      <w:pPr>
        <w:spacing w:after="120" w:line="360" w:lineRule="auto"/>
        <w:jc w:val="both"/>
        <w:outlineLvl w:val="0"/>
        <w:rPr>
          <w:rFonts w:ascii="Arial" w:eastAsia="Times New Roman" w:hAnsi="Arial" w:cs="Arial"/>
          <w:b/>
          <w:sz w:val="20"/>
          <w:szCs w:val="20"/>
          <w:lang w:val="tr-TR"/>
        </w:rPr>
      </w:pPr>
      <w:r w:rsidRPr="00EE1912">
        <w:rPr>
          <w:rFonts w:ascii="Arial" w:eastAsia="Times New Roman" w:hAnsi="Arial" w:cs="Arial"/>
          <w:b/>
          <w:sz w:val="20"/>
          <w:szCs w:val="20"/>
          <w:lang w:val="tr-TR"/>
        </w:rPr>
        <w:t xml:space="preserve">6.1. </w:t>
      </w:r>
      <w:r w:rsidR="002C4FA8" w:rsidRPr="00EE1912">
        <w:rPr>
          <w:rFonts w:ascii="Arial" w:eastAsia="Times New Roman" w:hAnsi="Arial" w:cs="Arial"/>
          <w:b/>
          <w:sz w:val="20"/>
          <w:szCs w:val="20"/>
          <w:lang w:val="tr-TR"/>
        </w:rPr>
        <w:t xml:space="preserve"> Uzun Vadeli Etki</w:t>
      </w:r>
    </w:p>
    <w:p w14:paraId="7FA48E5A"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Proje tamamlandıktan sonra hedeflenen uzun vadeli etkiler şunlardır:</w:t>
      </w:r>
    </w:p>
    <w:p w14:paraId="66F6069B" w14:textId="77777777" w:rsidR="002C4FA8" w:rsidRPr="00EE1912" w:rsidRDefault="002C4FA8" w:rsidP="009D647C">
      <w:pPr>
        <w:spacing w:after="120" w:line="360" w:lineRule="auto"/>
        <w:jc w:val="both"/>
        <w:outlineLvl w:val="0"/>
        <w:rPr>
          <w:rFonts w:ascii="Arial" w:eastAsia="Times New Roman" w:hAnsi="Arial" w:cs="Arial"/>
          <w:sz w:val="20"/>
          <w:szCs w:val="20"/>
          <w:lang w:val="tr-TR"/>
        </w:rPr>
      </w:pPr>
      <w:r w:rsidRPr="00EE1912">
        <w:rPr>
          <w:rFonts w:ascii="Arial" w:eastAsia="Times New Roman" w:hAnsi="Arial" w:cs="Arial"/>
          <w:sz w:val="20"/>
          <w:szCs w:val="20"/>
          <w:lang w:val="tr-TR"/>
        </w:rPr>
        <w:t>Biyoloji temelli yapı malzemelerine ilişkin veri tabanı oluşturulması</w:t>
      </w:r>
    </w:p>
    <w:p w14:paraId="07686884"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Düşük karbonlu geçici yapı sistemleri için örnek model geliştirilmesi</w:t>
      </w:r>
    </w:p>
    <w:p w14:paraId="4B7E3B43" w14:textId="77777777" w:rsidR="002C4FA8" w:rsidRPr="00EE1912" w:rsidRDefault="002C4FA8" w:rsidP="009D647C">
      <w:pPr>
        <w:spacing w:after="120" w:line="360" w:lineRule="auto"/>
        <w:jc w:val="both"/>
        <w:outlineLvl w:val="0"/>
        <w:rPr>
          <w:rFonts w:ascii="Arial" w:eastAsia="Times New Roman" w:hAnsi="Arial" w:cs="Arial"/>
          <w:sz w:val="20"/>
          <w:szCs w:val="20"/>
          <w:lang w:val="tr-TR"/>
        </w:rPr>
      </w:pPr>
      <w:r w:rsidRPr="00EE1912">
        <w:rPr>
          <w:rFonts w:ascii="Arial" w:eastAsia="Times New Roman" w:hAnsi="Arial" w:cs="Arial"/>
          <w:sz w:val="20"/>
          <w:szCs w:val="20"/>
          <w:lang w:val="tr-TR"/>
        </w:rPr>
        <w:t>Yerel atıkların yapı malzemesine dönüştürülmesine yönelik farkındalık yaratılması</w:t>
      </w:r>
    </w:p>
    <w:p w14:paraId="44B452BB"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Tasarım disiplininde postantroposantrik üretim anlayışının güçlendirilmesi</w:t>
      </w:r>
    </w:p>
    <w:p w14:paraId="54D69E28" w14:textId="77777777" w:rsidR="002C4FA8" w:rsidRPr="00EE1912" w:rsidRDefault="002C4FA8" w:rsidP="00EE1912">
      <w:pPr>
        <w:spacing w:after="120" w:line="360" w:lineRule="auto"/>
        <w:jc w:val="both"/>
        <w:rPr>
          <w:rFonts w:ascii="Arial" w:eastAsia="Times New Roman" w:hAnsi="Arial" w:cs="Arial"/>
          <w:sz w:val="20"/>
          <w:szCs w:val="20"/>
          <w:lang w:val="tr-TR"/>
        </w:rPr>
      </w:pPr>
      <w:r w:rsidRPr="00EE1912">
        <w:rPr>
          <w:rFonts w:ascii="Arial" w:eastAsia="Times New Roman" w:hAnsi="Arial" w:cs="Arial"/>
          <w:sz w:val="20"/>
          <w:szCs w:val="20"/>
          <w:lang w:val="tr-TR"/>
        </w:rPr>
        <w:t>Bu yönüyle proje, yalnızca bir malzeme geliştirme çalışması değil; alternatif bir yapı üretim kültürüne katkı sunmayı amaçlamaktadır.</w:t>
      </w:r>
    </w:p>
    <w:p w14:paraId="487E56A6" w14:textId="77777777" w:rsidR="001F04A8" w:rsidRPr="00EE1912" w:rsidRDefault="001F04A8" w:rsidP="00EE1912">
      <w:pPr>
        <w:spacing w:after="120" w:line="360" w:lineRule="auto"/>
        <w:jc w:val="both"/>
        <w:rPr>
          <w:rFonts w:ascii="Arial" w:eastAsia="Times New Roman" w:hAnsi="Arial" w:cs="Arial"/>
          <w:sz w:val="20"/>
          <w:szCs w:val="20"/>
          <w:lang w:val="tr-TR"/>
        </w:rPr>
      </w:pPr>
    </w:p>
    <w:p w14:paraId="31CEEA48" w14:textId="77777777" w:rsidR="001F04A8" w:rsidRPr="001F04A8" w:rsidRDefault="001F04A8" w:rsidP="00EE1912">
      <w:pPr>
        <w:spacing w:after="120" w:line="360" w:lineRule="auto"/>
        <w:jc w:val="both"/>
        <w:rPr>
          <w:rFonts w:ascii="Arial" w:eastAsia="Times New Roman" w:hAnsi="Arial" w:cs="Arial"/>
          <w:sz w:val="20"/>
          <w:szCs w:val="20"/>
          <w:lang w:val="tr-TR"/>
        </w:rPr>
      </w:pPr>
    </w:p>
    <w:p w14:paraId="69FEAD09" w14:textId="77777777" w:rsidR="00EC1CED" w:rsidRPr="001F04A8" w:rsidRDefault="00EC1CED" w:rsidP="00EE1912">
      <w:pPr>
        <w:spacing w:after="120" w:line="360" w:lineRule="auto"/>
        <w:jc w:val="both"/>
        <w:rPr>
          <w:rFonts w:ascii="Arial" w:hAnsi="Arial" w:cs="Arial"/>
          <w:lang w:val="tr-TR"/>
        </w:rPr>
      </w:pPr>
    </w:p>
    <w:sectPr w:rsidR="00EC1CED" w:rsidRPr="001F04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3EE3"/>
    <w:multiLevelType w:val="multilevel"/>
    <w:tmpl w:val="828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8F7AB4"/>
    <w:multiLevelType w:val="hybridMultilevel"/>
    <w:tmpl w:val="2AB2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74980"/>
    <w:multiLevelType w:val="multilevel"/>
    <w:tmpl w:val="F8D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6408E"/>
    <w:multiLevelType w:val="multilevel"/>
    <w:tmpl w:val="70B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9F18A3"/>
    <w:multiLevelType w:val="multilevel"/>
    <w:tmpl w:val="D09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BA662A"/>
    <w:multiLevelType w:val="multilevel"/>
    <w:tmpl w:val="28B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BA6077"/>
    <w:multiLevelType w:val="multilevel"/>
    <w:tmpl w:val="E99CCB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1F1D66"/>
    <w:multiLevelType w:val="multilevel"/>
    <w:tmpl w:val="114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665815"/>
    <w:multiLevelType w:val="multilevel"/>
    <w:tmpl w:val="C19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FA7BB1"/>
    <w:multiLevelType w:val="multilevel"/>
    <w:tmpl w:val="298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883E55"/>
    <w:multiLevelType w:val="multilevel"/>
    <w:tmpl w:val="0DF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053EEE"/>
    <w:multiLevelType w:val="multilevel"/>
    <w:tmpl w:val="D8B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D31E99"/>
    <w:multiLevelType w:val="hybridMultilevel"/>
    <w:tmpl w:val="9F92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FC1B30"/>
    <w:multiLevelType w:val="multilevel"/>
    <w:tmpl w:val="6C9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057644"/>
    <w:multiLevelType w:val="multilevel"/>
    <w:tmpl w:val="9A8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37650E"/>
    <w:multiLevelType w:val="multilevel"/>
    <w:tmpl w:val="08CC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881EF1"/>
    <w:multiLevelType w:val="hybridMultilevel"/>
    <w:tmpl w:val="9ED6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AD2BCC"/>
    <w:multiLevelType w:val="multilevel"/>
    <w:tmpl w:val="E24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027558"/>
    <w:multiLevelType w:val="multilevel"/>
    <w:tmpl w:val="EBD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5414A6"/>
    <w:multiLevelType w:val="hybridMultilevel"/>
    <w:tmpl w:val="DF48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130D15"/>
    <w:multiLevelType w:val="hybridMultilevel"/>
    <w:tmpl w:val="E2EA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FB592C"/>
    <w:multiLevelType w:val="hybridMultilevel"/>
    <w:tmpl w:val="14A0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D338C3"/>
    <w:multiLevelType w:val="multilevel"/>
    <w:tmpl w:val="BCF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785B4D"/>
    <w:multiLevelType w:val="multilevel"/>
    <w:tmpl w:val="D26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697524"/>
    <w:multiLevelType w:val="multilevel"/>
    <w:tmpl w:val="704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7C61D7"/>
    <w:multiLevelType w:val="hybridMultilevel"/>
    <w:tmpl w:val="35D8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547AD8"/>
    <w:multiLevelType w:val="hybridMultilevel"/>
    <w:tmpl w:val="2AEE3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E77296"/>
    <w:multiLevelType w:val="multilevel"/>
    <w:tmpl w:val="8AD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FE5668"/>
    <w:multiLevelType w:val="hybridMultilevel"/>
    <w:tmpl w:val="86EE0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42D4C6A"/>
    <w:multiLevelType w:val="multilevel"/>
    <w:tmpl w:val="6C2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6A3251"/>
    <w:multiLevelType w:val="multilevel"/>
    <w:tmpl w:val="F97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0F2FDD"/>
    <w:multiLevelType w:val="multilevel"/>
    <w:tmpl w:val="CFCEA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986FB6"/>
    <w:multiLevelType w:val="hybridMultilevel"/>
    <w:tmpl w:val="41BE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2C0373"/>
    <w:multiLevelType w:val="multilevel"/>
    <w:tmpl w:val="F37C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1"/>
  </w:num>
  <w:num w:numId="3">
    <w:abstractNumId w:val="30"/>
  </w:num>
  <w:num w:numId="4">
    <w:abstractNumId w:val="29"/>
  </w:num>
  <w:num w:numId="5">
    <w:abstractNumId w:val="33"/>
  </w:num>
  <w:num w:numId="6">
    <w:abstractNumId w:val="23"/>
  </w:num>
  <w:num w:numId="7">
    <w:abstractNumId w:val="11"/>
  </w:num>
  <w:num w:numId="8">
    <w:abstractNumId w:val="24"/>
  </w:num>
  <w:num w:numId="9">
    <w:abstractNumId w:val="14"/>
  </w:num>
  <w:num w:numId="10">
    <w:abstractNumId w:val="27"/>
  </w:num>
  <w:num w:numId="11">
    <w:abstractNumId w:val="13"/>
  </w:num>
  <w:num w:numId="12">
    <w:abstractNumId w:val="5"/>
  </w:num>
  <w:num w:numId="13">
    <w:abstractNumId w:val="8"/>
  </w:num>
  <w:num w:numId="14">
    <w:abstractNumId w:val="15"/>
  </w:num>
  <w:num w:numId="15">
    <w:abstractNumId w:val="2"/>
  </w:num>
  <w:num w:numId="16">
    <w:abstractNumId w:val="22"/>
  </w:num>
  <w:num w:numId="17">
    <w:abstractNumId w:val="3"/>
  </w:num>
  <w:num w:numId="18">
    <w:abstractNumId w:val="7"/>
  </w:num>
  <w:num w:numId="19">
    <w:abstractNumId w:val="9"/>
  </w:num>
  <w:num w:numId="20">
    <w:abstractNumId w:val="18"/>
  </w:num>
  <w:num w:numId="21">
    <w:abstractNumId w:val="4"/>
  </w:num>
  <w:num w:numId="22">
    <w:abstractNumId w:val="17"/>
  </w:num>
  <w:num w:numId="23">
    <w:abstractNumId w:val="10"/>
  </w:num>
  <w:num w:numId="24">
    <w:abstractNumId w:val="0"/>
  </w:num>
  <w:num w:numId="25">
    <w:abstractNumId w:val="16"/>
  </w:num>
  <w:num w:numId="26">
    <w:abstractNumId w:val="19"/>
  </w:num>
  <w:num w:numId="27">
    <w:abstractNumId w:val="28"/>
  </w:num>
  <w:num w:numId="28">
    <w:abstractNumId w:val="32"/>
  </w:num>
  <w:num w:numId="29">
    <w:abstractNumId w:val="20"/>
  </w:num>
  <w:num w:numId="30">
    <w:abstractNumId w:val="26"/>
  </w:num>
  <w:num w:numId="31">
    <w:abstractNumId w:val="1"/>
  </w:num>
  <w:num w:numId="32">
    <w:abstractNumId w:val="12"/>
  </w:num>
  <w:num w:numId="33">
    <w:abstractNumId w:val="25"/>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hideSpellingError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4A8"/>
    <w:rsid w:val="000007FA"/>
    <w:rsid w:val="000057EE"/>
    <w:rsid w:val="00010198"/>
    <w:rsid w:val="00040F65"/>
    <w:rsid w:val="00041F1B"/>
    <w:rsid w:val="00051A8D"/>
    <w:rsid w:val="00051CB5"/>
    <w:rsid w:val="00074FCE"/>
    <w:rsid w:val="00080EE5"/>
    <w:rsid w:val="000A63B6"/>
    <w:rsid w:val="000C727B"/>
    <w:rsid w:val="000D189B"/>
    <w:rsid w:val="000D753F"/>
    <w:rsid w:val="00103241"/>
    <w:rsid w:val="0011051B"/>
    <w:rsid w:val="00111225"/>
    <w:rsid w:val="001142C1"/>
    <w:rsid w:val="001345FE"/>
    <w:rsid w:val="00137FF1"/>
    <w:rsid w:val="0014011D"/>
    <w:rsid w:val="00157C41"/>
    <w:rsid w:val="001723C1"/>
    <w:rsid w:val="00173729"/>
    <w:rsid w:val="001756BB"/>
    <w:rsid w:val="00183481"/>
    <w:rsid w:val="001A0201"/>
    <w:rsid w:val="001A21E3"/>
    <w:rsid w:val="001A2A00"/>
    <w:rsid w:val="001C51FF"/>
    <w:rsid w:val="001C6B7F"/>
    <w:rsid w:val="001D3636"/>
    <w:rsid w:val="001D5486"/>
    <w:rsid w:val="001D78A2"/>
    <w:rsid w:val="001E6078"/>
    <w:rsid w:val="001F04A8"/>
    <w:rsid w:val="00201B7D"/>
    <w:rsid w:val="00222899"/>
    <w:rsid w:val="0024306E"/>
    <w:rsid w:val="00246FC2"/>
    <w:rsid w:val="00250AF4"/>
    <w:rsid w:val="00251B8E"/>
    <w:rsid w:val="002603EA"/>
    <w:rsid w:val="00261DB3"/>
    <w:rsid w:val="00262A45"/>
    <w:rsid w:val="002941E6"/>
    <w:rsid w:val="00296862"/>
    <w:rsid w:val="002A221A"/>
    <w:rsid w:val="002A324A"/>
    <w:rsid w:val="002B2505"/>
    <w:rsid w:val="002B7845"/>
    <w:rsid w:val="002C4FA8"/>
    <w:rsid w:val="002D22AA"/>
    <w:rsid w:val="002E0F98"/>
    <w:rsid w:val="002E2AD9"/>
    <w:rsid w:val="002E4FE8"/>
    <w:rsid w:val="0030396B"/>
    <w:rsid w:val="003054BF"/>
    <w:rsid w:val="00311C06"/>
    <w:rsid w:val="003131DF"/>
    <w:rsid w:val="00316D36"/>
    <w:rsid w:val="00346674"/>
    <w:rsid w:val="00354001"/>
    <w:rsid w:val="00362F20"/>
    <w:rsid w:val="00371194"/>
    <w:rsid w:val="00375383"/>
    <w:rsid w:val="00376A3C"/>
    <w:rsid w:val="0038736E"/>
    <w:rsid w:val="00392205"/>
    <w:rsid w:val="00396CC6"/>
    <w:rsid w:val="003A2AAE"/>
    <w:rsid w:val="003B459C"/>
    <w:rsid w:val="003B78C7"/>
    <w:rsid w:val="003C035D"/>
    <w:rsid w:val="003C374F"/>
    <w:rsid w:val="003C5B94"/>
    <w:rsid w:val="003E1CE6"/>
    <w:rsid w:val="0040324F"/>
    <w:rsid w:val="0040568A"/>
    <w:rsid w:val="00415692"/>
    <w:rsid w:val="0042111E"/>
    <w:rsid w:val="004440B1"/>
    <w:rsid w:val="0044766F"/>
    <w:rsid w:val="00452AB2"/>
    <w:rsid w:val="00452B60"/>
    <w:rsid w:val="00460FA7"/>
    <w:rsid w:val="00476935"/>
    <w:rsid w:val="00477268"/>
    <w:rsid w:val="004A1AA0"/>
    <w:rsid w:val="004A707F"/>
    <w:rsid w:val="004B6C33"/>
    <w:rsid w:val="004C0853"/>
    <w:rsid w:val="004C761F"/>
    <w:rsid w:val="004D1DC9"/>
    <w:rsid w:val="004E3EF3"/>
    <w:rsid w:val="004F3DE6"/>
    <w:rsid w:val="004F638E"/>
    <w:rsid w:val="004F7FED"/>
    <w:rsid w:val="0050433D"/>
    <w:rsid w:val="00511880"/>
    <w:rsid w:val="00516868"/>
    <w:rsid w:val="00522791"/>
    <w:rsid w:val="00527D77"/>
    <w:rsid w:val="00527F61"/>
    <w:rsid w:val="005337C8"/>
    <w:rsid w:val="00542816"/>
    <w:rsid w:val="00550638"/>
    <w:rsid w:val="0055261F"/>
    <w:rsid w:val="00557DA1"/>
    <w:rsid w:val="005656F1"/>
    <w:rsid w:val="005716B1"/>
    <w:rsid w:val="00577834"/>
    <w:rsid w:val="00586DDD"/>
    <w:rsid w:val="00592321"/>
    <w:rsid w:val="00594AF7"/>
    <w:rsid w:val="00595083"/>
    <w:rsid w:val="00596871"/>
    <w:rsid w:val="00597F49"/>
    <w:rsid w:val="005B17E6"/>
    <w:rsid w:val="005B5787"/>
    <w:rsid w:val="005C3592"/>
    <w:rsid w:val="005C5AA6"/>
    <w:rsid w:val="005C734B"/>
    <w:rsid w:val="005E47DB"/>
    <w:rsid w:val="005E63EE"/>
    <w:rsid w:val="0061387C"/>
    <w:rsid w:val="006157BA"/>
    <w:rsid w:val="00617880"/>
    <w:rsid w:val="00620AF7"/>
    <w:rsid w:val="00622F49"/>
    <w:rsid w:val="00623867"/>
    <w:rsid w:val="00635070"/>
    <w:rsid w:val="00652E3F"/>
    <w:rsid w:val="00677E1A"/>
    <w:rsid w:val="00690B10"/>
    <w:rsid w:val="006A1B6F"/>
    <w:rsid w:val="006A5EFA"/>
    <w:rsid w:val="006C06CC"/>
    <w:rsid w:val="006C7435"/>
    <w:rsid w:val="006D2F8C"/>
    <w:rsid w:val="006D4151"/>
    <w:rsid w:val="006E48CB"/>
    <w:rsid w:val="006E7B38"/>
    <w:rsid w:val="006F1E7D"/>
    <w:rsid w:val="006F6FF8"/>
    <w:rsid w:val="007029A8"/>
    <w:rsid w:val="00705E30"/>
    <w:rsid w:val="007141A1"/>
    <w:rsid w:val="007244CF"/>
    <w:rsid w:val="00731032"/>
    <w:rsid w:val="007432A0"/>
    <w:rsid w:val="00745AEC"/>
    <w:rsid w:val="0076303B"/>
    <w:rsid w:val="00775EB9"/>
    <w:rsid w:val="007771EB"/>
    <w:rsid w:val="0078127E"/>
    <w:rsid w:val="00784632"/>
    <w:rsid w:val="007936EF"/>
    <w:rsid w:val="00794094"/>
    <w:rsid w:val="00794B8F"/>
    <w:rsid w:val="007A40D2"/>
    <w:rsid w:val="007A710E"/>
    <w:rsid w:val="007B1A7B"/>
    <w:rsid w:val="007D04DC"/>
    <w:rsid w:val="007D080D"/>
    <w:rsid w:val="007D33D0"/>
    <w:rsid w:val="007D42FA"/>
    <w:rsid w:val="007E0570"/>
    <w:rsid w:val="007E631D"/>
    <w:rsid w:val="007F6D9C"/>
    <w:rsid w:val="00807F17"/>
    <w:rsid w:val="00817201"/>
    <w:rsid w:val="0081747D"/>
    <w:rsid w:val="008232D7"/>
    <w:rsid w:val="00826323"/>
    <w:rsid w:val="008467C0"/>
    <w:rsid w:val="00847116"/>
    <w:rsid w:val="00854ACB"/>
    <w:rsid w:val="008A0969"/>
    <w:rsid w:val="008A1A0E"/>
    <w:rsid w:val="008A3694"/>
    <w:rsid w:val="008B2409"/>
    <w:rsid w:val="008B4B51"/>
    <w:rsid w:val="008B65EA"/>
    <w:rsid w:val="008C22D5"/>
    <w:rsid w:val="008D2916"/>
    <w:rsid w:val="008D5380"/>
    <w:rsid w:val="008E38D7"/>
    <w:rsid w:val="008F2FE8"/>
    <w:rsid w:val="0092219C"/>
    <w:rsid w:val="00923BAE"/>
    <w:rsid w:val="0094235C"/>
    <w:rsid w:val="009426E8"/>
    <w:rsid w:val="009427BD"/>
    <w:rsid w:val="009510EE"/>
    <w:rsid w:val="0096073E"/>
    <w:rsid w:val="00961A62"/>
    <w:rsid w:val="00974A06"/>
    <w:rsid w:val="009820CE"/>
    <w:rsid w:val="0099475A"/>
    <w:rsid w:val="00997550"/>
    <w:rsid w:val="009D647C"/>
    <w:rsid w:val="009D6BAD"/>
    <w:rsid w:val="009E565F"/>
    <w:rsid w:val="009F0302"/>
    <w:rsid w:val="00A017B9"/>
    <w:rsid w:val="00A04340"/>
    <w:rsid w:val="00A22455"/>
    <w:rsid w:val="00A23A08"/>
    <w:rsid w:val="00A2637A"/>
    <w:rsid w:val="00A32E29"/>
    <w:rsid w:val="00A33FAA"/>
    <w:rsid w:val="00A36577"/>
    <w:rsid w:val="00A37DFC"/>
    <w:rsid w:val="00A43C60"/>
    <w:rsid w:val="00A71B9C"/>
    <w:rsid w:val="00A72B97"/>
    <w:rsid w:val="00A739A4"/>
    <w:rsid w:val="00A80187"/>
    <w:rsid w:val="00A96D0D"/>
    <w:rsid w:val="00A97E16"/>
    <w:rsid w:val="00AB27B8"/>
    <w:rsid w:val="00AC705E"/>
    <w:rsid w:val="00AD177A"/>
    <w:rsid w:val="00B05DDB"/>
    <w:rsid w:val="00B150C5"/>
    <w:rsid w:val="00B247A7"/>
    <w:rsid w:val="00B436CA"/>
    <w:rsid w:val="00B46B1B"/>
    <w:rsid w:val="00B7197C"/>
    <w:rsid w:val="00BB0CD6"/>
    <w:rsid w:val="00BD42CD"/>
    <w:rsid w:val="00BD5270"/>
    <w:rsid w:val="00BE0A37"/>
    <w:rsid w:val="00BE2F0E"/>
    <w:rsid w:val="00BE7923"/>
    <w:rsid w:val="00BF7BBA"/>
    <w:rsid w:val="00C0157E"/>
    <w:rsid w:val="00C1324C"/>
    <w:rsid w:val="00C2317B"/>
    <w:rsid w:val="00C23B1C"/>
    <w:rsid w:val="00C428C3"/>
    <w:rsid w:val="00C42BF6"/>
    <w:rsid w:val="00C52A1F"/>
    <w:rsid w:val="00C52E06"/>
    <w:rsid w:val="00C6207B"/>
    <w:rsid w:val="00C6664E"/>
    <w:rsid w:val="00C7696A"/>
    <w:rsid w:val="00C77CC4"/>
    <w:rsid w:val="00C81846"/>
    <w:rsid w:val="00C8341F"/>
    <w:rsid w:val="00CA09A1"/>
    <w:rsid w:val="00CC412D"/>
    <w:rsid w:val="00CD00CA"/>
    <w:rsid w:val="00D16873"/>
    <w:rsid w:val="00D16CB6"/>
    <w:rsid w:val="00D318BF"/>
    <w:rsid w:val="00D33228"/>
    <w:rsid w:val="00D33742"/>
    <w:rsid w:val="00D357B4"/>
    <w:rsid w:val="00D45B1E"/>
    <w:rsid w:val="00D46DCE"/>
    <w:rsid w:val="00D65626"/>
    <w:rsid w:val="00D663EF"/>
    <w:rsid w:val="00D75E4F"/>
    <w:rsid w:val="00D80F84"/>
    <w:rsid w:val="00D8369F"/>
    <w:rsid w:val="00D938A1"/>
    <w:rsid w:val="00DA1463"/>
    <w:rsid w:val="00DA28CF"/>
    <w:rsid w:val="00DB1498"/>
    <w:rsid w:val="00DB31F6"/>
    <w:rsid w:val="00DB3A98"/>
    <w:rsid w:val="00DD15EE"/>
    <w:rsid w:val="00DD1DF1"/>
    <w:rsid w:val="00E0033A"/>
    <w:rsid w:val="00E05C4E"/>
    <w:rsid w:val="00E15600"/>
    <w:rsid w:val="00E16CEB"/>
    <w:rsid w:val="00E242C5"/>
    <w:rsid w:val="00E30F9C"/>
    <w:rsid w:val="00E41DA8"/>
    <w:rsid w:val="00E469B0"/>
    <w:rsid w:val="00E72F5F"/>
    <w:rsid w:val="00E75590"/>
    <w:rsid w:val="00E756CF"/>
    <w:rsid w:val="00E963EE"/>
    <w:rsid w:val="00EA7527"/>
    <w:rsid w:val="00EB686D"/>
    <w:rsid w:val="00EC13B6"/>
    <w:rsid w:val="00EC1CED"/>
    <w:rsid w:val="00EC2FF0"/>
    <w:rsid w:val="00EC48B9"/>
    <w:rsid w:val="00ED0AF5"/>
    <w:rsid w:val="00ED5B21"/>
    <w:rsid w:val="00ED62BE"/>
    <w:rsid w:val="00ED6B36"/>
    <w:rsid w:val="00EE1912"/>
    <w:rsid w:val="00EE47D1"/>
    <w:rsid w:val="00EF58A6"/>
    <w:rsid w:val="00F03AF7"/>
    <w:rsid w:val="00F1005F"/>
    <w:rsid w:val="00F11242"/>
    <w:rsid w:val="00F21D83"/>
    <w:rsid w:val="00F2521A"/>
    <w:rsid w:val="00F643B0"/>
    <w:rsid w:val="00F64614"/>
    <w:rsid w:val="00F668B3"/>
    <w:rsid w:val="00F70D72"/>
    <w:rsid w:val="00F7627A"/>
    <w:rsid w:val="00F77D30"/>
    <w:rsid w:val="00F8755E"/>
    <w:rsid w:val="00F9676E"/>
    <w:rsid w:val="00FA4F2C"/>
    <w:rsid w:val="00FB042A"/>
    <w:rsid w:val="00FB3D2E"/>
    <w:rsid w:val="00FC3A26"/>
    <w:rsid w:val="00FC6E6E"/>
    <w:rsid w:val="00FD2D3A"/>
    <w:rsid w:val="00FD4B94"/>
    <w:rsid w:val="00FE083D"/>
    <w:rsid w:val="00FE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1BFEF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04A8"/>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F04A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F04A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04A8"/>
    <w:rPr>
      <w:rFonts w:ascii="Times New Roman" w:hAnsi="Times New Roman" w:cs="Times New Roman"/>
      <w:b/>
      <w:bCs/>
      <w:sz w:val="36"/>
      <w:szCs w:val="36"/>
    </w:rPr>
  </w:style>
  <w:style w:type="paragraph" w:styleId="NormalWeb">
    <w:name w:val="Normal (Web)"/>
    <w:basedOn w:val="Normal"/>
    <w:uiPriority w:val="99"/>
    <w:unhideWhenUsed/>
    <w:rsid w:val="001F04A8"/>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F04A8"/>
    <w:rPr>
      <w:b/>
      <w:bCs/>
    </w:rPr>
  </w:style>
  <w:style w:type="character" w:customStyle="1" w:styleId="Heading3Char">
    <w:name w:val="Heading 3 Char"/>
    <w:basedOn w:val="DefaultParagraphFont"/>
    <w:link w:val="Heading3"/>
    <w:uiPriority w:val="9"/>
    <w:semiHidden/>
    <w:rsid w:val="001F04A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F04A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E1912"/>
    <w:pPr>
      <w:ind w:left="720"/>
      <w:contextualSpacing/>
    </w:pPr>
  </w:style>
  <w:style w:type="paragraph" w:styleId="DocumentMap">
    <w:name w:val="Document Map"/>
    <w:basedOn w:val="Normal"/>
    <w:link w:val="DocumentMapChar"/>
    <w:uiPriority w:val="99"/>
    <w:semiHidden/>
    <w:unhideWhenUsed/>
    <w:rsid w:val="009D647C"/>
    <w:rPr>
      <w:rFonts w:ascii="Times New Roman" w:hAnsi="Times New Roman" w:cs="Times New Roman"/>
    </w:rPr>
  </w:style>
  <w:style w:type="character" w:customStyle="1" w:styleId="DocumentMapChar">
    <w:name w:val="Document Map Char"/>
    <w:basedOn w:val="DefaultParagraphFont"/>
    <w:link w:val="DocumentMap"/>
    <w:uiPriority w:val="99"/>
    <w:semiHidden/>
    <w:rsid w:val="009D647C"/>
    <w:rPr>
      <w:rFonts w:ascii="Times New Roman" w:hAnsi="Times New Roman" w:cs="Times New Roman"/>
    </w:rPr>
  </w:style>
  <w:style w:type="paragraph" w:styleId="Caption">
    <w:name w:val="caption"/>
    <w:basedOn w:val="Normal"/>
    <w:next w:val="Normal"/>
    <w:uiPriority w:val="35"/>
    <w:unhideWhenUsed/>
    <w:qFormat/>
    <w:rsid w:val="009D647C"/>
    <w:pPr>
      <w:spacing w:after="200"/>
    </w:pPr>
    <w:rPr>
      <w:rFonts w:ascii="Times New Roman" w:eastAsia="Times New Roman" w:hAnsi="Times New Roman" w:cs="Times New Roman"/>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5239">
      <w:bodyDiv w:val="1"/>
      <w:marLeft w:val="0"/>
      <w:marRight w:val="0"/>
      <w:marTop w:val="0"/>
      <w:marBottom w:val="0"/>
      <w:divBdr>
        <w:top w:val="none" w:sz="0" w:space="0" w:color="auto"/>
        <w:left w:val="none" w:sz="0" w:space="0" w:color="auto"/>
        <w:bottom w:val="none" w:sz="0" w:space="0" w:color="auto"/>
        <w:right w:val="none" w:sz="0" w:space="0" w:color="auto"/>
      </w:divBdr>
    </w:div>
    <w:div w:id="466361138">
      <w:bodyDiv w:val="1"/>
      <w:marLeft w:val="0"/>
      <w:marRight w:val="0"/>
      <w:marTop w:val="0"/>
      <w:marBottom w:val="0"/>
      <w:divBdr>
        <w:top w:val="none" w:sz="0" w:space="0" w:color="auto"/>
        <w:left w:val="none" w:sz="0" w:space="0" w:color="auto"/>
        <w:bottom w:val="none" w:sz="0" w:space="0" w:color="auto"/>
        <w:right w:val="none" w:sz="0" w:space="0" w:color="auto"/>
      </w:divBdr>
    </w:div>
    <w:div w:id="499152216">
      <w:bodyDiv w:val="1"/>
      <w:marLeft w:val="0"/>
      <w:marRight w:val="0"/>
      <w:marTop w:val="0"/>
      <w:marBottom w:val="0"/>
      <w:divBdr>
        <w:top w:val="none" w:sz="0" w:space="0" w:color="auto"/>
        <w:left w:val="none" w:sz="0" w:space="0" w:color="auto"/>
        <w:bottom w:val="none" w:sz="0" w:space="0" w:color="auto"/>
        <w:right w:val="none" w:sz="0" w:space="0" w:color="auto"/>
      </w:divBdr>
    </w:div>
    <w:div w:id="510415302">
      <w:bodyDiv w:val="1"/>
      <w:marLeft w:val="0"/>
      <w:marRight w:val="0"/>
      <w:marTop w:val="0"/>
      <w:marBottom w:val="0"/>
      <w:divBdr>
        <w:top w:val="none" w:sz="0" w:space="0" w:color="auto"/>
        <w:left w:val="none" w:sz="0" w:space="0" w:color="auto"/>
        <w:bottom w:val="none" w:sz="0" w:space="0" w:color="auto"/>
        <w:right w:val="none" w:sz="0" w:space="0" w:color="auto"/>
      </w:divBdr>
    </w:div>
    <w:div w:id="563759970">
      <w:bodyDiv w:val="1"/>
      <w:marLeft w:val="0"/>
      <w:marRight w:val="0"/>
      <w:marTop w:val="0"/>
      <w:marBottom w:val="0"/>
      <w:divBdr>
        <w:top w:val="none" w:sz="0" w:space="0" w:color="auto"/>
        <w:left w:val="none" w:sz="0" w:space="0" w:color="auto"/>
        <w:bottom w:val="none" w:sz="0" w:space="0" w:color="auto"/>
        <w:right w:val="none" w:sz="0" w:space="0" w:color="auto"/>
      </w:divBdr>
    </w:div>
    <w:div w:id="893396929">
      <w:bodyDiv w:val="1"/>
      <w:marLeft w:val="0"/>
      <w:marRight w:val="0"/>
      <w:marTop w:val="0"/>
      <w:marBottom w:val="0"/>
      <w:divBdr>
        <w:top w:val="none" w:sz="0" w:space="0" w:color="auto"/>
        <w:left w:val="none" w:sz="0" w:space="0" w:color="auto"/>
        <w:bottom w:val="none" w:sz="0" w:space="0" w:color="auto"/>
        <w:right w:val="none" w:sz="0" w:space="0" w:color="auto"/>
      </w:divBdr>
    </w:div>
    <w:div w:id="928123047">
      <w:bodyDiv w:val="1"/>
      <w:marLeft w:val="0"/>
      <w:marRight w:val="0"/>
      <w:marTop w:val="0"/>
      <w:marBottom w:val="0"/>
      <w:divBdr>
        <w:top w:val="none" w:sz="0" w:space="0" w:color="auto"/>
        <w:left w:val="none" w:sz="0" w:space="0" w:color="auto"/>
        <w:bottom w:val="none" w:sz="0" w:space="0" w:color="auto"/>
        <w:right w:val="none" w:sz="0" w:space="0" w:color="auto"/>
      </w:divBdr>
    </w:div>
    <w:div w:id="1201818857">
      <w:bodyDiv w:val="1"/>
      <w:marLeft w:val="0"/>
      <w:marRight w:val="0"/>
      <w:marTop w:val="0"/>
      <w:marBottom w:val="0"/>
      <w:divBdr>
        <w:top w:val="none" w:sz="0" w:space="0" w:color="auto"/>
        <w:left w:val="none" w:sz="0" w:space="0" w:color="auto"/>
        <w:bottom w:val="none" w:sz="0" w:space="0" w:color="auto"/>
        <w:right w:val="none" w:sz="0" w:space="0" w:color="auto"/>
      </w:divBdr>
    </w:div>
    <w:div w:id="1228997972">
      <w:bodyDiv w:val="1"/>
      <w:marLeft w:val="0"/>
      <w:marRight w:val="0"/>
      <w:marTop w:val="0"/>
      <w:marBottom w:val="0"/>
      <w:divBdr>
        <w:top w:val="none" w:sz="0" w:space="0" w:color="auto"/>
        <w:left w:val="none" w:sz="0" w:space="0" w:color="auto"/>
        <w:bottom w:val="none" w:sz="0" w:space="0" w:color="auto"/>
        <w:right w:val="none" w:sz="0" w:space="0" w:color="auto"/>
      </w:divBdr>
    </w:div>
    <w:div w:id="1333727890">
      <w:bodyDiv w:val="1"/>
      <w:marLeft w:val="0"/>
      <w:marRight w:val="0"/>
      <w:marTop w:val="0"/>
      <w:marBottom w:val="0"/>
      <w:divBdr>
        <w:top w:val="none" w:sz="0" w:space="0" w:color="auto"/>
        <w:left w:val="none" w:sz="0" w:space="0" w:color="auto"/>
        <w:bottom w:val="none" w:sz="0" w:space="0" w:color="auto"/>
        <w:right w:val="none" w:sz="0" w:space="0" w:color="auto"/>
      </w:divBdr>
    </w:div>
    <w:div w:id="1575627437">
      <w:bodyDiv w:val="1"/>
      <w:marLeft w:val="0"/>
      <w:marRight w:val="0"/>
      <w:marTop w:val="0"/>
      <w:marBottom w:val="0"/>
      <w:divBdr>
        <w:top w:val="none" w:sz="0" w:space="0" w:color="auto"/>
        <w:left w:val="none" w:sz="0" w:space="0" w:color="auto"/>
        <w:bottom w:val="none" w:sz="0" w:space="0" w:color="auto"/>
        <w:right w:val="none" w:sz="0" w:space="0" w:color="auto"/>
      </w:divBdr>
    </w:div>
    <w:div w:id="1843734608">
      <w:bodyDiv w:val="1"/>
      <w:marLeft w:val="0"/>
      <w:marRight w:val="0"/>
      <w:marTop w:val="0"/>
      <w:marBottom w:val="0"/>
      <w:divBdr>
        <w:top w:val="none" w:sz="0" w:space="0" w:color="auto"/>
        <w:left w:val="none" w:sz="0" w:space="0" w:color="auto"/>
        <w:bottom w:val="none" w:sz="0" w:space="0" w:color="auto"/>
        <w:right w:val="none" w:sz="0" w:space="0" w:color="auto"/>
      </w:divBdr>
    </w:div>
    <w:div w:id="1932810415">
      <w:bodyDiv w:val="1"/>
      <w:marLeft w:val="0"/>
      <w:marRight w:val="0"/>
      <w:marTop w:val="0"/>
      <w:marBottom w:val="0"/>
      <w:divBdr>
        <w:top w:val="none" w:sz="0" w:space="0" w:color="auto"/>
        <w:left w:val="none" w:sz="0" w:space="0" w:color="auto"/>
        <w:bottom w:val="none" w:sz="0" w:space="0" w:color="auto"/>
        <w:right w:val="none" w:sz="0" w:space="0" w:color="auto"/>
      </w:divBdr>
    </w:div>
    <w:div w:id="20069385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jpg"/><Relationship Id="rId9" Type="http://schemas.openxmlformats.org/officeDocument/2006/relationships/image" Target="media/image5.jpeg"/><Relationship Id="rId1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5097</Words>
  <Characters>29058</Characters>
  <Application>Microsoft Macintosh Word</Application>
  <DocSecurity>0</DocSecurity>
  <Lines>242</Lines>
  <Paragraphs>68</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2. Biyoloji Temelli Tasarım ve Biyofabrikasyon Yaklaşımları</vt:lpstr>
      <vt:lpstr>2.1. Biyofabrikasyon Yöntemleri</vt:lpstr>
      <vt:lpstr>2.2. Tasarımcının Rolünün Dönüşümü</vt:lpstr>
      <vt:lpstr>2.3. Dirençlilik ve Uyarlanabilirlik Potansiyeli</vt:lpstr>
      <vt:lpstr>3. Geliştirilen Biyokompozit Malzeme: Tasarım Gerekçesi, Bileşen Seçimi ve Üreti</vt:lpstr>
      <vt:lpstr>3.1. Malzemenin Kavramsal ve Teknik Konumlandırılması</vt:lpstr>
      <vt:lpstr>3.2. Bileşen Seçimi </vt:lpstr>
      <vt:lpstr>3.2.1. Yumurta Kabuğu</vt:lpstr>
      <vt:lpstr>3.2.2. Agar Agar (Su Yosunu)</vt:lpstr>
      <vt:lpstr>3.2.3. Gliserin</vt:lpstr>
      <vt:lpstr>3.3. Üretim Süreci</vt:lpstr>
      <vt:lpstr>3.4. Mekanik Performans Analizi ve Karşılaştırmalı Değerlendirme</vt:lpstr>
      <vt:lpstr>3.4.1. Basınç Dayanımı (Basma Mukavemeti)</vt:lpstr>
      <vt:lpstr>3.4.2. Eğilme Dayanımı ve Elastiklik Modülü</vt:lpstr>
      <vt:lpstr>3.4.3. Yoğunluk ve Dayanım/Ağırlık Oranı</vt:lpstr>
      <vt:lpstr>3.4.4. Genel Mekanik Değerlendirme</vt:lpstr>
      <vt:lpstr>3.5. Uygulama Potansiyeli</vt:lpstr>
      <vt:lpstr>4. Tasarım Önerisi: Biyokompozit Tabanlı Modüler Mekânsal Sistem</vt:lpstr>
      <vt:lpstr>4.1. Tasarımın Kavramsal Çerçevesi</vt:lpstr>
      <vt:lpstr>4.2. Sistem Tanımı</vt:lpstr>
      <vt:lpstr>4.3. Mekanik Performans ile Tasarım Kararları Arasındaki İlişki</vt:lpstr>
      <vt:lpstr>4.4. 	Tasarım Önerisinin Mekânsal Karakteri ve İşlevsel Potansiyelleri</vt:lpstr>
      <vt:lpstr>4.5. Uygulama Senaryoları</vt:lpstr>
      <vt:lpstr>4.6. Sürdürülebilirlik ve Yenilik Değeri</vt:lpstr>
      <vt:lpstr>5. Tasarım Önerisinin Yenilik, Etki ve Ölçeklenebilirlik Potansiyeli</vt:lpstr>
      <vt:lpstr>5.1. Yenilik Değeri (Innovation)</vt:lpstr>
      <vt:lpstr>5.2. Etki Potansiyeli (Impact)</vt:lpstr>
      <vt:lpstr>Çevresel Etki: </vt:lpstr>
      <vt:lpstr>Atık biyolojik materyalin (yumurta kabuğu) yeniden değerlendirilmesi</vt:lpstr>
      <vt:lpstr>Sosyal ve Kamusal Etki</vt:lpstr>
      <vt:lpstr>Akademik ve Araştırma Etkisi</vt:lpstr>
      <vt:lpstr>5.3. Ölçeklenebilirlik Potansiyeli (Scalability)</vt:lpstr>
      <vt:lpstr>6. Sonuç</vt:lpstr>
      <vt:lpstr>6.1.  Uzun Vadeli Etki</vt:lpstr>
      <vt:lpstr>Biyoloji temelli yapı malzemelerine ilişkin veri tabanı oluşturulması</vt:lpstr>
      <vt:lpstr>Yerel atıkların yapı malzemesine dönüştürülmesine yönelik farkındalık yaratılmas</vt:lpstr>
    </vt:vector>
  </TitlesOfParts>
  <LinksUpToDate>false</LinksUpToDate>
  <CharactersWithSpaces>34087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15100</dc:creator>
  <cp:keywords/>
  <dc:description/>
  <cp:lastModifiedBy>15100</cp:lastModifiedBy>
  <cp:revision>1</cp:revision>
  <dcterms:created xsi:type="dcterms:W3CDTF">2026-02-18T09:34:00Z</dcterms:created>
  <dcterms:modified xsi:type="dcterms:W3CDTF">2026-02-18T10:29:00Z</dcterms:modified>
</cp:coreProperties>
</file>