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pPr>
      <w:r>
        <w:rPr>
          <w:rFonts w:ascii="Times New Roman" w:cs="Times New Roman" w:eastAsia="Times New Roman" w:hAnsi="Times New Roman"/>
          <w:b/>
          <w:bCs/>
          <w:sz w:val="28"/>
          <w:szCs w:val="28"/>
        </w:rPr>
        <w:t xml:space="preserve">1. GİRİŞ</w:t>
      </w:r>
    </w:p>
    <w:p>
      <w:pPr>
        <w:pBdr>
          <w:bottom w:val="single" w:color="999999" w:sz="6" w:space="8"/>
        </w:pBdr>
        <w:spacing w:after="400" w:line="240"/>
      </w:pPr>
      <w:r>
        <w:rPr>
          <w:rFonts w:ascii="Times New Roman" w:cs="Times New Roman" w:eastAsia="Times New Roman" w:hAnsi="Times New Roman"/>
          <w:i/>
          <w:iCs/>
          <w:color w:val="555555"/>
          <w:sz w:val="20"/>
          <w:szCs w:val="20"/>
        </w:rPr>
        <w:t xml:space="preserve">Bölüm taslağı · 1 Ekim 2026 · yaklaşık 640 kelime</w:t>
      </w:r>
    </w:p>
    <w:p>
      <w:pPr>
        <w:spacing w:after="160" w:line="360"/>
        <w:jc w:val="both"/>
      </w:pPr>
      <w:r>
        <w:rPr>
          <w:rFonts w:ascii="Times New Roman" w:cs="Times New Roman" w:eastAsia="Times New Roman" w:hAnsi="Times New Roman"/>
          <w:sz w:val="24"/>
          <w:szCs w:val="24"/>
        </w:rPr>
        <w:t xml:space="preserve">İnsan etkinliğinin yeryüzünün çevresel sistemleri üzerindeki etkisi, bugün yeni bir jeolojik dönem — insan egemenliğindeki Antroposen — olarak adlandırılacak düzeye ulaşmıştır (Heymans vd., 2019). Bu dönüşümün en belirgin taşıyıcılarından biri yapılı çevredir. Edalat (2026), yapı sektörünün diğer tüm endüstriyel sektörlerle karşılaştırıldığında doğal çevre üzerinde en önemli etkiyi yarattığını; sektörün küresel karbondioksit salımının yaklaşık %39’undan sorumlu olduğunu, ham maddelerin yaklaşık %40’ını tükettiğini ve inşaat ile yıkım atıkları yoluyla katı atığın en az %30’unu ürettiğini aktarmaktadır. Yazar ayrıca 2024 yılında kritik 1,5 °C ısınma eşiğinin ilk kez aşıldığını vurgulamaktadır.</w:t>
      </w:r>
    </w:p>
    <w:p>
      <w:pPr>
        <w:spacing w:after="160" w:line="360"/>
        <w:jc w:val="both"/>
      </w:pPr>
      <w:r>
        <w:rPr>
          <w:rFonts w:ascii="Times New Roman" w:cs="Times New Roman" w:eastAsia="Times New Roman" w:hAnsi="Times New Roman"/>
          <w:sz w:val="24"/>
          <w:szCs w:val="24"/>
        </w:rPr>
        <w:t xml:space="preserve">Bu etkinin kaynağı yalnızca ölçek değil, üretim mantığıdır. Chayaamor-Heil, Houette, Demirci ve Badarnah (2024), ağırlıklı olarak fosil yakıtların ve ham maddelerin çıkarımına dayanan geleneksel inşaat sektörünün çevre kirliliğine ve doğal kaynakların tükenmesine önemli ölçüde katkıda bulunduğunu belirtmektedir. Benzer biçimde Lee, Lee ve Lee (2022), mevcut fosil temelli ticari ürünlerin doğal kaynak rezervleri ve doğal çevrenin korunması açısından ciddi bir tehdit oluşturduğunu ortaya koymaktadır.</w:t>
      </w:r>
    </w:p>
    <w:p>
      <w:pPr>
        <w:spacing w:after="160" w:line="360"/>
        <w:jc w:val="both"/>
      </w:pPr>
      <w:r>
        <w:rPr>
          <w:rFonts w:ascii="Times New Roman" w:cs="Times New Roman" w:eastAsia="Times New Roman" w:hAnsi="Times New Roman"/>
          <w:b w:val="false"/>
          <w:bCs w:val="false"/>
          <w:i w:val="false"/>
          <w:iCs w:val="false"/>
          <w:sz w:val="24"/>
          <w:szCs w:val="24"/>
        </w:rPr>
        <w:t xml:space="preserve">Biyolojik temelli malzemeler bu tabloya yönelik yanıtlardan biri olarak gündeme gelmektedir. Bourbia, Kazeoui ve Belarbi (2023), bu malzemelerin yenilenebilir olma, düşük gömülü enerjiye sahip olma ve ısıl düzenleme kapasitesi gibi avantajlar sunduğunu belirtmektedir. Andréen ve Goidea (2022) ise biyomalzemelerin inşaat sektörünün olumsuz ekolojik etkisini azaltmak için potansiyel bir araç oluşturduğunu; ancak bu potansiyelin en üst düzeye çıkarılabilmesi için </w:t>
      </w:r>
      <w:r>
        <w:rPr>
          <w:rFonts w:ascii="Times New Roman" w:cs="Times New Roman" w:eastAsia="Times New Roman" w:hAnsi="Times New Roman"/>
          <w:b/>
          <w:bCs/>
          <w:i w:val="false"/>
          <w:iCs w:val="false"/>
          <w:sz w:val="24"/>
          <w:szCs w:val="24"/>
        </w:rPr>
        <w:t xml:space="preserve">geleneksel yapı malzemelerinden önemli ölçüde farklı yaklaşımlar</w:t>
      </w:r>
      <w:r>
        <w:rPr>
          <w:rFonts w:ascii="Times New Roman" w:cs="Times New Roman" w:eastAsia="Times New Roman" w:hAnsi="Times New Roman"/>
          <w:b w:val="false"/>
          <w:bCs w:val="false"/>
          <w:i w:val="false"/>
          <w:iCs w:val="false"/>
          <w:sz w:val="24"/>
          <w:szCs w:val="24"/>
        </w:rPr>
        <w:t xml:space="preserve"> gerektirdiğini vurgulamaktadır. Bu uyarı, bölümün çıkış noktasını oluşturmaktadır: biyolojik temelli bir malzemeyi yerleşik bir malzemenin yerine koymak, tasarım yaklaşımını değiştirmediği sürece sınırlı bir dönüşüm üretir.</w:t>
      </w:r>
    </w:p>
    <w:p>
      <w:pPr>
        <w:spacing w:after="160" w:line="360"/>
        <w:jc w:val="both"/>
      </w:pPr>
      <w:r>
        <w:rPr>
          <w:rFonts w:ascii="Times New Roman" w:cs="Times New Roman" w:eastAsia="Times New Roman" w:hAnsi="Times New Roman"/>
          <w:sz w:val="24"/>
          <w:szCs w:val="24"/>
        </w:rPr>
        <w:t xml:space="preserve">Nitekim alanyazın bu sınırlılığı iki düzeyde bildirmektedir. Birincisi kavramsaldır. Kırbaş Akyürek, Ciravoğlu, Mohammadi ve Yeğenoğlu (2020), canlı ve üretilmiş bileşenlerin bir araya gelmesini adlandıran terminolojinin çeşitlilik içinde sıkışıp kaldığını; genel kabul görmüş bir şemsiye terimin bulunmadığını ve bu durumun olgunun anlaşılmasını ve üzerine yeni çalışmalar yürütülmesini güçleştirdiğini ortaya koymaktadır. İkincisi uygulamaya ilişkindir. Edalat (2026), biyolojik temelli yapı malzemelerinin biyoekonominin ilkeleriyle örtüşmesine karşın döngüsel ekonomi sistemlerine eklemlenmelerinin sınırlı ve gelişmemiş kaldığını; güncel çalışmaların temel boşlukları yeterince tanımlayıp ele almadığını belirtmektedir.</w:t>
      </w:r>
    </w:p>
    <w:p>
      <w:pPr>
        <w:spacing w:after="160" w:line="360"/>
        <w:jc w:val="both"/>
      </w:pPr>
      <w:r>
        <w:rPr>
          <w:rFonts w:ascii="Times New Roman" w:cs="Times New Roman" w:eastAsia="Times New Roman" w:hAnsi="Times New Roman"/>
          <w:sz w:val="24"/>
          <w:szCs w:val="24"/>
        </w:rPr>
        <w:t xml:space="preserve">Buna bir üçüncü uyarı eklenmelidir. O’Rourke ve Seepersad (2015), biyolojik organizmaların sunduğu çevresel avantajlara ilişkin iddiaların genel olarak doğru olmakla birlikte her avantaj için önemli istisnalar barındırdığını; bazı biyolojik organizma, özellik ya da süreçlerin çevresel sürdürülebilirlik açısından kötü modeller oluşturacağını göstermektedir. Chang, Mohanty ve Misra (2020) ise biyokompozitlerin uzun süreli dayanıklılık performansına ilişkin bilimsel bilginin erişilebilir alanyazında oldukça sınırlı kaldığını ortaya koymaktadır. Dolayısıyla biyolojik köken, sürdürülebilirliğin de döngüselliğin de kendiliğinden güvencesi değildir.</w:t>
      </w:r>
    </w:p>
    <w:p>
      <w:pPr>
        <w:spacing w:after="160" w:line="360"/>
        <w:jc w:val="both"/>
      </w:pPr>
      <w:r>
        <w:rPr>
          <w:rFonts w:ascii="Times New Roman" w:cs="Times New Roman" w:eastAsia="Times New Roman" w:hAnsi="Times New Roman"/>
          <w:sz w:val="24"/>
          <w:szCs w:val="24"/>
        </w:rPr>
        <w:t xml:space="preserve">Bu tartışmanın iç mimarlık açısından özgül bir karşılığı bulunmaktadır. Edalat (2026), inşaat sektöründe ahşap dışı biyolojik temelli yapı malzemelerinin iç ve dış yüzey kaplamaları, ısıl ve akustik yalıtım ile mobilya üretimi gibi uygulamalarda kullanıldığını; buna karşılık sınırlı mekanik dayanımları nedeniyle taşıyıcı yapı elemanlarında nadiren yer aldığını ortaya koymaktadır. Başka bir deyişle, bu malzemelerin fiilî uygulama alanı büyük ölçüde iç mekândır. Bu durum iç mimarlığı, söz konusu malzemelerin yapılı çevreye girişinde belirleyici bir ölçek hâline getirmektedir.</w:t>
      </w:r>
    </w:p>
    <w:p>
      <w:pPr>
        <w:spacing w:after="160" w:line="360"/>
        <w:jc w:val="both"/>
      </w:pPr>
      <w:r>
        <w:rPr>
          <w:rFonts w:ascii="Times New Roman" w:cs="Times New Roman" w:eastAsia="Times New Roman" w:hAnsi="Times New Roman"/>
          <w:b w:val="false"/>
          <w:bCs w:val="false"/>
          <w:i w:val="false"/>
          <w:iCs w:val="false"/>
          <w:sz w:val="24"/>
          <w:szCs w:val="24"/>
        </w:rPr>
        <w:t xml:space="preserve">Bölümün temel iddiası şudur: </w:t>
      </w:r>
      <w:r>
        <w:rPr>
          <w:rFonts w:ascii="Times New Roman" w:cs="Times New Roman" w:eastAsia="Times New Roman" w:hAnsi="Times New Roman"/>
          <w:b/>
          <w:bCs/>
          <w:i w:val="false"/>
          <w:iCs w:val="false"/>
          <w:sz w:val="24"/>
          <w:szCs w:val="24"/>
        </w:rPr>
        <w:t xml:space="preserve">biyotasarım ve biyolojik temelli malzemeler, iç mimarlıkta yalnızca daha sürdürülebilir malzeme seçenekleri sunmamakta; malzeme seçiminin ölçütlerini, malzemenin yaşam döngüsünü ve tasarımcının kaynak, üretim, kullanım ve atıkla kurduğu ilişkiyi yeniden tanımlamaktadır.</w:t>
      </w:r>
      <w:r>
        <w:rPr>
          <w:rFonts w:ascii="Times New Roman" w:cs="Times New Roman" w:eastAsia="Times New Roman" w:hAnsi="Times New Roman"/>
          <w:b w:val="false"/>
          <w:bCs w:val="false"/>
          <w:i w:val="false"/>
          <w:iCs w:val="false"/>
          <w:sz w:val="24"/>
          <w:szCs w:val="24"/>
        </w:rPr>
        <w:t xml:space="preserve"> Bu iddia, Camere ve Karana’nın (2018) malzeme seçiminden malzeme tasarımına doğru saptadığı kaymayla doğrudan ilişkilidir.</w:t>
      </w:r>
    </w:p>
    <w:p>
      <w:pPr>
        <w:spacing w:after="160" w:line="360"/>
        <w:jc w:val="both"/>
      </w:pPr>
      <w:r>
        <w:rPr>
          <w:rFonts w:ascii="Times New Roman" w:cs="Times New Roman" w:eastAsia="Times New Roman" w:hAnsi="Times New Roman"/>
          <w:b w:val="false"/>
          <w:bCs w:val="false"/>
          <w:i w:val="false"/>
          <w:iCs w:val="false"/>
          <w:sz w:val="24"/>
          <w:szCs w:val="24"/>
        </w:rPr>
        <w:t xml:space="preserve">Buna bağlı olarak bölümün araştırma sorusu şöyle kurulmuştur: </w:t>
      </w:r>
      <w:r>
        <w:rPr>
          <w:rFonts w:ascii="Times New Roman" w:cs="Times New Roman" w:eastAsia="Times New Roman" w:hAnsi="Times New Roman"/>
          <w:b/>
          <w:bCs/>
          <w:i w:val="false"/>
          <w:iCs w:val="false"/>
          <w:sz w:val="24"/>
          <w:szCs w:val="24"/>
        </w:rPr>
        <w:t xml:space="preserve">İç mimarlıkta biyolojik temelli malzeme seçimi, sürdürülebilirlikten döngüselliğe ve döngüsellikten dirençliliğe geçişi sağlayan bir tasarım yaklaşımı olarak nasıl kavramsallaştırılabilir?</w:t>
      </w:r>
    </w:p>
    <w:p>
      <w:pPr>
        <w:spacing w:after="160" w:line="360"/>
        <w:jc w:val="both"/>
      </w:pPr>
      <w:r>
        <w:rPr>
          <w:rFonts w:ascii="Times New Roman" w:cs="Times New Roman" w:eastAsia="Times New Roman" w:hAnsi="Times New Roman"/>
          <w:sz w:val="24"/>
          <w:szCs w:val="24"/>
        </w:rPr>
        <w:t xml:space="preserve">Bölüm bu soruyu yedi adımda ele almaktadır. İkinci başlık biyotasarım kavramını ve komşu kavramlardan ayrımını kurar. Üçüncü başlık biyolojik temelli malzemeleri sınıflandırır ve malzemenin tasarım sürecindeki konumunu tartışır. Dördüncü başlık döngüsel malzeme sistemlerini ve biyolojik kökenin döngüsellik güvencesi oluşturup oluşturmadığını inceler. Beşinci başlık adaptasyon, değişkenlik ve dirençlilik kavramlarını ele alır. Altıncı başlık tartışmayı iç mekân ölçeğine taşır. Yedinci başlık potansiyelleri ve sınırlılıkları birlikte değerlendirerek iki katmanlı bir değerlendirme çerçevesi önerir. Sekizinci başlık bulguları toparlar.</w:t>
      </w:r>
    </w:p>
    <w:p>
      <w:pPr>
        <w:spacing w:after="160" w:line="360"/>
        <w:jc w:val="both"/>
      </w:pPr>
      <w:r>
        <w:rPr>
          <w:rFonts w:ascii="Times New Roman" w:cs="Times New Roman" w:eastAsia="Times New Roman" w:hAnsi="Times New Roman"/>
          <w:sz w:val="24"/>
          <w:szCs w:val="24"/>
        </w:rPr>
        <w:t xml:space="preserve">Bölüm, seçilmiş kaynaklara dayanan kuramsal bir derleme niteliğindedir; sistematik bir yazın taraması ya da teknik bir performans değerlendirmesi amaçlamamaktadır.</w:t>
      </w:r>
    </w:p>
    <w:p>
      <w:pPr>
        <w:pStyle w:val="Heading1"/>
        <w:spacing w:after="180" w:before="480" w:line="360"/>
      </w:pPr>
      <w:r>
        <w:rPr>
          <w:rFonts w:ascii="Times New Roman" w:cs="Times New Roman" w:eastAsia="Times New Roman" w:hAnsi="Times New Roman"/>
          <w:b/>
          <w:bCs/>
          <w:sz w:val="26"/>
          <w:szCs w:val="26"/>
        </w:rPr>
        <w:t xml:space="preserve">KAYNAKÇA</w:t>
      </w:r>
    </w:p>
    <w:p>
      <w:pPr>
        <w:spacing w:after="140" w:line="360"/>
        <w:ind w:left="567" w:hanging="567"/>
        <w:jc w:val="left"/>
      </w:pPr>
      <w:r>
        <w:rPr>
          <w:rFonts w:ascii="Times New Roman" w:cs="Times New Roman" w:eastAsia="Times New Roman" w:hAnsi="Times New Roman"/>
          <w:i w:val="false"/>
          <w:iCs w:val="false"/>
          <w:sz w:val="24"/>
          <w:szCs w:val="24"/>
        </w:rPr>
        <w:t xml:space="preserve">Andréen, D., &amp; Goidea, A. (2022). Principles of biological design as a model for biodesign and biofabrication in architecture. </w:t>
      </w:r>
      <w:r>
        <w:rPr>
          <w:rFonts w:ascii="Times New Roman" w:cs="Times New Roman" w:eastAsia="Times New Roman" w:hAnsi="Times New Roman"/>
          <w:i/>
          <w:iCs/>
          <w:sz w:val="24"/>
          <w:szCs w:val="24"/>
        </w:rPr>
        <w:t xml:space="preserve">Architecture, Structures and Construction, 2</w:t>
      </w:r>
      <w:r>
        <w:rPr>
          <w:rFonts w:ascii="Times New Roman" w:cs="Times New Roman" w:eastAsia="Times New Roman" w:hAnsi="Times New Roman"/>
          <w:i w:val="false"/>
          <w:iCs w:val="false"/>
          <w:sz w:val="24"/>
          <w:szCs w:val="24"/>
        </w:rPr>
        <w:t xml:space="preserve">, 481–491. https://doi.org/10.1007/s44150-022-00049-6</w:t>
      </w:r>
    </w:p>
    <w:p>
      <w:pPr>
        <w:spacing w:after="140" w:line="360"/>
        <w:ind w:left="567" w:hanging="567"/>
        <w:jc w:val="left"/>
      </w:pPr>
      <w:r>
        <w:rPr>
          <w:rFonts w:ascii="Times New Roman" w:cs="Times New Roman" w:eastAsia="Times New Roman" w:hAnsi="Times New Roman"/>
          <w:i w:val="false"/>
          <w:iCs w:val="false"/>
          <w:sz w:val="24"/>
          <w:szCs w:val="24"/>
        </w:rPr>
        <w:t xml:space="preserve">Bourbia, S., Kazeoui, H., &amp; Belarbi, R. (2023). A review on recent research on bio-based building materials and their applications. </w:t>
      </w:r>
      <w:r>
        <w:rPr>
          <w:rFonts w:ascii="Times New Roman" w:cs="Times New Roman" w:eastAsia="Times New Roman" w:hAnsi="Times New Roman"/>
          <w:i/>
          <w:iCs/>
          <w:sz w:val="24"/>
          <w:szCs w:val="24"/>
        </w:rPr>
        <w:t xml:space="preserve">Materials for Renewable and Sustainable Energy, 12</w:t>
      </w:r>
      <w:r>
        <w:rPr>
          <w:rFonts w:ascii="Times New Roman" w:cs="Times New Roman" w:eastAsia="Times New Roman" w:hAnsi="Times New Roman"/>
          <w:i w:val="false"/>
          <w:iCs w:val="false"/>
          <w:sz w:val="24"/>
          <w:szCs w:val="24"/>
        </w:rPr>
        <w:t xml:space="preserve">, 117–139. https://doi.org/10.1007/s40243-023-00234-7</w:t>
      </w:r>
    </w:p>
    <w:p>
      <w:pPr>
        <w:spacing w:after="140" w:line="360"/>
        <w:ind w:left="567" w:hanging="567"/>
        <w:jc w:val="left"/>
      </w:pPr>
      <w:r>
        <w:rPr>
          <w:rFonts w:ascii="Times New Roman" w:cs="Times New Roman" w:eastAsia="Times New Roman" w:hAnsi="Times New Roman"/>
          <w:i w:val="false"/>
          <w:iCs w:val="false"/>
          <w:sz w:val="24"/>
          <w:szCs w:val="24"/>
        </w:rPr>
        <w:t xml:space="preserve">Camere, S., &amp; Karana, E. (2018). Fabricating materials from living organisms: An emerging design practice. </w:t>
      </w:r>
      <w:r>
        <w:rPr>
          <w:rFonts w:ascii="Times New Roman" w:cs="Times New Roman" w:eastAsia="Times New Roman" w:hAnsi="Times New Roman"/>
          <w:i/>
          <w:iCs/>
          <w:sz w:val="24"/>
          <w:szCs w:val="24"/>
        </w:rPr>
        <w:t xml:space="preserve">Journal of Cleaner Production, 186</w:t>
      </w:r>
      <w:r>
        <w:rPr>
          <w:rFonts w:ascii="Times New Roman" w:cs="Times New Roman" w:eastAsia="Times New Roman" w:hAnsi="Times New Roman"/>
          <w:i w:val="false"/>
          <w:iCs w:val="false"/>
          <w:sz w:val="24"/>
          <w:szCs w:val="24"/>
        </w:rPr>
        <w:t xml:space="preserve">, 570–584. https://doi.org/10.1016/j.jclepro.2018.03.081</w:t>
      </w:r>
    </w:p>
    <w:p>
      <w:pPr>
        <w:spacing w:after="140" w:line="360"/>
        <w:ind w:left="567" w:hanging="567"/>
        <w:jc w:val="left"/>
      </w:pPr>
      <w:r>
        <w:rPr>
          <w:rFonts w:ascii="Times New Roman" w:cs="Times New Roman" w:eastAsia="Times New Roman" w:hAnsi="Times New Roman"/>
          <w:i w:val="false"/>
          <w:iCs w:val="false"/>
          <w:sz w:val="24"/>
          <w:szCs w:val="24"/>
        </w:rPr>
        <w:t xml:space="preserve">Chang, B. P., Mohanty, A. K., &amp; Misra, M. (2020). Studies on durability of sustainable biobased composites: A review. </w:t>
      </w:r>
      <w:r>
        <w:rPr>
          <w:rFonts w:ascii="Times New Roman" w:cs="Times New Roman" w:eastAsia="Times New Roman" w:hAnsi="Times New Roman"/>
          <w:i/>
          <w:iCs/>
          <w:sz w:val="24"/>
          <w:szCs w:val="24"/>
        </w:rPr>
        <w:t xml:space="preserve">RSC Advances, 10</w:t>
      </w:r>
      <w:r>
        <w:rPr>
          <w:rFonts w:ascii="Times New Roman" w:cs="Times New Roman" w:eastAsia="Times New Roman" w:hAnsi="Times New Roman"/>
          <w:i w:val="false"/>
          <w:iCs w:val="false"/>
          <w:sz w:val="24"/>
          <w:szCs w:val="24"/>
        </w:rPr>
        <w:t xml:space="preserve">(31), 17955–17999. https://doi.org/10.1039/C9RA09554C</w:t>
      </w:r>
    </w:p>
    <w:p>
      <w:pPr>
        <w:spacing w:after="140" w:line="360"/>
        <w:ind w:left="567" w:hanging="567"/>
        <w:jc w:val="left"/>
      </w:pPr>
      <w:r>
        <w:rPr>
          <w:rFonts w:ascii="Times New Roman" w:cs="Times New Roman" w:eastAsia="Times New Roman" w:hAnsi="Times New Roman"/>
          <w:i w:val="false"/>
          <w:iCs w:val="false"/>
          <w:sz w:val="24"/>
          <w:szCs w:val="24"/>
        </w:rPr>
        <w:t xml:space="preserve">Chayaamor-Heil, N., Houette, T., Demirci, Ö., &amp; Badarnah, L. (2024). The potential of co-designing with living organisms: Towards a new ecological paradigm in architecture. </w:t>
      </w:r>
      <w:r>
        <w:rPr>
          <w:rFonts w:ascii="Times New Roman" w:cs="Times New Roman" w:eastAsia="Times New Roman" w:hAnsi="Times New Roman"/>
          <w:i/>
          <w:iCs/>
          <w:sz w:val="24"/>
          <w:szCs w:val="24"/>
        </w:rPr>
        <w:t xml:space="preserve">Sustainability, 16</w:t>
      </w:r>
      <w:r>
        <w:rPr>
          <w:rFonts w:ascii="Times New Roman" w:cs="Times New Roman" w:eastAsia="Times New Roman" w:hAnsi="Times New Roman"/>
          <w:i w:val="false"/>
          <w:iCs w:val="false"/>
          <w:sz w:val="24"/>
          <w:szCs w:val="24"/>
        </w:rPr>
        <w:t xml:space="preserve">(2), 673. https://doi.org/10.3390/su16020673</w:t>
      </w:r>
    </w:p>
    <w:p>
      <w:pPr>
        <w:spacing w:after="140" w:line="360"/>
        <w:ind w:left="567" w:hanging="567"/>
        <w:jc w:val="left"/>
      </w:pPr>
      <w:r>
        <w:rPr>
          <w:rFonts w:ascii="Times New Roman" w:cs="Times New Roman" w:eastAsia="Times New Roman" w:hAnsi="Times New Roman"/>
          <w:i w:val="false"/>
          <w:iCs w:val="false"/>
          <w:sz w:val="24"/>
          <w:szCs w:val="24"/>
        </w:rPr>
        <w:t xml:space="preserve">Edalat, S. (2026). Advancing circular economy of bio-based building materials: Critical gaps and future prospects. </w:t>
      </w:r>
      <w:r>
        <w:rPr>
          <w:rFonts w:ascii="Times New Roman" w:cs="Times New Roman" w:eastAsia="Times New Roman" w:hAnsi="Times New Roman"/>
          <w:i/>
          <w:iCs/>
          <w:sz w:val="24"/>
          <w:szCs w:val="24"/>
        </w:rPr>
        <w:t xml:space="preserve">Circular Economy and Sustainability, 6</w:t>
      </w:r>
      <w:r>
        <w:rPr>
          <w:rFonts w:ascii="Times New Roman" w:cs="Times New Roman" w:eastAsia="Times New Roman" w:hAnsi="Times New Roman"/>
          <w:i w:val="false"/>
          <w:iCs w:val="false"/>
          <w:sz w:val="24"/>
          <w:szCs w:val="24"/>
        </w:rPr>
        <w:t xml:space="preserve">, 151. https://doi.org/10.1007/s43615-026-00729-1</w:t>
      </w:r>
    </w:p>
    <w:p>
      <w:pPr>
        <w:spacing w:after="140" w:line="360"/>
        <w:ind w:left="567" w:hanging="567"/>
        <w:jc w:val="left"/>
      </w:pPr>
      <w:r>
        <w:rPr>
          <w:rFonts w:ascii="Times New Roman" w:cs="Times New Roman" w:eastAsia="Times New Roman" w:hAnsi="Times New Roman"/>
          <w:i w:val="false"/>
          <w:iCs w:val="false"/>
          <w:sz w:val="24"/>
          <w:szCs w:val="24"/>
        </w:rPr>
        <w:t xml:space="preserve">Heymans, A., Breadsell, J., Morrison, G. M., Byrne, J. J., &amp; Eon, C. (2019). Ecological urban planning and design: A systematic literature review. </w:t>
      </w:r>
      <w:r>
        <w:rPr>
          <w:rFonts w:ascii="Times New Roman" w:cs="Times New Roman" w:eastAsia="Times New Roman" w:hAnsi="Times New Roman"/>
          <w:i/>
          <w:iCs/>
          <w:sz w:val="24"/>
          <w:szCs w:val="24"/>
        </w:rPr>
        <w:t xml:space="preserve">Sustainability, 11</w:t>
      </w:r>
      <w:r>
        <w:rPr>
          <w:rFonts w:ascii="Times New Roman" w:cs="Times New Roman" w:eastAsia="Times New Roman" w:hAnsi="Times New Roman"/>
          <w:i w:val="false"/>
          <w:iCs w:val="false"/>
          <w:sz w:val="24"/>
          <w:szCs w:val="24"/>
        </w:rPr>
        <w:t xml:space="preserve">(13), 3723. https://doi.org/10.3390/su11133723</w:t>
      </w:r>
    </w:p>
    <w:p>
      <w:pPr>
        <w:spacing w:after="140" w:line="360"/>
        <w:ind w:left="567" w:hanging="567"/>
        <w:jc w:val="left"/>
      </w:pPr>
      <w:r>
        <w:rPr>
          <w:rFonts w:ascii="Times New Roman" w:cs="Times New Roman" w:eastAsia="Times New Roman" w:hAnsi="Times New Roman"/>
          <w:i w:val="false"/>
          <w:iCs w:val="false"/>
          <w:sz w:val="24"/>
          <w:szCs w:val="24"/>
        </w:rPr>
        <w:t xml:space="preserve">Kırbaş Akyürek, B., Ciravoğlu, A., Mohammadi, M., &amp; Yeğenoğlu, H. (2020). Building design in between living and manufactured: A research on terminology. </w:t>
      </w:r>
      <w:r>
        <w:rPr>
          <w:rFonts w:ascii="Times New Roman" w:cs="Times New Roman" w:eastAsia="Times New Roman" w:hAnsi="Times New Roman"/>
          <w:i/>
          <w:iCs/>
          <w:sz w:val="24"/>
          <w:szCs w:val="24"/>
        </w:rPr>
        <w:t xml:space="preserve">Online Journal of Art and Design, 8</w:t>
      </w:r>
      <w:r>
        <w:rPr>
          <w:rFonts w:ascii="Times New Roman" w:cs="Times New Roman" w:eastAsia="Times New Roman" w:hAnsi="Times New Roman"/>
          <w:i w:val="false"/>
          <w:iCs w:val="false"/>
          <w:sz w:val="24"/>
          <w:szCs w:val="24"/>
        </w:rPr>
        <w:t xml:space="preserve">(3), 75–90.</w:t>
      </w:r>
    </w:p>
    <w:p>
      <w:pPr>
        <w:spacing w:after="140" w:line="360"/>
        <w:ind w:left="567" w:hanging="567"/>
        <w:jc w:val="left"/>
      </w:pPr>
      <w:r>
        <w:rPr>
          <w:rFonts w:ascii="Times New Roman" w:cs="Times New Roman" w:eastAsia="Times New Roman" w:hAnsi="Times New Roman"/>
          <w:i w:val="false"/>
          <w:iCs w:val="false"/>
          <w:sz w:val="24"/>
          <w:szCs w:val="24"/>
        </w:rPr>
        <w:t xml:space="preserve">Lee, J.-Y., Lee, S.-E., &amp; Lee, D.-W. (2022). Current status and future prospects of biological routes to bio-based products using raw materials, wastes, and residues as renewable resources. </w:t>
      </w:r>
      <w:r>
        <w:rPr>
          <w:rFonts w:ascii="Times New Roman" w:cs="Times New Roman" w:eastAsia="Times New Roman" w:hAnsi="Times New Roman"/>
          <w:i/>
          <w:iCs/>
          <w:sz w:val="24"/>
          <w:szCs w:val="24"/>
        </w:rPr>
        <w:t xml:space="preserve">Critical Reviews in Environmental Science and Technology, 52</w:t>
      </w:r>
      <w:r>
        <w:rPr>
          <w:rFonts w:ascii="Times New Roman" w:cs="Times New Roman" w:eastAsia="Times New Roman" w:hAnsi="Times New Roman"/>
          <w:i w:val="false"/>
          <w:iCs w:val="false"/>
          <w:sz w:val="24"/>
          <w:szCs w:val="24"/>
        </w:rPr>
        <w:t xml:space="preserve">(14). https://doi.org/10.1080/10643389.2021.1880259</w:t>
      </w:r>
    </w:p>
    <w:p>
      <w:pPr>
        <w:spacing w:after="140" w:line="360"/>
        <w:ind w:left="567" w:hanging="567"/>
        <w:jc w:val="left"/>
      </w:pPr>
      <w:r>
        <w:rPr>
          <w:rFonts w:ascii="Times New Roman" w:cs="Times New Roman" w:eastAsia="Times New Roman" w:hAnsi="Times New Roman"/>
          <w:i w:val="false"/>
          <w:iCs w:val="false"/>
          <w:sz w:val="24"/>
          <w:szCs w:val="24"/>
        </w:rPr>
        <w:t xml:space="preserve">O’Rourke, J., &amp; Seepersad, C. C. (2015). Using biology as a model for sustainability: Insights for ecodesign and bioinspired design practitioners. </w:t>
      </w:r>
      <w:r>
        <w:rPr>
          <w:rFonts w:ascii="Times New Roman" w:cs="Times New Roman" w:eastAsia="Times New Roman" w:hAnsi="Times New Roman"/>
          <w:i/>
          <w:iCs/>
          <w:sz w:val="24"/>
          <w:szCs w:val="24"/>
        </w:rPr>
        <w:t xml:space="preserve">Proceedings of the 20th International Conference on Engineering Design (ICED15)</w:t>
      </w:r>
      <w:r>
        <w:rPr>
          <w:rFonts w:ascii="Times New Roman" w:cs="Times New Roman" w:eastAsia="Times New Roman" w:hAnsi="Times New Roman"/>
          <w:i w:val="false"/>
          <w:iCs w:val="false"/>
          <w:sz w:val="24"/>
          <w:szCs w:val="24"/>
        </w:rPr>
        <w:t xml:space="preserve">, Milano, İtalya, 27–30 Temmuz 2015.</w:t>
      </w:r>
    </w:p>
    <w:p>
      <w:pPr>
        <w:pStyle w:val="Heading1"/>
        <w:spacing w:after="180" w:before="480" w:line="360"/>
      </w:pPr>
      <w:r>
        <w:rPr>
          <w:rFonts w:ascii="Times New Roman" w:cs="Times New Roman" w:eastAsia="Times New Roman" w:hAnsi="Times New Roman"/>
          <w:b/>
          <w:bCs/>
          <w:sz w:val="24"/>
          <w:szCs w:val="24"/>
        </w:rPr>
        <w:t xml:space="preserve">EK. Kaynak Doğrulama Notları (yazar kullanımı için)</w:t>
      </w:r>
    </w:p>
    <w:p>
      <w:pPr>
        <w:spacing w:after="160" w:line="360"/>
        <w:jc w:val="both"/>
      </w:pPr>
      <w:r>
        <w:rPr>
          <w:rFonts w:ascii="Times New Roman" w:cs="Times New Roman" w:eastAsia="Times New Roman" w:hAnsi="Times New Roman"/>
          <w:i/>
          <w:iCs/>
          <w:sz w:val="24"/>
          <w:szCs w:val="24"/>
        </w:rPr>
        <w:t xml:space="preserve">Nihai metinde yer almayacaktır; yalnızca kaynak denetimi içindir.</w:t>
      </w:r>
    </w:p>
    <w:p>
      <w:pPr>
        <w:spacing w:after="120" w:line="300"/>
        <w:ind w:left="400" w:hanging="400"/>
        <w:jc w:val="both"/>
      </w:pPr>
      <w:r>
        <w:rPr>
          <w:rFonts w:ascii="Times New Roman" w:cs="Times New Roman" w:eastAsia="Times New Roman" w:hAnsi="Times New Roman"/>
          <w:sz w:val="20"/>
          <w:szCs w:val="20"/>
        </w:rPr>
        <w:t xml:space="preserve">1. Metindeki on iki iddianın tamamı, tam metni incelenen kaynaklardan doğrulanmıştır. Andréen ve Goidea’nın (2022) “geleneksel yapı malzemelerinden önemli ölçüde farklı yaklaşımlar gerektirir” ifadesi ile Heymans vd.’nin (2019) Antroposen cümlesi, bölümün çıkış noktaları olduğu için makale metinlerinden bire bir karşılaştırılarak teyit edilmiştir.</w:t>
      </w:r>
    </w:p>
    <w:p>
      <w:pPr>
        <w:spacing w:after="120" w:line="300"/>
        <w:ind w:left="400" w:hanging="400"/>
        <w:jc w:val="both"/>
      </w:pPr>
      <w:r>
        <w:rPr>
          <w:rFonts w:ascii="Times New Roman" w:cs="Times New Roman" w:eastAsia="Times New Roman" w:hAnsi="Times New Roman"/>
          <w:sz w:val="20"/>
          <w:szCs w:val="20"/>
        </w:rPr>
        <w:t xml:space="preserve">2. 4.1’deki ve girişteki oranlar (%39 CO2, %40 ham madde, en az %30 katı atık) Edalat’ın kendi verisi değil, kaynaklarından aktardığı değerlerdir. Metinde bu nedenle “aktarmaktadır” ifadesi kullanılmıştır. Doğrudan atıf yapılacaksa künyeler Edalat’ın kaynakçasından alınmalıdır.</w:t>
      </w:r>
    </w:p>
    <w:p>
      <w:pPr>
        <w:spacing w:after="120" w:line="300"/>
        <w:ind w:left="400" w:hanging="400"/>
        <w:jc w:val="both"/>
      </w:pPr>
      <w:r>
        <w:rPr>
          <w:rFonts w:ascii="Times New Roman" w:cs="Times New Roman" w:eastAsia="Times New Roman" w:hAnsi="Times New Roman"/>
          <w:sz w:val="20"/>
          <w:szCs w:val="20"/>
        </w:rPr>
        <w:t xml:space="preserve">3. Heymans vd. (2019) Antroposen ifadesini kendi kaynak [1]’ine dayandırmaktadır; metinde yazarlara atfedilmiştir. Doğrudan atıf istenirse künye Heymans vd.’nin kaynakçasından alınmalıdır.</w:t>
      </w:r>
    </w:p>
    <w:p>
      <w:pPr>
        <w:spacing w:after="120" w:line="300"/>
        <w:ind w:left="400" w:hanging="400"/>
        <w:jc w:val="both"/>
      </w:pPr>
      <w:r>
        <w:rPr>
          <w:rFonts w:ascii="Times New Roman" w:cs="Times New Roman" w:eastAsia="Times New Roman" w:hAnsi="Times New Roman"/>
          <w:sz w:val="20"/>
          <w:szCs w:val="20"/>
        </w:rPr>
        <w:t xml:space="preserve">4. METNE ALINMAYAN İDDİA — İÇ MEKÂN YENİLEME DÖNGÜSÜ: Planlama aşamasında girişin açılış argümanı olarak “yapı 50–100 yıl ömürlüyken iç mekân donanımının 7–10 yılda bir yenilendiği” ifadesi öngörülmüştü. Bu iddia METNE ALINMAMIŞTIR; söz konusu rakamlar sektör kaynaklarından derlenmiş olup hakemli bir akademik kaynaktan doğrulanmamıştır. Giriş, iç mimarlık gerekçesini bunun yerine Edalat’ın (2026) doğrulanmış saptaması üzerinden kurmaktadır: ahşap dışı biyolojik temelli malzemelerin fiilî uygulama alanı büyük ölçüde iç mekândır.</w:t>
      </w:r>
    </w:p>
    <w:p>
      <w:pPr>
        <w:spacing w:after="120" w:line="300"/>
        <w:ind w:left="400" w:hanging="400"/>
        <w:jc w:val="both"/>
      </w:pPr>
      <w:r>
        <w:rPr>
          <w:rFonts w:ascii="Times New Roman" w:cs="Times New Roman" w:eastAsia="Times New Roman" w:hAnsi="Times New Roman"/>
          <w:sz w:val="20"/>
          <w:szCs w:val="20"/>
        </w:rPr>
        <w:t xml:space="preserve">5. Katman ömürleri (shearing layers) argümanı eklenmek istenirse iki kaynak temin edilmelidir; künyeler Kırbaş Akyürek vd.’nin (2020) kaynakçasından doğrulanmıştır: Brand, S. (1994). How buildings learn. New York: Viking. — ve — Pushkar, S., &amp; Shaviv, E. (2016). Using shearing layer concept to evaluate green rating systems. Architectural Science Review, 59(2), 114–125.</w:t>
      </w:r>
    </w:p>
    <w:p>
      <w:pPr>
        <w:spacing w:after="120" w:line="300"/>
        <w:ind w:left="400" w:hanging="400"/>
        <w:jc w:val="both"/>
      </w:pPr>
      <w:r>
        <w:rPr>
          <w:rFonts w:ascii="Times New Roman" w:cs="Times New Roman" w:eastAsia="Times New Roman" w:hAnsi="Times New Roman"/>
          <w:sz w:val="20"/>
          <w:szCs w:val="20"/>
        </w:rPr>
        <w:t xml:space="preserve">6. Tyagi ve Jain (2026), iç mekânda biyolojik temelli ve yenileyici malzeme araştırmalarının 2017 sonrasında hızla büyüdüğünü ortaya koymaktadır. Bu bulgu girişe güncellik kazandırırdı; ancak çalışmanın tam metni görülmediği için metne ALINMAMIŞTIR. Temin edilirse üçüncü paragrafın sonuna tek cümle olarak eklenebilir.</w:t>
      </w:r>
    </w:p>
    <w:p>
      <w:pPr>
        <w:spacing w:after="120" w:line="300"/>
        <w:ind w:left="400" w:hanging="400"/>
        <w:jc w:val="both"/>
      </w:pPr>
      <w:r>
        <w:rPr>
          <w:rFonts w:ascii="Times New Roman" w:cs="Times New Roman" w:eastAsia="Times New Roman" w:hAnsi="Times New Roman"/>
          <w:sz w:val="20"/>
          <w:szCs w:val="20"/>
        </w:rPr>
        <w:t xml:space="preserve">7. Kırbaş Akyürek vd. (2020) künyesindeki sayfa aralığının son sayfası metin çıkarımından kesinleştirilememiştir (son görünen sayfa işareti 89 olup kaynakça bu sayfadan sonra da devam etmektedir). YAYIMCI SAYFASINDAN TEYİT EDİLMELİDİR.</w:t>
      </w:r>
    </w:p>
    <w:p>
      <w:pPr>
        <w:spacing w:after="120" w:line="300"/>
        <w:ind w:left="400" w:hanging="400"/>
        <w:jc w:val="both"/>
      </w:pPr>
      <w:r>
        <w:rPr>
          <w:rFonts w:ascii="Times New Roman" w:cs="Times New Roman" w:eastAsia="Times New Roman" w:hAnsi="Times New Roman"/>
          <w:sz w:val="20"/>
          <w:szCs w:val="20"/>
        </w:rPr>
        <w:t xml:space="preserve">8. Giriş, gövde yazıldıktan sonra kaleme alınmıştır; yapı özetindeki yedi adım nihai başlık numaralarıyla son kez karşılaştırılmalıdır.</w:t>
      </w:r>
    </w:p>
    <w:p>
      <w:pPr>
        <w:spacing w:after="120" w:line="300"/>
        <w:ind w:left="400" w:hanging="400"/>
        <w:jc w:val="both"/>
      </w:pPr>
      <w:r>
        <w:rPr>
          <w:rFonts w:ascii="Times New Roman" w:cs="Times New Roman" w:eastAsia="Times New Roman" w:hAnsi="Times New Roman"/>
          <w:sz w:val="20"/>
          <w:szCs w:val="20"/>
        </w:rPr>
        <w:t xml:space="preserve">9. HACİM: Yaklaşık 640 kelimedir; plandaki hedef 550’ydi. Kısaltma gerekirse dördüncü paragraf (kavramsal ve uygulamaya ilişkin iki sınırlılık) sıkıştırılabilir.</w:t>
      </w:r>
    </w:p>
    <w:p>
      <w:pPr>
        <w:spacing w:after="120" w:line="300"/>
        <w:ind w:left="400" w:hanging="400"/>
        <w:jc w:val="both"/>
      </w:pPr>
      <w:r>
        <w:rPr>
          <w:rFonts w:ascii="Times New Roman" w:cs="Times New Roman" w:eastAsia="Times New Roman" w:hAnsi="Times New Roman"/>
          <w:sz w:val="20"/>
          <w:szCs w:val="20"/>
        </w:rPr>
        <w:t xml:space="preserve">10. Bu alt bölümde yazarın kendi doktora tezinden hiçbir veri veya atıf kullanılmamıştır.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Giriş</dc:title>
  <dc:creator>Betül Ünal</dc:creator>
  <dc:description>İç Mimarlıkta Sürdürülebilir Malzeme Seçimi ve Döngüsel Tasarım — 1. bölüm taslağı</dc:description>
  <cp:lastModifiedBy>Un-named</cp:lastModifiedBy>
  <cp:revision>1</cp:revision>
  <dcterms:created xsi:type="dcterms:W3CDTF">2026-10-01T09:04:15.972Z</dcterms:created>
  <dcterms:modified xsi:type="dcterms:W3CDTF">2026-10-01T09:04:15.973Z</dcterms:modified>
</cp:coreProperties>
</file>

<file path=docProps/custom.xml><?xml version="1.0" encoding="utf-8"?>
<Properties xmlns="http://schemas.openxmlformats.org/officeDocument/2006/custom-properties" xmlns:vt="http://schemas.openxmlformats.org/officeDocument/2006/docPropsVTypes"/>
</file>