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3. BİYOMALZEMELER VE MALZEMENİN YENİDEN DÜŞÜNÜLMESİ</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1.000 kelime</w:t>
      </w:r>
    </w:p>
    <w:p>
      <w:pPr>
        <w:spacing w:after="160" w:line="360"/>
        <w:jc w:val="both"/>
      </w:pPr>
      <w:r>
        <w:rPr>
          <w:rFonts w:ascii="Times New Roman" w:cs="Times New Roman" w:eastAsia="Times New Roman" w:hAnsi="Times New Roman"/>
          <w:sz w:val="24"/>
          <w:szCs w:val="24"/>
        </w:rPr>
        <w:t xml:space="preserve">Önceki başlıkta biyotasarım bir tasarım yaklaşımı olarak ele alınmıştı. Bu başlıkta ise söz konusu yaklaşımın ürettiği malzemeler, yani nesne düzlemi incelenmektedir. Ayrım önemlidir: biyotasarım tasarımcının doğayla kurduğu ilişkiyi tanımlarken, biyomalzemeler bu ilişkinin maddi karşılığını oluşturur.</w:t>
      </w:r>
    </w:p>
    <w:p>
      <w:pPr>
        <w:pStyle w:val="Heading2"/>
        <w:spacing w:after="180" w:before="320" w:line="360"/>
      </w:pPr>
      <w:r>
        <w:rPr>
          <w:rFonts w:ascii="Times New Roman" w:cs="Times New Roman" w:eastAsia="Times New Roman" w:hAnsi="Times New Roman"/>
          <w:b/>
          <w:bCs/>
          <w:sz w:val="26"/>
          <w:szCs w:val="26"/>
        </w:rPr>
        <w:t xml:space="preserve">3.1. Üç Farklı Yaklaşım: Biyoesinli, Biyolojik Temelli ve Canlı Malzemeler</w:t>
      </w:r>
    </w:p>
    <w:p>
      <w:pPr>
        <w:spacing w:after="160" w:line="360"/>
        <w:jc w:val="both"/>
      </w:pPr>
      <w:r>
        <w:rPr>
          <w:rFonts w:ascii="Times New Roman" w:cs="Times New Roman" w:eastAsia="Times New Roman" w:hAnsi="Times New Roman"/>
          <w:sz w:val="24"/>
          <w:szCs w:val="24"/>
        </w:rPr>
        <w:t xml:space="preserve">Doğa temelli malzemeler alanyazında sıklıkla tek bir başlık altında toplanmakta, bu da kavramsal bir belirsizlik üretmektedir. Chayaamor-Heil, Perricone, Gruber ve Guéna (2023), mimarlık ve inşaat alanındaki güncel araştırmaları derledikleri çalışmalarında bu alanı üç ayrı tasarım yaklaşımı olarak ele almaktadır: biyoesinli (bioinspired), biyolojik temelli (biobased) ve canlı (living) malzeme tasarımları.</w:t>
      </w:r>
    </w:p>
    <w:p>
      <w:pPr>
        <w:spacing w:after="160" w:line="360"/>
        <w:jc w:val="both"/>
      </w:pPr>
      <w:r>
        <w:rPr>
          <w:rFonts w:ascii="Times New Roman" w:cs="Times New Roman" w:eastAsia="Times New Roman" w:hAnsi="Times New Roman"/>
          <w:sz w:val="24"/>
          <w:szCs w:val="24"/>
        </w:rPr>
        <w:t xml:space="preserve">Bu üçlü ayrımın belirleyici ölçütü, doğanın tasarım sürecine hangi düzeyde dahil olduğudur. Biyoesinli malzemelerde doğa bir ilke ya da strateji kaynağıdır; malzemenin kendisinde biyolojik bir bileşen bulunmaz. Biyolojik temelli malzemelerde doğa bir girdi kaynağıdır; malzeme biyolojik kökenli hammaddelerden üretilir ancak kullanım anında canlı değildir. Canlı malzemelerde ise organizma malzemenin içinde varlığını sürdürür ve malzemenin davranışı bu canlılığa bağlı kalır. Bu ayrım, bir sonraki başlıkta ele alınacak döngüsellik tartışması açısından da belirleyicidir; çünkü üç yaklaşım, malzemenin ömür sonu senaryosu bakımından birbirinden farklı koşullar üretir (Tablo 2).</w:t>
      </w:r>
    </w:p>
    <w:p>
      <w:pPr>
        <w:pStyle w:val="Heading2"/>
        <w:spacing w:after="180" w:before="320" w:line="360"/>
      </w:pPr>
      <w:r>
        <w:rPr>
          <w:rFonts w:ascii="Times New Roman" w:cs="Times New Roman" w:eastAsia="Times New Roman" w:hAnsi="Times New Roman"/>
          <w:b/>
          <w:bCs/>
          <w:sz w:val="26"/>
          <w:szCs w:val="26"/>
        </w:rPr>
        <w:t xml:space="preserve">3.2. Biyolojik Temelli Malzemeler</w:t>
      </w:r>
    </w:p>
    <w:p>
      <w:pPr>
        <w:spacing w:after="160" w:line="360"/>
        <w:jc w:val="both"/>
      </w:pPr>
      <w:r>
        <w:rPr>
          <w:rFonts w:ascii="Times New Roman" w:cs="Times New Roman" w:eastAsia="Times New Roman" w:hAnsi="Times New Roman"/>
          <w:sz w:val="24"/>
          <w:szCs w:val="24"/>
        </w:rPr>
        <w:t xml:space="preserve">Biyolojik temelli malzemeler, yapı alanyazınında en geniş yer tutan kategoridir. Le, Salomone ve Nguyen (2023), 97 çalışmayı inceledikleri derlemelerinde döngüsel biyolojik temelli yapı malzemelerini, tamamen veya kısmen yenilenebilir biyolojik kökenlerden ya da bitkisel ve/veya hayvansal biyokütlenin yan ürün ve biyoatıklarından elde edilen; özgün biçimleriyle veya yeniden işlenerek yapıda ham yapı malzemesi ve bezeme ögesi olarak kullanılabilen malzemeler olarak tanımlamaktadır. Bu tanım iki açıdan dikkat çekicidir: girdi kaynağı olarak yalnızca birincil biyokütleyi değil yan ürün ve atık akımlarını da kapsamakta; ikinci olarak malzemeyi strüktürel kullanımla sınırlamayıp bezeme ögelerini de dahil ederek iç mekân uygulamalarına doğrudan alan açmaktadır.</w:t>
      </w:r>
    </w:p>
    <w:p>
      <w:pPr>
        <w:spacing w:after="160" w:line="360"/>
        <w:jc w:val="both"/>
      </w:pPr>
      <w:r>
        <w:rPr>
          <w:rFonts w:ascii="Times New Roman" w:cs="Times New Roman" w:eastAsia="Times New Roman" w:hAnsi="Times New Roman"/>
          <w:sz w:val="24"/>
          <w:szCs w:val="24"/>
        </w:rPr>
        <w:t xml:space="preserve">Nitekim aynı çalışma, incelenen malzemeleri üç uygulama kategorisinde toplamaktadır: döngüsel biyolojik temelli yalıtım malzemeleri; beton, harç ya da bağlayıcı ve dolgu malzemeleri; ve tavan ile döşeme gibi iç mekân uygulamalarına yönelik malzemeler (Le vd., 2023). Üçüncü kategorinin ayrı bir başlık olarak tanımlanması, iç mekânın bu alanyazında kendine ait bir uygulama alanı olarak görüldüğünü göstermektedir.</w:t>
      </w:r>
    </w:p>
    <w:p>
      <w:pPr>
        <w:spacing w:after="160" w:line="360"/>
        <w:jc w:val="both"/>
      </w:pPr>
      <w:r>
        <w:rPr>
          <w:rFonts w:ascii="Times New Roman" w:cs="Times New Roman" w:eastAsia="Times New Roman" w:hAnsi="Times New Roman"/>
          <w:sz w:val="24"/>
          <w:szCs w:val="24"/>
        </w:rPr>
        <w:t xml:space="preserve">Bourbia, Kazeoui ve Belarbi (2023), yapı kabuğunda kullanılan biyolojik temelli malzemeleri derledikleri çalışmalarında kenevir, ahşap, hurma ağacı, mantar, alfa otu ve samanı inceleyerek bu malzemelerin yenilenebilir olma, düşük gömülü enerjiye sahip olma ve ısıl düzenleme kapasitesi gibi ortak özelliklerine dikkat çekmektedir. Bu liste, biyolojik temelli malzemelerin önemli bir bölümünün aslında yeni değil, geleneksel yapı kültürüne ait malzemeler olduğunu göstermektedir. Nitekim Andréen ve Goidea (2022) da önerdikleri biyolojik tasarım ilkelerinin kendi başlarına yeni olmadığını, modern inşaat sanayisinin doğuşundan önce mimarlığın uzun süre bu stratejilerle üretildiğini ve hem tarihsel hem güncel vernaküler mimarlığın bu stratejileri büyük ölçüde içerdiğini belirtmektedir.</w:t>
      </w:r>
    </w:p>
    <w:p>
      <w:pPr>
        <w:spacing w:after="160" w:line="360"/>
        <w:jc w:val="both"/>
      </w:pPr>
      <w:r>
        <w:rPr>
          <w:rFonts w:ascii="Times New Roman" w:cs="Times New Roman" w:eastAsia="Times New Roman" w:hAnsi="Times New Roman"/>
          <w:sz w:val="24"/>
          <w:szCs w:val="24"/>
        </w:rPr>
        <w:t xml:space="preserve">Bu saptama, iç mimarlık açısından özellikle anlamlıdır. Tyagi ve Jain (2026), iç mekân tasarımında biyolojik temelli ve yenileyici malzemeler üzerine 104 yayını inceledikleri sistematik derlemede, bambu, kerpiç, saman ve kenevir gibi vernaküler biyolojik temelli malzemelerin düşük etkili iç mekân uygulamalarında merkezî konumunu koruduğunu; buna karşılık miselyum, bakteriyel selüloz ve alg gibi biyofabrike malzemelerin deneysel araştırmalara hâkim olduğunu ortaya koymaktadır. Yani alan, bir yanda köklü bir yapı kültürüne, diğer yanda henüz laboratuvar aşamasındaki bir araştırma gündemine yaslanmaktadır.</w:t>
      </w:r>
    </w:p>
    <w:p>
      <w:pPr>
        <w:pStyle w:val="Heading2"/>
        <w:spacing w:after="180" w:before="320" w:line="360"/>
      </w:pPr>
      <w:r>
        <w:rPr>
          <w:rFonts w:ascii="Times New Roman" w:cs="Times New Roman" w:eastAsia="Times New Roman" w:hAnsi="Times New Roman"/>
          <w:b/>
          <w:bCs/>
          <w:sz w:val="26"/>
          <w:szCs w:val="26"/>
        </w:rPr>
        <w:t xml:space="preserve">3.3. Canlı Malzemeler ve Biyofabrikasyon</w:t>
      </w:r>
    </w:p>
    <w:p>
      <w:pPr>
        <w:spacing w:after="160" w:line="360"/>
        <w:jc w:val="both"/>
      </w:pPr>
      <w:r>
        <w:rPr>
          <w:rFonts w:ascii="Times New Roman" w:cs="Times New Roman" w:eastAsia="Times New Roman" w:hAnsi="Times New Roman"/>
          <w:sz w:val="24"/>
          <w:szCs w:val="24"/>
        </w:rPr>
        <w:t xml:space="preserve">Canlı malzemeler, organizmanın üretim sürecine doğrudan katıldığı ve çoğu durumda malzemenin yapısında varlığını sürdürdüğü kategoridir. Karana, Blauwhoff, Hultink ve Camere (2018), bakteri, alg veya mantar tarafından üretilen malzemelerin ürün tasarımında giderek daha fazla yenilikçi biyolojik temelli seçenekler olarak kullanıldığını belirtmektedir.</w:t>
      </w:r>
    </w:p>
    <w:p>
      <w:pPr>
        <w:spacing w:after="160" w:line="360"/>
        <w:jc w:val="both"/>
      </w:pPr>
      <w:r>
        <w:rPr>
          <w:rFonts w:ascii="Times New Roman" w:cs="Times New Roman" w:eastAsia="Times New Roman" w:hAnsi="Times New Roman"/>
          <w:sz w:val="24"/>
          <w:szCs w:val="24"/>
        </w:rPr>
        <w:t xml:space="preserve">Chayaamor-Heil, Houette, Demirci ve Badarnah (2024), mimarlık bağlamında bu üç organizmayı — alg, bakteri ve mantar — ele aldıkları çalışmalarında her organizma için birer mimari vaka incelemesi seçmiş ve süreçte yer alan çok disiplinli uzmanlarla görüşmeler yürütmüşlerdir. Çalışmanın iç mimarlık açısından en dikkat çekici bulgusu şudur: canlı organizmalardan yeni malzeme ya da tasarım bileşeni geliştirilmesi, ölçek, çok katmanlılık ve gereksinimlerden kaynaklanan kısıtlar nedeniyle mimarlık ve inşaatta, tekstil, moda ve ürün tasarımına kıyasla daha güç gerçekleşmektedir. Bu saptama, canlı malzemelerin yapılı çevreye girişinde ölçeğin belirleyici bir eşik olduğunu göstermekte ve taşıyıcı olmayan, görece küçük ölçekli iç mekân bileşenlerinin neden öncelikli bir uygulama alanı oluşturabileceğine işaret etmektedir.</w:t>
      </w:r>
    </w:p>
    <w:p>
      <w:pPr>
        <w:pStyle w:val="Heading2"/>
        <w:spacing w:after="180" w:before="320" w:line="360"/>
      </w:pPr>
      <w:r>
        <w:rPr>
          <w:rFonts w:ascii="Times New Roman" w:cs="Times New Roman" w:eastAsia="Times New Roman" w:hAnsi="Times New Roman"/>
          <w:b/>
          <w:bCs/>
          <w:sz w:val="26"/>
          <w:szCs w:val="26"/>
        </w:rPr>
        <w:t xml:space="preserve">3.4. Atık ve Artıkların Malzeme Kaynağı Olarak Değerlendirilmesi</w:t>
      </w:r>
    </w:p>
    <w:p>
      <w:pPr>
        <w:spacing w:after="160" w:line="360"/>
        <w:jc w:val="both"/>
      </w:pPr>
      <w:r>
        <w:rPr>
          <w:rFonts w:ascii="Times New Roman" w:cs="Times New Roman" w:eastAsia="Times New Roman" w:hAnsi="Times New Roman"/>
          <w:sz w:val="24"/>
          <w:szCs w:val="24"/>
        </w:rPr>
        <w:t xml:space="preserve">Biyolojik temelli üretimin ayırt edici özelliklerinden biri, girdi olarak başka bir sürecin çıktısını kullanabilmesidir. Lee, Lee ve Lee (2022), son yıllarda değerlendirilemeyen biyokütlenin alternatif hammadde olarak kullanılabilirliğini artırmaya ve çevresel kirliliği azaltmaya yönelik çabaların, biyokütle hammaddelerine dayalı biyoproseslerle fosil kökenli eşdeğerlerinin yerini alabilecek biyolojik temelli ürünlerin üretimine yöneldiğini ortaya koymaktadır.</w:t>
      </w:r>
    </w:p>
    <w:p>
      <w:pPr>
        <w:spacing w:after="160" w:line="360"/>
        <w:jc w:val="both"/>
      </w:pPr>
      <w:r>
        <w:rPr>
          <w:rFonts w:ascii="Times New Roman" w:cs="Times New Roman" w:eastAsia="Times New Roman" w:hAnsi="Times New Roman"/>
          <w:sz w:val="24"/>
          <w:szCs w:val="24"/>
        </w:rPr>
        <w:t xml:space="preserve">Bu dönüşümün malzeme ölçeğindeki karşılığı, atık olarak sınıflandırılan biyolojik maddelerin karakterize edilerek üretime geri kazandırılmasıdır. Babatunde ve arkadaşları (2020), yengeç kabuğundan kitosan eldesini inceledikleri çalışmalarında, ticari kitosanla karşılaştırmalı olarak %22,75 verim ve %71 deasetilasyon derecesi elde etmiş; malzemenin gözenekli ve süngerimsi bir yapı sergilediğini göstermiştir. Bu tür çalışmalar, bir biyolojik atığın malzeme kaynağına dönüşmesinin teknik koşullarını ortaya koyması bakımından, kavramsal tartışmaya ampirik bir zemin sunmaktadır.</w:t>
      </w:r>
    </w:p>
    <w:p>
      <w:pPr>
        <w:pStyle w:val="Heading2"/>
        <w:spacing w:after="180" w:before="320" w:line="360"/>
      </w:pPr>
      <w:r>
        <w:rPr>
          <w:rFonts w:ascii="Times New Roman" w:cs="Times New Roman" w:eastAsia="Times New Roman" w:hAnsi="Times New Roman"/>
          <w:b/>
          <w:bCs/>
          <w:sz w:val="26"/>
          <w:szCs w:val="26"/>
        </w:rPr>
        <w:t xml:space="preserve">3.5. Malzemenin Edilgen Nesneden Etkin Bileşene Dönüşmesi</w:t>
      </w:r>
    </w:p>
    <w:p>
      <w:pPr>
        <w:spacing w:after="160" w:line="360"/>
        <w:jc w:val="both"/>
      </w:pPr>
      <w:r>
        <w:rPr>
          <w:rFonts w:ascii="Times New Roman" w:cs="Times New Roman" w:eastAsia="Times New Roman" w:hAnsi="Times New Roman"/>
          <w:sz w:val="24"/>
          <w:szCs w:val="24"/>
        </w:rPr>
        <w:t xml:space="preserve">Yukarıda sıralanan malzemelerin ortak özelliği, tasarımcının denetimini sınırlayan davranışlar sergilemeleridir. Bu durum, tasarım pratiğinde malzemenin konumunu değiştirmektedir.</w:t>
      </w:r>
    </w:p>
    <w:p>
      <w:pPr>
        <w:spacing w:after="160" w:line="360"/>
        <w:jc w:val="both"/>
      </w:pPr>
      <w:r>
        <w:rPr>
          <w:rFonts w:ascii="Times New Roman" w:cs="Times New Roman" w:eastAsia="Times New Roman" w:hAnsi="Times New Roman"/>
          <w:b w:val="false"/>
          <w:bCs w:val="false"/>
          <w:i w:val="false"/>
          <w:iCs w:val="false"/>
          <w:sz w:val="24"/>
          <w:szCs w:val="24"/>
        </w:rPr>
        <w:t xml:space="preserve">Camere ve Karana (2018), bu değişimi </w:t>
      </w:r>
      <w:r>
        <w:rPr>
          <w:rFonts w:ascii="Times New Roman" w:cs="Times New Roman" w:eastAsia="Times New Roman" w:hAnsi="Times New Roman"/>
          <w:b w:val="false"/>
          <w:bCs w:val="false"/>
          <w:i/>
          <w:iCs/>
          <w:sz w:val="24"/>
          <w:szCs w:val="24"/>
        </w:rPr>
        <w:t xml:space="preserve">malzeme seçiminden malzeme tasarımına</w:t>
      </w:r>
      <w:r>
        <w:rPr>
          <w:rFonts w:ascii="Times New Roman" w:cs="Times New Roman" w:eastAsia="Times New Roman" w:hAnsi="Times New Roman"/>
          <w:b w:val="false"/>
          <w:bCs w:val="false"/>
          <w:i w:val="false"/>
          <w:iCs w:val="false"/>
          <w:sz w:val="24"/>
          <w:szCs w:val="24"/>
        </w:rPr>
        <w:t xml:space="preserve"> geçiş olarak adlandırmaktadır. Geleneksel olarak tasarımcılar, ürün kavramlarını somutlaştırmak için malzemeleri seçerler; ancak canlı organizmalarla üretilen malzemeler söz konusu olduğunda tasarımcılar giderek malzemenin erken geliştirme aşamalarına katılmaktadır. Yazarlar, sekiz deneyimli uygulamacıyla yürüttükleri görüşmelere dayanarak, canlı organizmalarla malzeme üretmenin tasarımcıların malzemeye ve sürece bakışını, benimsedikleri zihniyeti ve vizyonu değiştirdiğini; dahası “insan yapımı” ve “doğal” gibi yerleşik anlamları sorgulattığını belirtmektedir.</w:t>
      </w:r>
    </w:p>
    <w:p>
      <w:pPr>
        <w:spacing w:after="160" w:line="360"/>
        <w:jc w:val="both"/>
      </w:pPr>
      <w:r>
        <w:rPr>
          <w:rFonts w:ascii="Times New Roman" w:cs="Times New Roman" w:eastAsia="Times New Roman" w:hAnsi="Times New Roman"/>
          <w:sz w:val="24"/>
          <w:szCs w:val="24"/>
        </w:rPr>
        <w:t xml:space="preserve">Rognoli ve Ayala García (2018), aynı dönüşümü malzeme aktivizmi kavramıyla ele almaktadır. Yazarlara göre malzeme deneyimimiz, çevremizi saran nesnelerin neredeyse tamamının endüstriyel seri üretimden gelmesi nedeniyle koşullanmış bir deneyimdir; malzeme geliştirme ise büyük ölçüde iki gücün — stratejik sektörlerdeki teknik sorunların çözümü ve kolayca ölçeklenebilir uygun maliyetli çözüm arayışının — denetimindedir. Malzeme aktivizmi, tasarımcıların düşük teknolojili, deneysel ve kendin-yap yaklaşımlarla bu sürece yeniden dahil olmasını önermektedir.</w:t>
      </w:r>
    </w:p>
    <w:p>
      <w:pPr>
        <w:spacing w:after="160" w:line="360"/>
        <w:jc w:val="both"/>
      </w:pPr>
      <w:r>
        <w:rPr>
          <w:rFonts w:ascii="Times New Roman" w:cs="Times New Roman" w:eastAsia="Times New Roman" w:hAnsi="Times New Roman"/>
          <w:sz w:val="24"/>
          <w:szCs w:val="24"/>
        </w:rPr>
        <w:t xml:space="preserve">Ancak malzemenin etkinleşmesi yalnızca bir olanak değil, aynı zamanda bir belirsizlik kaynağıdır. Chang, Mohanty ve Misra (2020), biyokompozitlerin mekanik performansını geliştirmeye yönelik çok sayıda çalışma bulunmasına karşın, bu malzemelerin uzun süreli dayanıklılık performansına ilişkin bilimsel bilginin erişilebilir alanyazında oldukça sınırlı kaldığını; farklı yaşlanma mekanizmalarının ve hizmet koşullarının etkilerine yönelik çalışmalara ihtiyaç duyulduğunu belirtmektedir. Dolayısıyla malzemenin etkin bir bileşene dönüşmesi, tasarımcıya yeni bir sorumluluk da yüklemektedir: malzemenin zaman içindeki davranışının, tasarım kararının bir parçası olarak öngörülmesi.</w:t>
      </w:r>
    </w:p>
    <w:p>
      <w:pPr>
        <w:spacing w:after="140" w:before="420" w:line="240"/>
      </w:pPr>
      <w:r>
        <w:rPr>
          <w:rFonts w:ascii="Times New Roman" w:cs="Times New Roman" w:eastAsia="Times New Roman" w:hAnsi="Times New Roman"/>
          <w:b/>
          <w:bCs/>
          <w:sz w:val="22"/>
          <w:szCs w:val="22"/>
        </w:rPr>
        <w:t xml:space="preserve">Tablo 2. </w:t>
      </w:r>
      <w:r>
        <w:rPr>
          <w:rFonts w:ascii="Times New Roman" w:cs="Times New Roman" w:eastAsia="Times New Roman" w:hAnsi="Times New Roman"/>
          <w:sz w:val="22"/>
          <w:szCs w:val="22"/>
        </w:rPr>
        <w:t xml:space="preserve">Doğa temelli malzeme yaklaşımlarının karşılaştırması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2333"/>
        <w:gridCol w:w="2333"/>
        <w:gridCol w:w="2334"/>
      </w:tblGrid>
      <w:tr>
        <w:trPr>
          <w:tblHeader/>
        </w:trPr>
        <w:tc>
          <w:tcPr>
            <w:tcW w:type="dxa" w:w="20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
            </w:r>
          </w:p>
        </w:tc>
        <w:tc>
          <w:tcPr>
            <w:tcW w:type="dxa" w:w="2333"/>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Biyoesinli (bioinspired)</w:t>
            </w:r>
          </w:p>
        </w:tc>
        <w:tc>
          <w:tcPr>
            <w:tcW w:type="dxa" w:w="2333"/>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Biyolojik temelli (biobased)</w:t>
            </w:r>
          </w:p>
        </w:tc>
        <w:tc>
          <w:tcPr>
            <w:tcW w:type="dxa" w:w="2334"/>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Canlı (living)</w:t>
            </w:r>
          </w:p>
        </w:tc>
      </w:tr>
      <w:tr>
        <w:trPr>
          <w:tblHeader w:val="off"/>
        </w:trPr>
        <w:tc>
          <w:tcPr>
            <w:tcW w:type="dxa" w:w="20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Doğanın rolü</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İlke ve strateji kaynağı</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Girdi kaynağı</w:t>
            </w:r>
          </w:p>
        </w:tc>
        <w:tc>
          <w:tcPr>
            <w:tcW w:type="dxa" w:w="2334"/>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Üretime katılan organizma</w:t>
            </w:r>
          </w:p>
        </w:tc>
      </w:tr>
      <w:tr>
        <w:trPr>
          <w:tblHeader w:val="off"/>
        </w:trPr>
        <w:tc>
          <w:tcPr>
            <w:tcW w:type="dxa" w:w="20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Malzemede biyolojik bileşen</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Yok</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Var, canlı değil</w:t>
            </w:r>
          </w:p>
        </w:tc>
        <w:tc>
          <w:tcPr>
            <w:tcW w:type="dxa" w:w="2334"/>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Var, canlı</w:t>
            </w:r>
          </w:p>
        </w:tc>
      </w:tr>
      <w:tr>
        <w:trPr>
          <w:tblHeader w:val="off"/>
        </w:trPr>
        <w:tc>
          <w:tcPr>
            <w:tcW w:type="dxa" w:w="20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Tasarımcının işi</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Biyolojik ilkeyi aktarmak</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Kaynağı seçmek ve işlemek</w:t>
            </w:r>
          </w:p>
        </w:tc>
        <w:tc>
          <w:tcPr>
            <w:tcW w:type="dxa" w:w="2334"/>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Yaşam koşullarını sürdürmek</w:t>
            </w:r>
          </w:p>
        </w:tc>
      </w:tr>
      <w:tr>
        <w:trPr>
          <w:tblHeader w:val="off"/>
        </w:trPr>
        <w:tc>
          <w:tcPr>
            <w:tcW w:type="dxa" w:w="20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Örnek malzemeler</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 (biçim ve strüktür çözümleri)</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Kenevir, ahşap, mantar, saman, alfa otu¹</w:t>
            </w:r>
          </w:p>
        </w:tc>
        <w:tc>
          <w:tcPr>
            <w:tcW w:type="dxa" w:w="2334"/>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Miselyum, bakteriyel selüloz, alg²</w:t>
            </w:r>
          </w:p>
        </w:tc>
      </w:tr>
      <w:tr>
        <w:trPr>
          <w:tblHeader w:val="off"/>
        </w:trPr>
        <w:tc>
          <w:tcPr>
            <w:tcW w:type="dxa" w:w="20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İç mekânda görünüm</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Yüzey geometrisi, strüktür</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Vernaküler malzemeler, yalıtım, tavan ve döşeme³</w:t>
            </w:r>
          </w:p>
        </w:tc>
        <w:tc>
          <w:tcPr>
            <w:tcW w:type="dxa" w:w="2334"/>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Deneysel araştırma ağırlıklı⁴</w:t>
            </w:r>
          </w:p>
        </w:tc>
      </w:tr>
      <w:tr>
        <w:trPr>
          <w:tblHeader w:val="off"/>
        </w:trPr>
        <w:tc>
          <w:tcPr>
            <w:tcW w:type="dxa" w:w="202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Belirleyici kısıt</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Biyolojik analojinin bağlamdan koparılması</w:t>
            </w:r>
          </w:p>
        </w:tc>
        <w:tc>
          <w:tcPr>
            <w:tcW w:type="dxa" w:w="233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Ömür sonu senaryosu ve bağlayıcı uyumluluğu</w:t>
            </w:r>
          </w:p>
        </w:tc>
        <w:tc>
          <w:tcPr>
            <w:tcW w:type="dxa" w:w="2334"/>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Ölçek, çok katmanlılık, gereksinimler⁵</w:t>
            </w:r>
          </w:p>
        </w:tc>
      </w:tr>
    </w:tbl>
    <w:p>
      <w:pPr>
        <w:spacing w:after="80" w:before="140" w:line="240"/>
      </w:pPr>
      <w:r>
        <w:rPr>
          <w:rFonts w:ascii="Times New Roman" w:cs="Times New Roman" w:eastAsia="Times New Roman" w:hAnsi="Times New Roman"/>
          <w:sz w:val="18"/>
          <w:szCs w:val="18"/>
        </w:rPr>
        <w:t xml:space="preserve">¹ Bourbia vd. (2023) · ² Karana vd. (2018); Chayaamor-Heil vd. (2024) · ³ Le vd. (2023); Tyagi ve Jain (2026) · ⁴ Tyagi ve Jain (2026) · ⁵ Chayaamor-Heil vd. (2024)</w:t>
      </w:r>
    </w:p>
    <w:p>
      <w:pPr>
        <w:spacing w:after="400" w:line="240"/>
      </w:pPr>
      <w:r>
        <w:rPr>
          <w:rFonts w:ascii="Times New Roman" w:cs="Times New Roman" w:eastAsia="Times New Roman" w:hAnsi="Times New Roman"/>
          <w:i/>
          <w:iCs/>
          <w:sz w:val="18"/>
          <w:szCs w:val="18"/>
        </w:rPr>
        <w:t xml:space="preserve">Sınıflandırma çerçevesi: Chayaamor-Heil vd. (2023).</w:t>
      </w:r>
    </w:p>
    <w:p>
      <w:pPr>
        <w:pStyle w:val="Heading1"/>
        <w:spacing w:after="180" w:before="48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Babatunde, E. O., Ighalo, J. O., Akolo, S. A., Adeniyi, A. G., &amp; Adepoju, L. (2020). </w:t>
      </w:r>
      <w:r>
        <w:rPr>
          <w:rFonts w:ascii="Times New Roman" w:cs="Times New Roman" w:eastAsia="Times New Roman" w:hAnsi="Times New Roman"/>
          <w:i/>
          <w:iCs/>
          <w:sz w:val="24"/>
          <w:szCs w:val="24"/>
        </w:rPr>
        <w:t xml:space="preserve">Investigation of biomaterial characteristics of chitosan produced from crab shells</w:t>
      </w:r>
      <w:r>
        <w:rPr>
          <w:rFonts w:ascii="Times New Roman" w:cs="Times New Roman" w:eastAsia="Times New Roman" w:hAnsi="Times New Roman"/>
          <w:i w:val="false"/>
          <w:iCs w:val="false"/>
          <w:sz w:val="24"/>
          <w:szCs w:val="24"/>
        </w:rPr>
        <w:t xml:space="preserve"> [Ön baskı]. Research Square. https://doi.org/10.21203/rs.3.rs-26559/v1</w:t>
      </w:r>
    </w:p>
    <w:p>
      <w:pPr>
        <w:spacing w:after="140" w:line="360"/>
        <w:ind w:left="567" w:hanging="567"/>
        <w:jc w:val="left"/>
      </w:pPr>
      <w:r>
        <w:rPr>
          <w:rFonts w:ascii="Times New Roman" w:cs="Times New Roman" w:eastAsia="Times New Roman" w:hAnsi="Times New Roman"/>
          <w:i w:val="false"/>
          <w:iCs w:val="false"/>
          <w:sz w:val="24"/>
          <w:szCs w:val="24"/>
        </w:rPr>
        <w:t xml:space="preserve">Bourbia, S., Kazeoui, H., &amp; Belarbi, R. (2023). A review on recent research on bio-based building materials and their applications. </w:t>
      </w:r>
      <w:r>
        <w:rPr>
          <w:rFonts w:ascii="Times New Roman" w:cs="Times New Roman" w:eastAsia="Times New Roman" w:hAnsi="Times New Roman"/>
          <w:i/>
          <w:iCs/>
          <w:sz w:val="24"/>
          <w:szCs w:val="24"/>
        </w:rPr>
        <w:t xml:space="preserve">Materials for Renewable and Sustainable Energy, 12</w:t>
      </w:r>
      <w:r>
        <w:rPr>
          <w:rFonts w:ascii="Times New Roman" w:cs="Times New Roman" w:eastAsia="Times New Roman" w:hAnsi="Times New Roman"/>
          <w:i w:val="false"/>
          <w:iCs w:val="false"/>
          <w:sz w:val="24"/>
          <w:szCs w:val="24"/>
        </w:rPr>
        <w:t xml:space="preserve">, 117–139. https://doi.org/10.1007/s40243-023-00234-7</w:t>
      </w:r>
    </w:p>
    <w:p>
      <w:pPr>
        <w:spacing w:after="140" w:line="360"/>
        <w:ind w:left="567" w:hanging="567"/>
        <w:jc w:val="left"/>
      </w:pPr>
      <w:r>
        <w:rPr>
          <w:rFonts w:ascii="Times New Roman" w:cs="Times New Roman" w:eastAsia="Times New Roman" w:hAnsi="Times New Roman"/>
          <w:i w:val="false"/>
          <w:iCs w:val="false"/>
          <w:sz w:val="24"/>
          <w:szCs w:val="24"/>
        </w:rPr>
        <w:t xml:space="preserve">Camere, S., &amp; Karana, E. (2018). Fabricating materials from living organisms: An emerging design practice. </w:t>
      </w:r>
      <w:r>
        <w:rPr>
          <w:rFonts w:ascii="Times New Roman" w:cs="Times New Roman" w:eastAsia="Times New Roman" w:hAnsi="Times New Roman"/>
          <w:i/>
          <w:iCs/>
          <w:sz w:val="24"/>
          <w:szCs w:val="24"/>
        </w:rPr>
        <w:t xml:space="preserve">Journal of Cleaner Production, 186</w:t>
      </w:r>
      <w:r>
        <w:rPr>
          <w:rFonts w:ascii="Times New Roman" w:cs="Times New Roman" w:eastAsia="Times New Roman" w:hAnsi="Times New Roman"/>
          <w:i w:val="false"/>
          <w:iCs w:val="false"/>
          <w:sz w:val="24"/>
          <w:szCs w:val="24"/>
        </w:rPr>
        <w:t xml:space="preserve">, 570–584. https://doi.org/10.1016/j.jclepro.2018.03.081</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&amp;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Houette, T., Demirci, Ö., &amp; Badarnah, L. (2024). The potential of co-designing with living organisms: Towards a new ecological paradigm in architecture. </w:t>
      </w:r>
      <w:r>
        <w:rPr>
          <w:rFonts w:ascii="Times New Roman" w:cs="Times New Roman" w:eastAsia="Times New Roman" w:hAnsi="Times New Roman"/>
          <w:i/>
          <w:iCs/>
          <w:sz w:val="24"/>
          <w:szCs w:val="24"/>
        </w:rPr>
        <w:t xml:space="preserve">Sustainability, 16</w:t>
      </w:r>
      <w:r>
        <w:rPr>
          <w:rFonts w:ascii="Times New Roman" w:cs="Times New Roman" w:eastAsia="Times New Roman" w:hAnsi="Times New Roman"/>
          <w:i w:val="false"/>
          <w:iCs w:val="false"/>
          <w:sz w:val="24"/>
          <w:szCs w:val="24"/>
        </w:rPr>
        <w:t xml:space="preserve">(2), 673. https://doi.org/10.3390/su16020673</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Perricone, V., Gruber, P., &amp; Guéna, F. (2023). Bioinspired, biobased and living material designs: A review of recent research in architecture and construction. </w:t>
      </w:r>
      <w:r>
        <w:rPr>
          <w:rFonts w:ascii="Times New Roman" w:cs="Times New Roman" w:eastAsia="Times New Roman" w:hAnsi="Times New Roman"/>
          <w:i/>
          <w:iCs/>
          <w:sz w:val="24"/>
          <w:szCs w:val="24"/>
        </w:rPr>
        <w:t xml:space="preserve">Bioinspiration &amp; Biomimetics, 18</w:t>
      </w:r>
      <w:r>
        <w:rPr>
          <w:rFonts w:ascii="Times New Roman" w:cs="Times New Roman" w:eastAsia="Times New Roman" w:hAnsi="Times New Roman"/>
          <w:i w:val="false"/>
          <w:iCs w:val="false"/>
          <w:sz w:val="24"/>
          <w:szCs w:val="24"/>
        </w:rPr>
        <w:t xml:space="preserve">(4), 041001. https://doi.org/10.1088/1748-3190/acd82e</w:t>
      </w:r>
    </w:p>
    <w:p>
      <w:pPr>
        <w:spacing w:after="140" w:line="360"/>
        <w:ind w:left="567" w:hanging="567"/>
        <w:jc w:val="left"/>
      </w:pPr>
      <w:r>
        <w:rPr>
          <w:rFonts w:ascii="Times New Roman" w:cs="Times New Roman" w:eastAsia="Times New Roman" w:hAnsi="Times New Roman"/>
          <w:i w:val="false"/>
          <w:iCs w:val="false"/>
          <w:sz w:val="24"/>
          <w:szCs w:val="24"/>
        </w:rPr>
        <w:t xml:space="preserve">Karana, E., Blauwhoff, D., Hultink, E.-J., &amp; Camere, S. (2018). When the material grows: A case study on designing (with) mycelium-based materials. </w:t>
      </w:r>
      <w:r>
        <w:rPr>
          <w:rFonts w:ascii="Times New Roman" w:cs="Times New Roman" w:eastAsia="Times New Roman" w:hAnsi="Times New Roman"/>
          <w:i/>
          <w:iCs/>
          <w:sz w:val="24"/>
          <w:szCs w:val="24"/>
        </w:rPr>
        <w:t xml:space="preserve">International Journal of Design, 12</w:t>
      </w:r>
      <w:r>
        <w:rPr>
          <w:rFonts w:ascii="Times New Roman" w:cs="Times New Roman" w:eastAsia="Times New Roman" w:hAnsi="Times New Roman"/>
          <w:i w:val="false"/>
          <w:iCs w:val="false"/>
          <w:sz w:val="24"/>
          <w:szCs w:val="24"/>
        </w:rPr>
        <w:t xml:space="preserve">(2), 119–136.</w:t>
      </w:r>
    </w:p>
    <w:p>
      <w:pPr>
        <w:spacing w:after="140" w:line="360"/>
        <w:ind w:left="567" w:hanging="567"/>
        <w:jc w:val="left"/>
      </w:pPr>
      <w:r>
        <w:rPr>
          <w:rFonts w:ascii="Times New Roman" w:cs="Times New Roman" w:eastAsia="Times New Roman" w:hAnsi="Times New Roman"/>
          <w:i w:val="false"/>
          <w:iCs w:val="false"/>
          <w:sz w:val="24"/>
          <w:szCs w:val="24"/>
        </w:rPr>
        <w:t xml:space="preserve">Le, D. L., Salomone, R., &amp; Nguyen, Q. T. (2023). Circular bio-based building materials: A literature review of case studies and sustainability assessment methods. </w:t>
      </w:r>
      <w:r>
        <w:rPr>
          <w:rFonts w:ascii="Times New Roman" w:cs="Times New Roman" w:eastAsia="Times New Roman" w:hAnsi="Times New Roman"/>
          <w:i/>
          <w:iCs/>
          <w:sz w:val="24"/>
          <w:szCs w:val="24"/>
        </w:rPr>
        <w:t xml:space="preserve">Building and Environment, 244</w:t>
      </w:r>
      <w:r>
        <w:rPr>
          <w:rFonts w:ascii="Times New Roman" w:cs="Times New Roman" w:eastAsia="Times New Roman" w:hAnsi="Times New Roman"/>
          <w:i w:val="false"/>
          <w:iCs w:val="false"/>
          <w:sz w:val="24"/>
          <w:szCs w:val="24"/>
        </w:rPr>
        <w:t xml:space="preserve">, 110774.</w:t>
      </w:r>
    </w:p>
    <w:p>
      <w:pPr>
        <w:spacing w:after="140" w:line="360"/>
        <w:ind w:left="567" w:hanging="567"/>
        <w:jc w:val="left"/>
      </w:pPr>
      <w:r>
        <w:rPr>
          <w:rFonts w:ascii="Times New Roman" w:cs="Times New Roman" w:eastAsia="Times New Roman" w:hAnsi="Times New Roman"/>
          <w:i w:val="false"/>
          <w:iCs w:val="false"/>
          <w:sz w:val="24"/>
          <w:szCs w:val="24"/>
        </w:rPr>
        <w:t xml:space="preserve">Lee, J.-Y., Lee, S.-E., &amp; Lee, D.-W. (2022). Current status and future prospects of biological routes to bio-based products using raw materials, wastes, and residues as renewable resources. </w:t>
      </w:r>
      <w:r>
        <w:rPr>
          <w:rFonts w:ascii="Times New Roman" w:cs="Times New Roman" w:eastAsia="Times New Roman" w:hAnsi="Times New Roman"/>
          <w:i/>
          <w:iCs/>
          <w:sz w:val="24"/>
          <w:szCs w:val="24"/>
        </w:rPr>
        <w:t xml:space="preserve">Critical Reviews in Environmental Science and Technology, 52</w:t>
      </w:r>
      <w:r>
        <w:rPr>
          <w:rFonts w:ascii="Times New Roman" w:cs="Times New Roman" w:eastAsia="Times New Roman" w:hAnsi="Times New Roman"/>
          <w:i w:val="false"/>
          <w:iCs w:val="false"/>
          <w:sz w:val="24"/>
          <w:szCs w:val="24"/>
        </w:rPr>
        <w:t xml:space="preserve">(14). https://doi.org/10.1080/10643389.2021.1880259</w:t>
      </w:r>
    </w:p>
    <w:p>
      <w:pPr>
        <w:spacing w:after="140" w:line="360"/>
        <w:ind w:left="567" w:hanging="567"/>
        <w:jc w:val="left"/>
      </w:pPr>
      <w:r>
        <w:rPr>
          <w:rFonts w:ascii="Times New Roman" w:cs="Times New Roman" w:eastAsia="Times New Roman" w:hAnsi="Times New Roman"/>
          <w:i w:val="false"/>
          <w:iCs w:val="false"/>
          <w:sz w:val="24"/>
          <w:szCs w:val="24"/>
        </w:rPr>
        <w:t xml:space="preserve">Rognoli, V., &amp; Ayala García, C. (2018). Material activism: New hybrid scenarios between design and technology. </w:t>
      </w:r>
      <w:r>
        <w:rPr>
          <w:rFonts w:ascii="Times New Roman" w:cs="Times New Roman" w:eastAsia="Times New Roman" w:hAnsi="Times New Roman"/>
          <w:i/>
          <w:iCs/>
          <w:sz w:val="24"/>
          <w:szCs w:val="24"/>
        </w:rPr>
        <w:t xml:space="preserve">Cuadernos del Centro de Estudios en Diseño y Comunicación</w:t>
      </w:r>
      <w:r>
        <w:rPr>
          <w:rFonts w:ascii="Times New Roman" w:cs="Times New Roman" w:eastAsia="Times New Roman" w:hAnsi="Times New Roman"/>
          <w:i w:val="false"/>
          <w:iCs w:val="false"/>
          <w:sz w:val="24"/>
          <w:szCs w:val="24"/>
        </w:rPr>
        <w:t xml:space="preserve">, (70), 105–115.</w:t>
      </w:r>
    </w:p>
    <w:p>
      <w:pPr>
        <w:spacing w:after="140" w:line="360"/>
        <w:ind w:left="567" w:hanging="567"/>
        <w:jc w:val="left"/>
      </w:pPr>
      <w:r>
        <w:rPr>
          <w:rFonts w:ascii="Times New Roman" w:cs="Times New Roman" w:eastAsia="Times New Roman" w:hAnsi="Times New Roman"/>
          <w:i w:val="false"/>
          <w:iCs w:val="false"/>
          <w:sz w:val="24"/>
          <w:szCs w:val="24"/>
        </w:rPr>
        <w:t xml:space="preserve">Tyagi, P., &amp; Jain, C. (2026). Bio-based and regenerative materials in interior design: A systematic literature review and bibliometric analysis. </w:t>
      </w:r>
      <w:r>
        <w:rPr>
          <w:rFonts w:ascii="Times New Roman" w:cs="Times New Roman" w:eastAsia="Times New Roman" w:hAnsi="Times New Roman"/>
          <w:i/>
          <w:iCs/>
          <w:sz w:val="24"/>
          <w:szCs w:val="24"/>
        </w:rPr>
        <w:t xml:space="preserve">Journal of Engineering and Applied Science</w:t>
      </w:r>
      <w:r>
        <w:rPr>
          <w:rFonts w:ascii="Times New Roman" w:cs="Times New Roman" w:eastAsia="Times New Roman" w:hAnsi="Times New Roman"/>
          <w:i w:val="false"/>
          <w:iCs w:val="false"/>
          <w:sz w:val="24"/>
          <w:szCs w:val="24"/>
        </w:rPr>
        <w:t xml:space="preserve">. https://doi.org/10.1186/s44147-026-00970-3</w:t>
      </w:r>
    </w:p>
    <w:p>
      <w:pPr>
        <w:pStyle w:val="Heading1"/>
        <w:spacing w:after="180" w:before="520" w:line="360"/>
      </w:pPr>
      <w:r>
        <w:rPr>
          <w:rFonts w:ascii="Times New Roman" w:cs="Times New Roman" w:eastAsia="Times New Roman" w:hAnsi="Times New Roman"/>
          <w:b/>
          <w:bCs/>
          <w:sz w:val="24"/>
          <w:szCs w:val="24"/>
        </w:rPr>
        <w:t xml:space="preserve">EK. Kaynak Doğrulama Notları (yazar kullanımı için)</w:t>
      </w:r>
    </w:p>
    <w:p>
      <w:pPr>
        <w:spacing w:after="160" w:line="360"/>
        <w:jc w:val="both"/>
      </w:pPr>
      <w:r>
        <w:rPr>
          <w:rFonts w:ascii="Times New Roman" w:cs="Times New Roman" w:eastAsia="Times New Roman" w:hAnsi="Times New Roman"/>
          <w:i/>
          <w:iCs/>
          <w:sz w:val="24"/>
          <w:szCs w:val="24"/>
        </w:rPr>
        <w:t xml:space="preserve">Aşağıdaki notlar 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Tam metni görülerek doğrulanan kaynaklar (birincil denetim yapıldı): Andréen &amp; Goidea (2022); Babatunde vd. (2020); Bourbia vd. (2023); Camere &amp; Karana (2018); Chang vd. (2020); Chayaamor-Heil vd. (2024); Karana vd. (2018); Lee vd. (2022); Rognoli &amp; Ayala García (2018).</w:t>
      </w:r>
    </w:p>
    <w:p>
      <w:pPr>
        <w:spacing w:after="120" w:line="300"/>
        <w:ind w:left="400" w:hanging="400"/>
        <w:jc w:val="both"/>
      </w:pPr>
      <w:r>
        <w:rPr>
          <w:rFonts w:ascii="Times New Roman" w:cs="Times New Roman" w:eastAsia="Times New Roman" w:hAnsi="Times New Roman"/>
          <w:sz w:val="20"/>
          <w:szCs w:val="20"/>
        </w:rPr>
        <w:t xml:space="preserve">2. Künye ve bulgu düzeyinde doğrulanan, tam metni temin edilmesi gereken kaynaklar: Chayaamor-Heil vd. (2023); Le vd. (2023); Tyagi &amp; Jain (2026).</w:t>
      </w:r>
    </w:p>
    <w:p>
      <w:pPr>
        <w:spacing w:after="120" w:line="300"/>
        <w:ind w:left="400" w:hanging="400"/>
        <w:jc w:val="both"/>
      </w:pPr>
      <w:r>
        <w:rPr>
          <w:rFonts w:ascii="Times New Roman" w:cs="Times New Roman" w:eastAsia="Times New Roman" w:hAnsi="Times New Roman"/>
          <w:sz w:val="20"/>
          <w:szCs w:val="20"/>
        </w:rPr>
        <w:t xml:space="preserve">3. Chayaamor-Heil vd. (2023): Alt başlık 3.1’in tamamı ve Tablo 2’nin çerçevesi bu kaynağa dayanmaktadır. Üçlü ayrımın yazarların kendi tanımlarıyla verilmesi gerekir; metindeki tanımlar şu an ayrımın mantığından türetilmiştir, doğrudan alıntı değildir. Makale HAL üzerinden açık erişimlidir (hal-04146189).</w:t>
      </w:r>
    </w:p>
    <w:p>
      <w:pPr>
        <w:spacing w:after="120" w:line="300"/>
        <w:ind w:left="400" w:hanging="400"/>
        <w:jc w:val="both"/>
      </w:pPr>
      <w:r>
        <w:rPr>
          <w:rFonts w:ascii="Times New Roman" w:cs="Times New Roman" w:eastAsia="Times New Roman" w:hAnsi="Times New Roman"/>
          <w:sz w:val="20"/>
          <w:szCs w:val="20"/>
        </w:rPr>
        <w:t xml:space="preserve">4. Le vd. (2023): Alt başlık 3.2’deki tanım, kaynaktan aktarılmıştır. Doğrudan alıntı olarak kullanılacaksa sayfa numarası eklenmelidir. Makalenin DOI bilgisi tamamlanmalıdır.</w:t>
      </w:r>
    </w:p>
    <w:p>
      <w:pPr>
        <w:spacing w:after="120" w:line="300"/>
        <w:ind w:left="400" w:hanging="400"/>
        <w:jc w:val="both"/>
      </w:pPr>
      <w:r>
        <w:rPr>
          <w:rFonts w:ascii="Times New Roman" w:cs="Times New Roman" w:eastAsia="Times New Roman" w:hAnsi="Times New Roman"/>
          <w:sz w:val="20"/>
          <w:szCs w:val="20"/>
        </w:rPr>
        <w:t xml:space="preserve">5. Babatunde vd. (2020): Repodaki sürüm Research Square ön baskısıdır. Hakemli yayımlanmış bir sürüm varsa onunla değiştirilmeli; yoksa kaynakçada ön baskı olduğu belirtilmelidir (yukarıdaki künyede belirtilmiştir).</w:t>
      </w:r>
    </w:p>
    <w:p>
      <w:pPr>
        <w:spacing w:after="120" w:line="300"/>
        <w:ind w:left="400" w:hanging="400"/>
        <w:jc w:val="both"/>
      </w:pPr>
      <w:r>
        <w:rPr>
          <w:rFonts w:ascii="Times New Roman" w:cs="Times New Roman" w:eastAsia="Times New Roman" w:hAnsi="Times New Roman"/>
          <w:sz w:val="20"/>
          <w:szCs w:val="20"/>
        </w:rPr>
        <w:t xml:space="preserve">6. Camere &amp; Karana (2018): Repodaki sürüm kabul edilmiş müsveddedir; cilt ve sayfa numaraları yayımlanmış sürümden alınmış ve künyeye işlenmiştir.</w:t>
      </w:r>
    </w:p>
    <w:p>
      <w:pPr>
        <w:spacing w:after="120" w:line="300"/>
        <w:ind w:left="400" w:hanging="400"/>
        <w:jc w:val="both"/>
      </w:pPr>
      <w:r>
        <w:rPr>
          <w:rFonts w:ascii="Times New Roman" w:cs="Times New Roman" w:eastAsia="Times New Roman" w:hAnsi="Times New Roman"/>
          <w:sz w:val="20"/>
          <w:szCs w:val="20"/>
        </w:rPr>
        <w:t xml:space="preserve">7. Lee vd.: Makale çevrimiçi olarak 2021’de erişime açılmış, dergi sayısında 2022’de (cilt 52, sayı 14) yayımlanmıştır. Künyede 2022 kullanılmıştır; sayfa aralığı eklenmelidir.</w:t>
      </w:r>
    </w:p>
    <w:p>
      <w:pPr>
        <w:spacing w:after="120" w:line="300"/>
        <w:ind w:left="400" w:hanging="400"/>
        <w:jc w:val="both"/>
      </w:pPr>
      <w:r>
        <w:rPr>
          <w:rFonts w:ascii="Times New Roman" w:cs="Times New Roman" w:eastAsia="Times New Roman" w:hAnsi="Times New Roman"/>
          <w:sz w:val="20"/>
          <w:szCs w:val="20"/>
        </w:rPr>
        <w:t xml:space="preserve">8. Rognoli &amp; Ayala García: Yayın yılı 2018 olarak kesinleştirilmiştir (Cuadernos, sayı 70, s. 105–115). Soyadı “Ayala García” biçiminde yazılmalıdır.</w:t>
      </w:r>
    </w:p>
    <w:p>
      <w:pPr>
        <w:spacing w:after="120" w:line="300"/>
        <w:ind w:left="400" w:hanging="400"/>
        <w:jc w:val="both"/>
      </w:pPr>
      <w:r>
        <w:rPr>
          <w:rFonts w:ascii="Times New Roman" w:cs="Times New Roman" w:eastAsia="Times New Roman" w:hAnsi="Times New Roman"/>
          <w:sz w:val="20"/>
          <w:szCs w:val="20"/>
        </w:rPr>
        <w:t xml:space="preserve">9. Bu alt bölümde yazarın kendi doktora tezinden hiçbir veri veya atıf kullanılmamıştır; tez ile ilgili tartışma plan gereği 6. alt bölüme bırakılmıştır.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Biyomalzemeler ve Malzemenin Yeniden Düşünülmesi</dc:title>
  <dc:creator>Betül Ünal</dc:creator>
  <dc:description>İç Mimarlıkta Sürdürülebilir Malzeme Seçimi ve Döngüsel Tasarım — 3. bölüm taslağı</dc:description>
  <cp:lastModifiedBy>Un-named</cp:lastModifiedBy>
  <cp:revision>1</cp:revision>
  <dcterms:created xsi:type="dcterms:W3CDTF">2026-10-01T07:51:27.732Z</dcterms:created>
  <dcterms:modified xsi:type="dcterms:W3CDTF">2026-10-01T07:51:27.733Z</dcterms:modified>
</cp:coreProperties>
</file>

<file path=docProps/custom.xml><?xml version="1.0" encoding="utf-8"?>
<Properties xmlns="http://schemas.openxmlformats.org/officeDocument/2006/custom-properties" xmlns:vt="http://schemas.openxmlformats.org/officeDocument/2006/docPropsVTypes"/>
</file>