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pPr>
      <w:r>
        <w:rPr>
          <w:rFonts w:ascii="Times New Roman" w:cs="Times New Roman" w:eastAsia="Times New Roman" w:hAnsi="Times New Roman"/>
          <w:b/>
          <w:bCs/>
          <w:sz w:val="28"/>
          <w:szCs w:val="28"/>
        </w:rPr>
        <w:t xml:space="preserve">7. İÇ MİMARLIKTA BİYOMALZEME SEÇİMİ: POTANSİYELLER, SINIRLILIKLAR VE BİR DEĞERLENDİRME ÇERÇEVESİ</w:t>
      </w:r>
    </w:p>
    <w:p>
      <w:pPr>
        <w:pBdr>
          <w:bottom w:val="single" w:color="999999" w:sz="6" w:space="8"/>
        </w:pBdr>
        <w:spacing w:after="400" w:line="240"/>
      </w:pPr>
      <w:r>
        <w:rPr>
          <w:rFonts w:ascii="Times New Roman" w:cs="Times New Roman" w:eastAsia="Times New Roman" w:hAnsi="Times New Roman"/>
          <w:i/>
          <w:iCs/>
          <w:color w:val="555555"/>
          <w:sz w:val="20"/>
          <w:szCs w:val="20"/>
        </w:rPr>
        <w:t xml:space="preserve">Bölüm taslağı · 1 Ekim 2026 · yaklaşık 780 kelime gövde + iki tablo</w:t>
      </w:r>
    </w:p>
    <w:p>
      <w:pPr>
        <w:spacing w:after="160" w:line="360"/>
        <w:jc w:val="both"/>
      </w:pPr>
      <w:r>
        <w:rPr>
          <w:rFonts w:ascii="Times New Roman" w:cs="Times New Roman" w:eastAsia="Times New Roman" w:hAnsi="Times New Roman"/>
          <w:sz w:val="24"/>
          <w:szCs w:val="24"/>
        </w:rPr>
        <w:t xml:space="preserve">Önceki başlıklarda biyolojik temelli malzemelerin kavramsal çerçevesi, döngüsellikle ilişkisi, dirençlilik kapasitesi ve iç mekândaki konumu ele alınmıştı. Bu başlıkta tartışma değerlendirme düzlemine taşınmakta; söz konusu malzemelerin iç mimarlıkta hangi ölçütlerle değerlendirilebileceği sorusu ele alınmaktadır.</w:t>
      </w:r>
    </w:p>
    <w:p>
      <w:pPr>
        <w:pStyle w:val="Heading2"/>
        <w:spacing w:after="180" w:before="320" w:line="360"/>
      </w:pPr>
      <w:r>
        <w:rPr>
          <w:rFonts w:ascii="Times New Roman" w:cs="Times New Roman" w:eastAsia="Times New Roman" w:hAnsi="Times New Roman"/>
          <w:b/>
          <w:bCs/>
          <w:sz w:val="26"/>
          <w:szCs w:val="26"/>
        </w:rPr>
        <w:t xml:space="preserve">7.1. Potansiyeller ve Sınırlılıklar Birlikte Okunmalıdır</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malzemelere ilişkin alanyazın, aynı malzeme grubu için hem güçlü potansiyeller hem de kalıcı sınırlılıklar bildirmektedir. Bu iki tarafın ayrı ayrı sıralanması yanıltıcıdır; çünkü çoğu durumda potansiyel ile sınırlılık </w:t>
      </w:r>
      <w:r>
        <w:rPr>
          <w:rFonts w:ascii="Times New Roman" w:cs="Times New Roman" w:eastAsia="Times New Roman" w:hAnsi="Times New Roman"/>
          <w:b/>
          <w:bCs/>
          <w:i w:val="false"/>
          <w:iCs w:val="false"/>
          <w:sz w:val="24"/>
          <w:szCs w:val="24"/>
        </w:rPr>
        <w:t xml:space="preserve">aynı özelliğin iki yüzüdür</w:t>
      </w:r>
      <w:r>
        <w:rPr>
          <w:rFonts w:ascii="Times New Roman" w:cs="Times New Roman" w:eastAsia="Times New Roman" w:hAnsi="Times New Roman"/>
          <w:b w:val="false"/>
          <w:bCs w:val="false"/>
          <w:i w:val="false"/>
          <w:iCs w:val="false"/>
          <w:sz w:val="24"/>
          <w:szCs w:val="24"/>
        </w:rPr>
        <w:t xml:space="preserve">. Tablo 4, alanyazında bildirilen başlıca potansiyel ve sınırlılıkları karşılıklı olarak göstermektedir.</w:t>
      </w:r>
    </w:p>
    <w:p>
      <w:pPr>
        <w:pStyle w:val="Heading2"/>
        <w:spacing w:after="180" w:before="320" w:line="360"/>
      </w:pPr>
      <w:r>
        <w:rPr>
          <w:rFonts w:ascii="Times New Roman" w:cs="Times New Roman" w:eastAsia="Times New Roman" w:hAnsi="Times New Roman"/>
          <w:b/>
          <w:bCs/>
          <w:sz w:val="26"/>
          <w:szCs w:val="26"/>
        </w:rPr>
        <w:t xml:space="preserve">7.2. Üç Gerilim</w:t>
      </w:r>
    </w:p>
    <w:p>
      <w:pPr>
        <w:spacing w:after="160" w:line="360"/>
        <w:jc w:val="both"/>
      </w:pPr>
      <w:r>
        <w:rPr>
          <w:rFonts w:ascii="Times New Roman" w:cs="Times New Roman" w:eastAsia="Times New Roman" w:hAnsi="Times New Roman"/>
          <w:sz w:val="24"/>
          <w:szCs w:val="24"/>
        </w:rPr>
        <w:t xml:space="preserve">Tablo 4’teki karşıtlıklar, iç mimarlık açısından üç temel gerilimde toplanabilir.</w:t>
      </w:r>
    </w:p>
    <w:p>
      <w:pPr>
        <w:pStyle w:val="Heading3"/>
        <w:spacing w:after="140" w:before="260" w:line="360"/>
      </w:pPr>
      <w:r>
        <w:rPr>
          <w:rFonts w:ascii="Times New Roman" w:cs="Times New Roman" w:eastAsia="Times New Roman" w:hAnsi="Times New Roman"/>
          <w:b/>
          <w:bCs/>
          <w:i/>
          <w:iCs/>
          <w:sz w:val="24"/>
          <w:szCs w:val="24"/>
        </w:rPr>
        <w:t xml:space="preserve">Birinci gerilim: değişkenlik ile standartlaşma</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malzemelerin tasarım açısından en değerli niteliği olan değişkenlik, kurumsal kabul açısından en büyük engelini oluşturmaktadır. Edalat (2026), ahşap dışı biyolojik temelli malzemelerin çoğunun </w:t>
      </w:r>
      <w:r>
        <w:rPr>
          <w:rFonts w:ascii="Times New Roman" w:cs="Times New Roman" w:eastAsia="Times New Roman" w:hAnsi="Times New Roman"/>
          <w:b/>
          <w:bCs/>
          <w:i w:val="false"/>
          <w:iCs w:val="false"/>
          <w:sz w:val="24"/>
          <w:szCs w:val="24"/>
        </w:rPr>
        <w:t xml:space="preserve">standartlaşmış kodlardan, yaygın kamusal farkındalıktan ve uzmanlaşmış yüklenici ağından yoksun olduğunu</w:t>
      </w:r>
      <w:r>
        <w:rPr>
          <w:rFonts w:ascii="Times New Roman" w:cs="Times New Roman" w:eastAsia="Times New Roman" w:hAnsi="Times New Roman"/>
          <w:b w:val="false"/>
          <w:bCs w:val="false"/>
          <w:i w:val="false"/>
          <w:iCs w:val="false"/>
          <w:sz w:val="24"/>
          <w:szCs w:val="24"/>
        </w:rPr>
        <w:t xml:space="preserve">; bunun da ölçeklenebilirliklerini ve küresel benimsenmelerini sınırladığını belirtmektedir. Yazara göre bu alanda tek belirgin istisna, ahşapla pek çok benzerlik taşıyan ve ISO 22156 ile ISO 19624 gibi yapısal standartların getirilmesiyle uluslararası tanınırlık kazanan bambudur.</w:t>
      </w:r>
    </w:p>
    <w:p>
      <w:pPr>
        <w:spacing w:after="160" w:line="360"/>
        <w:jc w:val="both"/>
      </w:pPr>
      <w:r>
        <w:rPr>
          <w:rFonts w:ascii="Times New Roman" w:cs="Times New Roman" w:eastAsia="Times New Roman" w:hAnsi="Times New Roman"/>
          <w:sz w:val="24"/>
          <w:szCs w:val="24"/>
        </w:rPr>
        <w:t xml:space="preserve">Karşılaştırma öğreticidir. Edalat (2026), ahşap ve mühendislik ürünü ahşap ürünlerinin olgun bir döngüsel altyapıdan yararlandığını; ahşabın kodlar, aşinalık ve nitelikli işgücüyle desteklenen yerleşik konumunun, ahşap dışı malzemelere kıyasla daha fazla yeniden kullanım, geri dönüşüm ve üst değerlendirmeye olanak tanıdığını ortaya koymaktadır. Döngüsellik yalnızca malzemenin niteliğine değil, onu çevreleyen kurumsal altyapıya da bağlıdır.</w:t>
      </w:r>
    </w:p>
    <w:p>
      <w:pPr>
        <w:pStyle w:val="Heading3"/>
        <w:spacing w:after="140" w:before="260" w:line="360"/>
      </w:pPr>
      <w:r>
        <w:rPr>
          <w:rFonts w:ascii="Times New Roman" w:cs="Times New Roman" w:eastAsia="Times New Roman" w:hAnsi="Times New Roman"/>
          <w:b/>
          <w:bCs/>
          <w:i/>
          <w:iCs/>
          <w:sz w:val="24"/>
          <w:szCs w:val="24"/>
        </w:rPr>
        <w:t xml:space="preserve">İkinci gerilim: yerellik ile ölçeklenebilirlik</w:t>
      </w:r>
    </w:p>
    <w:p>
      <w:pPr>
        <w:spacing w:after="160" w:line="360"/>
        <w:jc w:val="both"/>
      </w:pPr>
      <w:r>
        <w:rPr>
          <w:rFonts w:ascii="Times New Roman" w:cs="Times New Roman" w:eastAsia="Times New Roman" w:hAnsi="Times New Roman"/>
          <w:b w:val="false"/>
          <w:bCs w:val="false"/>
          <w:i w:val="false"/>
          <w:iCs w:val="false"/>
          <w:sz w:val="24"/>
          <w:szCs w:val="24"/>
        </w:rPr>
        <w:t xml:space="preserve">Biyolojik temelli üretimin yerel kaynaklara dayanabilmesi önemli bir avantajdır; ancak bu avantaj pazar ölçeğinde bir dezavantaja dönüşebilmektedir. Edalat (2026), kapsamlı derleme çalışmalarından yaptığı sentezde üretim ve dağıtım aşamalarında kalıcı güçlükler saptamaktadır: yüksek maliyetler, sınırlı pazar payı, </w:t>
      </w:r>
      <w:r>
        <w:rPr>
          <w:rFonts w:ascii="Times New Roman" w:cs="Times New Roman" w:eastAsia="Times New Roman" w:hAnsi="Times New Roman"/>
          <w:b/>
          <w:bCs/>
          <w:i w:val="false"/>
          <w:iCs w:val="false"/>
          <w:sz w:val="24"/>
          <w:szCs w:val="24"/>
        </w:rPr>
        <w:t xml:space="preserve">merkezsiz ve parçalı tedarik zincirleri</w:t>
      </w:r>
      <w:r>
        <w:rPr>
          <w:rFonts w:ascii="Times New Roman" w:cs="Times New Roman" w:eastAsia="Times New Roman" w:hAnsi="Times New Roman"/>
          <w:b w:val="false"/>
          <w:bCs w:val="false"/>
          <w:i w:val="false"/>
          <w:iCs w:val="false"/>
          <w:sz w:val="24"/>
          <w:szCs w:val="24"/>
        </w:rPr>
        <w:t xml:space="preserve">, kısıtlı hammadde kaynakları, yetersiz bilgi, düşük pazar şeffaflığı, yetersiz düzenleyici çerçeveler ve uzmanlaşmış işgücü kıtlığı. Yazara göre biyolojik temelli malzemelerin inşaat sektöründeki uygulaması dağınık ve tutarsız kalmakta; bu da pazarın heterojen ve gelişmemiş niteliğini ortaya koymaktadır.</w:t>
      </w:r>
    </w:p>
    <w:p>
      <w:pPr>
        <w:spacing w:after="160" w:line="360"/>
        <w:jc w:val="both"/>
      </w:pPr>
      <w:r>
        <w:rPr>
          <w:rFonts w:ascii="Times New Roman" w:cs="Times New Roman" w:eastAsia="Times New Roman" w:hAnsi="Times New Roman"/>
          <w:sz w:val="24"/>
          <w:szCs w:val="24"/>
        </w:rPr>
        <w:t xml:space="preserve">Aynı gerilim kaynak çeşitliliği önerisinde de görünmektedir. Edalat (2026), ahşap ile ahşap dışı malzemelerin dengeli kullanımını önerirken, ahşaba aşırı bağımlılığın ormansızlaşma ve biyoçeşitlilik kaybı riski taşıdığını; yalnızca ahşap dışı malzemelere dayanmanın ise ölçeklenebilirlikten yoksun olduğunu belirtmektedir.</w:t>
      </w:r>
    </w:p>
    <w:p>
      <w:pPr>
        <w:pStyle w:val="Heading3"/>
        <w:spacing w:after="140" w:before="260" w:line="360"/>
      </w:pPr>
      <w:r>
        <w:rPr>
          <w:rFonts w:ascii="Times New Roman" w:cs="Times New Roman" w:eastAsia="Times New Roman" w:hAnsi="Times New Roman"/>
          <w:b/>
          <w:bCs/>
          <w:i/>
          <w:iCs/>
          <w:sz w:val="24"/>
          <w:szCs w:val="24"/>
        </w:rPr>
        <w:t xml:space="preserve">Üçüncü gerilim: biyolojik dönüşebilirlik ile dayanıklılık</w:t>
      </w:r>
    </w:p>
    <w:p>
      <w:pPr>
        <w:spacing w:after="160" w:line="360"/>
        <w:jc w:val="both"/>
      </w:pPr>
      <w:r>
        <w:rPr>
          <w:rFonts w:ascii="Times New Roman" w:cs="Times New Roman" w:eastAsia="Times New Roman" w:hAnsi="Times New Roman"/>
          <w:b w:val="false"/>
          <w:bCs w:val="false"/>
          <w:i w:val="false"/>
          <w:iCs w:val="false"/>
          <w:sz w:val="24"/>
          <w:szCs w:val="24"/>
        </w:rPr>
        <w:t xml:space="preserve">Üçüncü gerilim, bölümün temel savını en açık biçimde sınayan gerilimdir. Edalat (2026), koyun yünü ve kenevir yünü gibi ham biyolojik yalıtkanların geri dönüştürülebilirlik, çevresel yarar ve mineral esaslı geleneksel yalıtkanlarla karşılaştırılabilir ısıl performans nedeniyle ilgi gördüğünü aktarmakta; buna karşılık her ikisinin de </w:t>
      </w:r>
      <w:r>
        <w:rPr>
          <w:rFonts w:ascii="Times New Roman" w:cs="Times New Roman" w:eastAsia="Times New Roman" w:hAnsi="Times New Roman"/>
          <w:b/>
          <w:bCs/>
          <w:i w:val="false"/>
          <w:iCs w:val="false"/>
          <w:sz w:val="24"/>
          <w:szCs w:val="24"/>
        </w:rPr>
        <w:t xml:space="preserve">zayıf yangın dayanımı ve belirgin biçimde yüksek maliyet</w:t>
      </w:r>
      <w:r>
        <w:rPr>
          <w:rFonts w:ascii="Times New Roman" w:cs="Times New Roman" w:eastAsia="Times New Roman" w:hAnsi="Times New Roman"/>
          <w:b w:val="false"/>
          <w:bCs w:val="false"/>
          <w:i w:val="false"/>
          <w:iCs w:val="false"/>
          <w:sz w:val="24"/>
          <w:szCs w:val="24"/>
        </w:rPr>
        <w:t xml:space="preserve"> gibi kalıcı güçlüklerle karşılaştığını belirtmektedir. Yazara göre bu etkenler biyolojik temelli yalıtkanların Avrupa Birliği pazarındaki yayılımını sınırlamış; söz konusu malzemeler bu pazarda yalnızca %1,6 paya ulaşırken mineral yünler %22 paya sahip olmuştur.</w:t>
      </w:r>
    </w:p>
    <w:p>
      <w:pPr>
        <w:spacing w:after="160" w:line="360"/>
        <w:jc w:val="both"/>
      </w:pPr>
      <w:r>
        <w:rPr>
          <w:rFonts w:ascii="Times New Roman" w:cs="Times New Roman" w:eastAsia="Times New Roman" w:hAnsi="Times New Roman"/>
          <w:b w:val="false"/>
          <w:bCs w:val="false"/>
          <w:i w:val="false"/>
          <w:iCs w:val="false"/>
          <w:sz w:val="24"/>
          <w:szCs w:val="24"/>
        </w:rPr>
        <w:t xml:space="preserve">Ancak aynı karşılaştırmanın en çarpıcı yönü başka bir noktadadır. Edalat (2026), koyun ve kenevir yününden farklı olarak mineral yünlerin </w:t>
      </w:r>
      <w:r>
        <w:rPr>
          <w:rFonts w:ascii="Times New Roman" w:cs="Times New Roman" w:eastAsia="Times New Roman" w:hAnsi="Times New Roman"/>
          <w:b/>
          <w:bCs/>
          <w:i w:val="false"/>
          <w:iCs w:val="false"/>
          <w:sz w:val="24"/>
          <w:szCs w:val="24"/>
        </w:rPr>
        <w:t xml:space="preserve">tümüyle ve sınırsız biçimde yeni ürünlere geri dönüştürülebildiğini</w:t>
      </w:r>
      <w:r>
        <w:rPr>
          <w:rFonts w:ascii="Times New Roman" w:cs="Times New Roman" w:eastAsia="Times New Roman" w:hAnsi="Times New Roman"/>
          <w:b w:val="false"/>
          <w:bCs w:val="false"/>
          <w:i w:val="false"/>
          <w:iCs w:val="false"/>
          <w:sz w:val="24"/>
          <w:szCs w:val="24"/>
        </w:rPr>
        <w:t xml:space="preserve"> ve bu nedenle kapalı döngü uygulamalarıyla daha etkili biçimde örtüştüğünü aktarmaktadır. Yani bu özgül karşılaştırmada, biyolojik kökenli olmayan bir malzeme, biyolojik kökenli alternatifinden daha döngüsel davranmaktadır.</w:t>
      </w:r>
    </w:p>
    <w:p>
      <w:pPr>
        <w:spacing w:after="160" w:line="360"/>
        <w:jc w:val="both"/>
      </w:pPr>
      <w:r>
        <w:rPr>
          <w:rFonts w:ascii="Times New Roman" w:cs="Times New Roman" w:eastAsia="Times New Roman" w:hAnsi="Times New Roman"/>
          <w:sz w:val="24"/>
          <w:szCs w:val="24"/>
        </w:rPr>
        <w:t xml:space="preserve">Benzer bir durum saman balyasında da gözlenmektedir. Edalat (2026), samanın tümüyle biyobozunur olmasına karşın zamanla kademeli bozunmaya açık olduğunu; bunun da ham malzemenin geri kazanımına ilişkin kaygılar doğurduğunu ve özellikle ön üretimli olmayan biçimlerin geri kazanımını güçleştirdiğini belirtmektedir. Biyobozunurluk, kendi başına döngüsellik üretmemekte; aksine geri kazanımı zorlaştırabilmektedir.</w:t>
      </w:r>
    </w:p>
    <w:p>
      <w:pPr>
        <w:pStyle w:val="Heading2"/>
        <w:spacing w:after="180" w:before="320" w:line="360"/>
      </w:pPr>
      <w:r>
        <w:rPr>
          <w:rFonts w:ascii="Times New Roman" w:cs="Times New Roman" w:eastAsia="Times New Roman" w:hAnsi="Times New Roman"/>
          <w:b/>
          <w:bCs/>
          <w:sz w:val="26"/>
          <w:szCs w:val="26"/>
        </w:rPr>
        <w:t xml:space="preserve">7.3. Alanyazının Kendi Teşhisi: Neyin Eksik Olduğu</w:t>
      </w:r>
    </w:p>
    <w:p>
      <w:pPr>
        <w:spacing w:after="160" w:line="360"/>
        <w:jc w:val="both"/>
      </w:pPr>
      <w:r>
        <w:rPr>
          <w:rFonts w:ascii="Times New Roman" w:cs="Times New Roman" w:eastAsia="Times New Roman" w:hAnsi="Times New Roman"/>
          <w:b w:val="false"/>
          <w:bCs w:val="false"/>
          <w:i w:val="false"/>
          <w:iCs w:val="false"/>
          <w:sz w:val="24"/>
          <w:szCs w:val="24"/>
        </w:rPr>
        <w:t xml:space="preserve">Bu sınırlılıkların kaynağına ilişkin en keskin saptama yine aynı çalışmadan gelmektedir. Edalat (2026), söz konusu güçlüklerin çoğunun tasarım aşamasında doğduğunu; döngüsel ekonomiye ilişkin temel değerlendirmelerin bu aşamada sıklıkla göz ardı edildiğini belirtmektedir. Yazara göre bunun başlıca nedeni, malzeme tasarımcılarının </w:t>
      </w:r>
      <w:r>
        <w:rPr>
          <w:rFonts w:ascii="Times New Roman" w:cs="Times New Roman" w:eastAsia="Times New Roman" w:hAnsi="Times New Roman"/>
          <w:b/>
          <w:bCs/>
          <w:i w:val="false"/>
          <w:iCs w:val="false"/>
          <w:sz w:val="24"/>
          <w:szCs w:val="24"/>
        </w:rPr>
        <w:t xml:space="preserve">yaşam döngüsü değerlendirmesine ve sera gazı azaltımına orantısız biçimde odaklanmasıdır</w:t>
      </w:r>
      <w:r>
        <w:rPr>
          <w:rFonts w:ascii="Times New Roman" w:cs="Times New Roman" w:eastAsia="Times New Roman" w:hAnsi="Times New Roman"/>
          <w:b w:val="false"/>
          <w:bCs w:val="false"/>
          <w:i w:val="false"/>
          <w:iCs w:val="false"/>
          <w:sz w:val="24"/>
          <w:szCs w:val="24"/>
        </w:rPr>
        <w:t xml:space="preserve">. Karbon azaltımı kritik olmakla birlikte, bu dar vurgu </w:t>
      </w:r>
      <w:r>
        <w:rPr>
          <w:rFonts w:ascii="Times New Roman" w:cs="Times New Roman" w:eastAsia="Times New Roman" w:hAnsi="Times New Roman"/>
          <w:b/>
          <w:bCs/>
          <w:i w:val="false"/>
          <w:iCs w:val="false"/>
          <w:sz w:val="24"/>
          <w:szCs w:val="24"/>
        </w:rPr>
        <w:t xml:space="preserve">tedarik zinciri dirençliliği ve malzeme döngüselliği</w:t>
      </w:r>
      <w:r>
        <w:rPr>
          <w:rFonts w:ascii="Times New Roman" w:cs="Times New Roman" w:eastAsia="Times New Roman" w:hAnsi="Times New Roman"/>
          <w:b w:val="false"/>
          <w:bCs w:val="false"/>
          <w:i w:val="false"/>
          <w:iCs w:val="false"/>
          <w:sz w:val="24"/>
          <w:szCs w:val="24"/>
        </w:rPr>
        <w:t xml:space="preserve"> gibi en az onun kadar hayati yönleri sıklıkla ihmal etmektedir. Edalat’a göre bu dengesizlik döngüsel ekonomi tartışmasında önemli bir boşluğa işaret etmekte ve malzeme tasarımı için daha bütünleşik, çerçeve temelli bir yaklaşımı gerekli kılmaktadır.</w:t>
      </w:r>
    </w:p>
    <w:p>
      <w:pPr>
        <w:spacing w:after="160" w:line="360"/>
        <w:jc w:val="both"/>
      </w:pPr>
      <w:r>
        <w:rPr>
          <w:rFonts w:ascii="Times New Roman" w:cs="Times New Roman" w:eastAsia="Times New Roman" w:hAnsi="Times New Roman"/>
          <w:sz w:val="24"/>
          <w:szCs w:val="24"/>
        </w:rPr>
        <w:t xml:space="preserve">Bu teşhis, izleyen alt başlıkta önerilen çerçevenin gerekçesini oluşturmaktadır: eksik olan, yeni bir ölçüt listesi değil; mevcut ölçüt listelerinin kapsamadığı boyutlardır.</w:t>
      </w:r>
    </w:p>
    <w:p>
      <w:pPr>
        <w:pStyle w:val="Heading2"/>
        <w:spacing w:after="180" w:before="320" w:line="360"/>
      </w:pPr>
      <w:r>
        <w:rPr>
          <w:rFonts w:ascii="Times New Roman" w:cs="Times New Roman" w:eastAsia="Times New Roman" w:hAnsi="Times New Roman"/>
          <w:b/>
          <w:bCs/>
          <w:sz w:val="26"/>
          <w:szCs w:val="26"/>
        </w:rPr>
        <w:t xml:space="preserve">7.4. İki Katmanlı Bir Değerlendirme Çerçevesi Önerisi</w:t>
      </w:r>
    </w:p>
    <w:p>
      <w:pPr>
        <w:spacing w:after="160" w:line="360"/>
        <w:jc w:val="both"/>
      </w:pPr>
      <w:r>
        <w:rPr>
          <w:rFonts w:ascii="Times New Roman" w:cs="Times New Roman" w:eastAsia="Times New Roman" w:hAnsi="Times New Roman"/>
          <w:b w:val="false"/>
          <w:bCs w:val="false"/>
          <w:i w:val="false"/>
          <w:iCs w:val="false"/>
          <w:sz w:val="24"/>
          <w:szCs w:val="24"/>
        </w:rPr>
        <w:t xml:space="preserve">Edalat (2026), döngüsel biyolojik temelli yapı malzemeleri için altı ölçütlü bir tasarım ve seçim çerçevesi önermiştir (bkz. Tablo 3). Söz konusu çerçeve malzeme düzeyinde kapsamlıdır; ancak iki boyutu içermemektedir: malzemenin </w:t>
      </w:r>
      <w:r>
        <w:rPr>
          <w:rFonts w:ascii="Times New Roman" w:cs="Times New Roman" w:eastAsia="Times New Roman" w:hAnsi="Times New Roman"/>
          <w:b/>
          <w:bCs/>
          <w:i w:val="false"/>
          <w:iCs w:val="false"/>
          <w:sz w:val="24"/>
          <w:szCs w:val="24"/>
        </w:rPr>
        <w:t xml:space="preserve">deneyimsel performansı</w:t>
      </w:r>
      <w:r>
        <w:rPr>
          <w:rFonts w:ascii="Times New Roman" w:cs="Times New Roman" w:eastAsia="Times New Roman" w:hAnsi="Times New Roman"/>
          <w:b w:val="false"/>
          <w:bCs w:val="false"/>
          <w:i w:val="false"/>
          <w:iCs w:val="false"/>
          <w:sz w:val="24"/>
          <w:szCs w:val="24"/>
        </w:rPr>
        <w:t xml:space="preserve"> ve sistemin </w:t>
      </w:r>
      <w:r>
        <w:rPr>
          <w:rFonts w:ascii="Times New Roman" w:cs="Times New Roman" w:eastAsia="Times New Roman" w:hAnsi="Times New Roman"/>
          <w:b/>
          <w:bCs/>
          <w:i w:val="false"/>
          <w:iCs w:val="false"/>
          <w:sz w:val="24"/>
          <w:szCs w:val="24"/>
        </w:rPr>
        <w:t xml:space="preserve">dirençlilik kapasitesi</w:t>
      </w:r>
      <w:r>
        <w:rPr>
          <w:rFonts w:ascii="Times New Roman" w:cs="Times New Roman" w:eastAsia="Times New Roman" w:hAnsi="Times New Roman"/>
          <w:b w:val="false"/>
          <w:bCs w:val="false"/>
          <w:i w:val="false"/>
          <w:iCs w:val="false"/>
          <w:sz w:val="24"/>
          <w:szCs w:val="24"/>
        </w:rPr>
        <w:t xml:space="preserve">.</w:t>
      </w:r>
    </w:p>
    <w:p>
      <w:pPr>
        <w:spacing w:after="160" w:line="360"/>
        <w:jc w:val="both"/>
      </w:pPr>
      <w:r>
        <w:rPr>
          <w:rFonts w:ascii="Times New Roman" w:cs="Times New Roman" w:eastAsia="Times New Roman" w:hAnsi="Times New Roman"/>
          <w:sz w:val="24"/>
          <w:szCs w:val="24"/>
        </w:rPr>
        <w:t xml:space="preserve">Bu iki boyutun eklenmesi keyfî bir genişletme değildir. Birincisi, Edalat’ın (2026) kendi teşhisi dirençliliği açıkça ihmal edilen bir yön olarak adlandırmaktadır. İkincisi, iç mimarlık malzemenin kullanıcıyla doğrudan temas ettiği ölçek olduğu için deneyimsel değerlendirme bu bağlamda ikincil değil, kurucu bir ölçüttür.</w:t>
      </w:r>
    </w:p>
    <w:p>
      <w:pPr>
        <w:spacing w:after="160" w:line="360"/>
        <w:jc w:val="both"/>
      </w:pPr>
      <w:r>
        <w:rPr>
          <w:rFonts w:ascii="Times New Roman" w:cs="Times New Roman" w:eastAsia="Times New Roman" w:hAnsi="Times New Roman"/>
          <w:sz w:val="24"/>
          <w:szCs w:val="24"/>
        </w:rPr>
        <w:t xml:space="preserve">Buna göre Tablo 5, iki katmanlı bir değerlendirme çerçevesi önermektedir. Birinci katman Edalat’ın (2026) altı ölçütünü malzeme düzeyinde olduğu gibi korumakta; ikinci katman ise iç mekân ölçeğine özgü iki boyut eklemektedir. Çerçevenin özgün katkısı bu ikinci katmandır.</w:t>
      </w:r>
    </w:p>
    <w:p>
      <w:pPr>
        <w:spacing w:after="160" w:line="360"/>
        <w:jc w:val="both"/>
      </w:pPr>
      <w:r>
        <w:rPr>
          <w:rFonts w:ascii="Times New Roman" w:cs="Times New Roman" w:eastAsia="Times New Roman" w:hAnsi="Times New Roman"/>
          <w:sz w:val="24"/>
          <w:szCs w:val="24"/>
        </w:rPr>
        <w:t xml:space="preserve">Çerçevenin kullanım mantığı sıralı değil, eşzamanlıdır: bir bileşenin yalnızca birinci katmanı karşılaması, iç mekân bağlamında yeterli bir değerlendirme sağlamaz. Nitekim 6. alt başlıkta aktarılan kahve atıklı duvar paneli örneği, atık kökenli tedarik ölçütünü tümüyle karşılamasına karşın ömür sonu ölçütünü hiç karşılamayan bir bileşenin döngüsel sayılamayacağını göstermektedir.</w:t>
      </w:r>
    </w:p>
    <w:p>
      <w:pPr>
        <w:spacing w:after="140" w:before="420" w:line="240"/>
      </w:pPr>
      <w:r>
        <w:rPr>
          <w:rFonts w:ascii="Times New Roman" w:cs="Times New Roman" w:eastAsia="Times New Roman" w:hAnsi="Times New Roman"/>
          <w:b/>
          <w:bCs/>
          <w:sz w:val="22"/>
          <w:szCs w:val="22"/>
        </w:rPr>
        <w:t xml:space="preserve">Tablo 4. </w:t>
      </w:r>
      <w:r>
        <w:rPr>
          <w:rFonts w:ascii="Times New Roman" w:cs="Times New Roman" w:eastAsia="Times New Roman" w:hAnsi="Times New Roman"/>
          <w:sz w:val="22"/>
          <w:szCs w:val="22"/>
        </w:rPr>
        <w:t xml:space="preserve">Biyolojik temelli malzemelerin potansiyelleri ve sınırlılıkları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076"/>
      </w:tblGrid>
      <w:tr>
        <w:trPr>
          <w:tblHeader/>
        </w:trPr>
        <w:tc>
          <w:tcPr>
            <w:tcW w:type="dxa" w:w="12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Boyut</w:t>
            </w:r>
          </w:p>
        </w:tc>
        <w:tc>
          <w:tcPr>
            <w:tcW w:type="dxa" w:w="370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Potansiyel</w:t>
            </w:r>
          </w:p>
        </w:tc>
        <w:tc>
          <w:tcPr>
            <w:tcW w:type="dxa" w:w="407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Sınırlılık</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Kaynak</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Atık akımlarının hammadde aşamasında üst değerlendirmeye dönüşmesi¹</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Kısıtlı hammadde kaynakları; bitkisel malzeme maliyetlerinin ülkeden ülkeye değişkenliği¹</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Üretim</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Yenilenebilirlik ve düşük gömülü enerji²</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Yüksek maliyetler; merkezsiz ve parçalı tedarik zincirleri¹</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Performans</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Isıl düzenleme kapasitesi²; mineral yalıtkanlarla karşılaştırılabilir ısıl performans¹</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Sınırlı mekanik dayanım¹; zayıf yangın dayanımı¹; nem duyarlılığı ve zararlılara karşı kırılganlık¹; uzun süreli dayanıklılık bilgisinin sınırlılığı³</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Standart</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Bambuda yapısal standartların oluşması (ISO 22156, ISO 19624)¹</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Çoğu ahşap dışı malzemede standart kod, kamusal farkındalık ve uzman yüklenici ağı eksikliği; yetersiz düzenleyici çerçeveler¹</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Pazar</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Biyolojik temelli yalıtkanların AB pazarındaki payının %1,6 olması (mineral yünler %22)¹</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Döngüsellik</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Miselyumun biyobozunurluk, kendi kendine bağlanma ve tarımsal atıkla uyumluluk yoluyla kapalı döngü potansiyeli¹</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Ömür sonu planlaması, toplama altyapısı ve bağlayıcı uyumluluğundaki boşluklar; ön üretimli olmayan biçimlerin geri kazanım güçlüğü¹</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Ekoloji</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Ahşap ile ahşap dışı malzemelerin birlikte kullanımının daha dirençli bir yol sunması¹</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Ahşaba aşırı bağımlılıkta ormansızlaşma ve biyoçeşitlilik kaybı riski¹</w:t>
            </w:r>
          </w:p>
        </w:tc>
      </w:tr>
      <w:tr>
        <w:tc>
          <w:tcPr>
            <w:tcW w:type="dxa" w:w="125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Deneyim</w:t>
            </w:r>
          </w:p>
        </w:tc>
        <w:tc>
          <w:tcPr>
            <w:tcW w:type="dxa" w:w="37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Malzemenin kendine özgü teknik ve deneyimsel niteliklerinin tasarıma girdi oluşturması⁴</w:t>
            </w:r>
          </w:p>
        </w:tc>
        <w:tc>
          <w:tcPr>
            <w:tcW w:type="dxa" w:w="407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Malzemenin toplum tarafından kabulüne ilişkin belirsizlik⁵; endüstriyel seri üretimle koşullanmış tekdüzelik beklentisi⁶</w:t>
            </w:r>
          </w:p>
        </w:tc>
      </w:tr>
    </w:tbl>
    <w:p>
      <w:pPr>
        <w:spacing w:after="360" w:before="140" w:line="240"/>
      </w:pPr>
      <w:r>
        <w:rPr>
          <w:rFonts w:ascii="Times New Roman" w:cs="Times New Roman" w:eastAsia="Times New Roman" w:hAnsi="Times New Roman"/>
          <w:i/>
          <w:iCs/>
          <w:sz w:val="18"/>
          <w:szCs w:val="18"/>
        </w:rPr>
        <w:t xml:space="preserve">¹ Edalat (2026) · ² Bourbia vd. (2023) · ³ Chang vd. (2020) · ⁴ Karana vd. (2015) · ⁵ Karana vd. (2018) · ⁶ Rognoli ve Ayala García (2018)</w:t>
      </w:r>
    </w:p>
    <w:p>
      <w:pPr>
        <w:spacing w:after="140" w:before="420" w:line="240"/>
      </w:pPr>
      <w:r>
        <w:rPr>
          <w:rFonts w:ascii="Times New Roman" w:cs="Times New Roman" w:eastAsia="Times New Roman" w:hAnsi="Times New Roman"/>
          <w:b/>
          <w:bCs/>
          <w:sz w:val="22"/>
          <w:szCs w:val="22"/>
        </w:rPr>
        <w:t xml:space="preserve">Tablo 5. </w:t>
      </w:r>
      <w:r>
        <w:rPr>
          <w:rFonts w:ascii="Times New Roman" w:cs="Times New Roman" w:eastAsia="Times New Roman" w:hAnsi="Times New Roman"/>
          <w:sz w:val="22"/>
          <w:szCs w:val="22"/>
        </w:rPr>
        <w:t xml:space="preserve">İç mekân ölçeği için önerilen iki katmanlı değerlendirme çerçevesi</w:t>
      </w:r>
    </w:p>
    <w:p>
      <w:pPr>
        <w:spacing w:after="140" w:line="240"/>
      </w:pPr>
      <w:r>
        <w:rPr>
          <w:rFonts w:ascii="Times New Roman" w:cs="Times New Roman" w:eastAsia="Times New Roman" w:hAnsi="Times New Roman"/>
          <w:b/>
          <w:bCs/>
          <w:sz w:val="20"/>
          <w:szCs w:val="20"/>
        </w:rPr>
        <w:t xml:space="preserve">Birinci katman — Malzeme düzeyi. </w:t>
      </w:r>
      <w:r>
        <w:rPr>
          <w:rFonts w:ascii="Times New Roman" w:cs="Times New Roman" w:eastAsia="Times New Roman" w:hAnsi="Times New Roman"/>
          <w:i/>
          <w:iCs/>
          <w:sz w:val="20"/>
          <w:szCs w:val="20"/>
        </w:rPr>
        <w:t xml:space="preserve">Edalat’ın (2026) altı ölçütü olduğu gibi korunmuştur (bkz. Tablo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8406"/>
      </w:tblGrid>
      <w:tr>
        <w:trPr>
          <w:tblHeader/>
        </w:trPr>
        <w:tc>
          <w:tcPr>
            <w:tcW w:type="dxa" w:w="62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
            </w:r>
          </w:p>
        </w:tc>
        <w:tc>
          <w:tcPr>
            <w:tcW w:type="dxa" w:w="840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Ölçüt</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A</w:t>
            </w:r>
          </w:p>
        </w:tc>
        <w:tc>
          <w:tcPr>
            <w:tcW w:type="dxa" w:w="84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Genel sürdürülebilirlik yönleri</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w:t>
            </w:r>
          </w:p>
        </w:tc>
        <w:tc>
          <w:tcPr>
            <w:tcW w:type="dxa" w:w="84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Atık kökenli ya da yenilenebilir tedarik</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C</w:t>
            </w:r>
          </w:p>
        </w:tc>
        <w:tc>
          <w:tcPr>
            <w:tcW w:type="dxa" w:w="84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Sera gazı azaltımı ve düşük karbon niteliği</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D</w:t>
            </w:r>
          </w:p>
        </w:tc>
        <w:tc>
          <w:tcPr>
            <w:tcW w:type="dxa" w:w="84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Geri dönüştürülebilirlik, biyobozunurluk ve ömür sonu</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E</w:t>
            </w:r>
          </w:p>
        </w:tc>
        <w:tc>
          <w:tcPr>
            <w:tcW w:type="dxa" w:w="84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Coğrafi erişilebilirlik ve tedarik zinciri güvenliği</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F</w:t>
            </w:r>
          </w:p>
        </w:tc>
        <w:tc>
          <w:tcPr>
            <w:tcW w:type="dxa" w:w="840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Özel ya da bağlama özgü nitelikler</w:t>
            </w:r>
          </w:p>
        </w:tc>
      </w:tr>
    </w:tbl>
    <w:p>
      <w:pPr>
        <w:spacing w:after="140" w:before="260" w:line="240"/>
      </w:pPr>
      <w:r>
        <w:rPr>
          <w:rFonts w:ascii="Times New Roman" w:cs="Times New Roman" w:eastAsia="Times New Roman" w:hAnsi="Times New Roman"/>
          <w:b/>
          <w:bCs/>
          <w:sz w:val="20"/>
          <w:szCs w:val="20"/>
        </w:rPr>
        <w:t xml:space="preserve">İkinci katman — İç mekân düzeyi. </w:t>
      </w:r>
      <w:r>
        <w:rPr>
          <w:rFonts w:ascii="Times New Roman" w:cs="Times New Roman" w:eastAsia="Times New Roman" w:hAnsi="Times New Roman"/>
          <w:i/>
          <w:iCs/>
          <w:sz w:val="20"/>
          <w:szCs w:val="20"/>
        </w:rPr>
        <w:t xml:space="preserve">Bu bölümün önerisi.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3650"/>
        <w:gridCol w:w="2856"/>
      </w:tblGrid>
      <w:tr>
        <w:trPr>
          <w:tblHeader/>
        </w:trPr>
        <w:tc>
          <w:tcPr>
            <w:tcW w:type="dxa" w:w="62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
            </w:r>
          </w:p>
        </w:tc>
        <w:tc>
          <w:tcPr>
            <w:tcW w:type="dxa" w:w="190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Boyut</w:t>
            </w:r>
          </w:p>
        </w:tc>
        <w:tc>
          <w:tcPr>
            <w:tcW w:type="dxa" w:w="3650"/>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Tasarımcının sorusu</w:t>
            </w:r>
          </w:p>
        </w:tc>
        <w:tc>
          <w:tcPr>
            <w:tcW w:type="dxa" w:w="2856"/>
            <w:shd w:fill="EDEDED" w:color="auto" w:val="clear"/>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Kuramsal dayanak</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G</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Deneyimsel performans</w:t>
            </w:r>
          </w:p>
        </w:tc>
        <w:tc>
          <w:tcPr>
            <w:tcW w:type="dxa" w:w="36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Malzeme kullanıcıda hangi duyusal ve anlamsal deneyimi oluşturuyor? Yaşlandığında nasıl davranıyor? Değişkenliği kabul görüyor mu?</w:t>
            </w:r>
          </w:p>
        </w:tc>
        <w:tc>
          <w:tcPr>
            <w:tcW w:type="dxa" w:w="285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Karana vd. (2015); Karana vd. (2018); Rognoli ve Ayala García (2018)</w:t>
            </w:r>
          </w:p>
        </w:tc>
      </w:tr>
      <w:tr>
        <w:tc>
          <w:tcPr>
            <w:tcW w:type="dxa" w:w="620"/>
            <w:tcMar>
              <w:top w:type="dxa" w:w="80"/>
              <w:left w:type="dxa" w:w="110"/>
              <w:bottom w:type="dxa" w:w="80"/>
              <w:right w:type="dxa" w:w="110"/>
            </w:tcMar>
          </w:tcPr>
          <w:p>
            <w:pPr>
              <w:spacing w:after="0" w:line="240"/>
            </w:pPr>
            <w:r>
              <w:rPr>
                <w:rFonts w:ascii="Times New Roman" w:cs="Times New Roman" w:eastAsia="Times New Roman" w:hAnsi="Times New Roman"/>
                <w:b/>
                <w:bCs/>
                <w:sz w:val="19"/>
                <w:szCs w:val="19"/>
              </w:rPr>
              <w:t xml:space="preserve">H</w:t>
            </w:r>
          </w:p>
        </w:tc>
        <w:tc>
          <w:tcPr>
            <w:tcW w:type="dxa" w:w="190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Dirençlilik kapasitesi</w:t>
            </w:r>
          </w:p>
        </w:tc>
        <w:tc>
          <w:tcPr>
            <w:tcW w:type="dxa" w:w="3650"/>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Bileşen değişime, bakıma, onarıma ve yeniden kullanıma ne ölçüde uyum sağlıyor? Yerel bir bozulma sistemin tamamını etkiliyor mu?</w:t>
            </w:r>
          </w:p>
        </w:tc>
        <w:tc>
          <w:tcPr>
            <w:tcW w:type="dxa" w:w="2856"/>
            <w:tcMar>
              <w:top w:type="dxa" w:w="80"/>
              <w:left w:type="dxa" w:w="110"/>
              <w:bottom w:type="dxa" w:w="80"/>
              <w:right w:type="dxa" w:w="110"/>
            </w:tcMar>
          </w:tcPr>
          <w:p>
            <w:pPr>
              <w:spacing w:after="0" w:line="240"/>
            </w:pPr>
            <w:r>
              <w:rPr>
                <w:rFonts w:ascii="Times New Roman" w:cs="Times New Roman" w:eastAsia="Times New Roman" w:hAnsi="Times New Roman"/>
                <w:b w:val="false"/>
                <w:bCs w:val="false"/>
                <w:sz w:val="19"/>
                <w:szCs w:val="19"/>
              </w:rPr>
              <w:t xml:space="preserve">Andréen ve Goidea (2022); Heymans vd. (2019); Goidea vd. (2022); Edalat (2026)</w:t>
            </w:r>
          </w:p>
        </w:tc>
      </w:tr>
    </w:tbl>
    <w:p>
      <w:pPr>
        <w:spacing w:after="360" w:before="140" w:line="240"/>
      </w:pPr>
      <w:r>
        <w:rPr>
          <w:rFonts w:ascii="Times New Roman" w:cs="Times New Roman" w:eastAsia="Times New Roman" w:hAnsi="Times New Roman"/>
          <w:i/>
          <w:iCs/>
          <w:sz w:val="18"/>
          <w:szCs w:val="18"/>
        </w:rPr>
        <w:t xml:space="preserve">Çerçevenin özgün katkısı ikinci katmandır. Birinci katman Edalat’ın (2026) ölçütlerini değiştirmeden korumaktadır.</w:t>
      </w:r>
    </w:p>
    <w:p>
      <w:pPr>
        <w:pStyle w:val="Heading1"/>
        <w:spacing w:after="180" w:before="440" w:line="360"/>
      </w:pPr>
      <w:r>
        <w:rPr>
          <w:rFonts w:ascii="Times New Roman" w:cs="Times New Roman" w:eastAsia="Times New Roman" w:hAnsi="Times New Roman"/>
          <w:b/>
          <w:bCs/>
          <w:sz w:val="26"/>
          <w:szCs w:val="26"/>
        </w:rPr>
        <w:t xml:space="preserve">KAYNAKÇA</w:t>
      </w:r>
    </w:p>
    <w:p>
      <w:pPr>
        <w:spacing w:after="140" w:line="360"/>
        <w:ind w:left="567" w:hanging="567"/>
        <w:jc w:val="left"/>
      </w:pPr>
      <w:r>
        <w:rPr>
          <w:rFonts w:ascii="Times New Roman" w:cs="Times New Roman" w:eastAsia="Times New Roman" w:hAnsi="Times New Roman"/>
          <w:i w:val="false"/>
          <w:iCs w:val="false"/>
          <w:sz w:val="24"/>
          <w:szCs w:val="24"/>
        </w:rPr>
        <w:t xml:space="preserve">Andréen, D., &amp; Goidea, A. (2022). Principles of biological design as a model for biodesign and biofabrication in architecture. </w:t>
      </w:r>
      <w:r>
        <w:rPr>
          <w:rFonts w:ascii="Times New Roman" w:cs="Times New Roman" w:eastAsia="Times New Roman" w:hAnsi="Times New Roman"/>
          <w:i/>
          <w:iCs/>
          <w:sz w:val="24"/>
          <w:szCs w:val="24"/>
        </w:rPr>
        <w:t xml:space="preserve">Architecture, Structures and Construction, 2</w:t>
      </w:r>
      <w:r>
        <w:rPr>
          <w:rFonts w:ascii="Times New Roman" w:cs="Times New Roman" w:eastAsia="Times New Roman" w:hAnsi="Times New Roman"/>
          <w:i w:val="false"/>
          <w:iCs w:val="false"/>
          <w:sz w:val="24"/>
          <w:szCs w:val="24"/>
        </w:rPr>
        <w:t xml:space="preserve">, 481–491. https://doi.org/10.1007/s44150-022-00049-6</w:t>
      </w:r>
    </w:p>
    <w:p>
      <w:pPr>
        <w:spacing w:after="140" w:line="360"/>
        <w:ind w:left="567" w:hanging="567"/>
        <w:jc w:val="left"/>
      </w:pPr>
      <w:r>
        <w:rPr>
          <w:rFonts w:ascii="Times New Roman" w:cs="Times New Roman" w:eastAsia="Times New Roman" w:hAnsi="Times New Roman"/>
          <w:i w:val="false"/>
          <w:iCs w:val="false"/>
          <w:sz w:val="24"/>
          <w:szCs w:val="24"/>
        </w:rPr>
        <w:t xml:space="preserve">Bourbia, S., Kazeoui, H., &amp; Belarbi, R. (2023). A review on recent research on bio-based building materials and their applications. </w:t>
      </w:r>
      <w:r>
        <w:rPr>
          <w:rFonts w:ascii="Times New Roman" w:cs="Times New Roman" w:eastAsia="Times New Roman" w:hAnsi="Times New Roman"/>
          <w:i/>
          <w:iCs/>
          <w:sz w:val="24"/>
          <w:szCs w:val="24"/>
        </w:rPr>
        <w:t xml:space="preserve">Materials for Renewable and Sustainable Energy, 12</w:t>
      </w:r>
      <w:r>
        <w:rPr>
          <w:rFonts w:ascii="Times New Roman" w:cs="Times New Roman" w:eastAsia="Times New Roman" w:hAnsi="Times New Roman"/>
          <w:i w:val="false"/>
          <w:iCs w:val="false"/>
          <w:sz w:val="24"/>
          <w:szCs w:val="24"/>
        </w:rPr>
        <w:t xml:space="preserve">, 117–139. https://doi.org/10.1007/s40243-023-00234-7</w:t>
      </w:r>
    </w:p>
    <w:p>
      <w:pPr>
        <w:spacing w:after="140" w:line="360"/>
        <w:ind w:left="567" w:hanging="567"/>
        <w:jc w:val="left"/>
      </w:pPr>
      <w:r>
        <w:rPr>
          <w:rFonts w:ascii="Times New Roman" w:cs="Times New Roman" w:eastAsia="Times New Roman" w:hAnsi="Times New Roman"/>
          <w:i w:val="false"/>
          <w:iCs w:val="false"/>
          <w:sz w:val="24"/>
          <w:szCs w:val="24"/>
        </w:rPr>
        <w:t xml:space="preserve">Chang, B. P., Mohanty, A. K., &amp; Misra, M. (2020). Studies on durability of sustainable biobased composites: A review. </w:t>
      </w:r>
      <w:r>
        <w:rPr>
          <w:rFonts w:ascii="Times New Roman" w:cs="Times New Roman" w:eastAsia="Times New Roman" w:hAnsi="Times New Roman"/>
          <w:i/>
          <w:iCs/>
          <w:sz w:val="24"/>
          <w:szCs w:val="24"/>
        </w:rPr>
        <w:t xml:space="preserve">RSC Advances, 10</w:t>
      </w:r>
      <w:r>
        <w:rPr>
          <w:rFonts w:ascii="Times New Roman" w:cs="Times New Roman" w:eastAsia="Times New Roman" w:hAnsi="Times New Roman"/>
          <w:i w:val="false"/>
          <w:iCs w:val="false"/>
          <w:sz w:val="24"/>
          <w:szCs w:val="24"/>
        </w:rPr>
        <w:t xml:space="preserve">(31), 17955–17999. https://doi.org/10.1039/C9RA09554C</w:t>
      </w:r>
    </w:p>
    <w:p>
      <w:pPr>
        <w:spacing w:after="140" w:line="360"/>
        <w:ind w:left="567" w:hanging="567"/>
        <w:jc w:val="left"/>
      </w:pPr>
      <w:r>
        <w:rPr>
          <w:rFonts w:ascii="Times New Roman" w:cs="Times New Roman" w:eastAsia="Times New Roman" w:hAnsi="Times New Roman"/>
          <w:i w:val="false"/>
          <w:iCs w:val="false"/>
          <w:sz w:val="24"/>
          <w:szCs w:val="24"/>
        </w:rPr>
        <w:t xml:space="preserve">Edalat, S. (2026). Advancing circular economy of bio-based building materials: Critical gaps and future prospects. </w:t>
      </w:r>
      <w:r>
        <w:rPr>
          <w:rFonts w:ascii="Times New Roman" w:cs="Times New Roman" w:eastAsia="Times New Roman" w:hAnsi="Times New Roman"/>
          <w:i/>
          <w:iCs/>
          <w:sz w:val="24"/>
          <w:szCs w:val="24"/>
        </w:rPr>
        <w:t xml:space="preserve">Circular Economy and Sustainability, 6</w:t>
      </w:r>
      <w:r>
        <w:rPr>
          <w:rFonts w:ascii="Times New Roman" w:cs="Times New Roman" w:eastAsia="Times New Roman" w:hAnsi="Times New Roman"/>
          <w:i w:val="false"/>
          <w:iCs w:val="false"/>
          <w:sz w:val="24"/>
          <w:szCs w:val="24"/>
        </w:rPr>
        <w:t xml:space="preserve">, 151. https://doi.org/10.1007/s43615-026-00729-1</w:t>
      </w:r>
    </w:p>
    <w:p>
      <w:pPr>
        <w:spacing w:after="140" w:line="360"/>
        <w:ind w:left="567" w:hanging="567"/>
        <w:jc w:val="left"/>
      </w:pPr>
      <w:r>
        <w:rPr>
          <w:rFonts w:ascii="Times New Roman" w:cs="Times New Roman" w:eastAsia="Times New Roman" w:hAnsi="Times New Roman"/>
          <w:i w:val="false"/>
          <w:iCs w:val="false"/>
          <w:sz w:val="24"/>
          <w:szCs w:val="24"/>
        </w:rPr>
        <w:t xml:space="preserve">Goidea, A., Floudas, D., &amp; Andréen, D. (2022). Transcalar design: An approach to biodesign in the built environment. </w:t>
      </w:r>
      <w:r>
        <w:rPr>
          <w:rFonts w:ascii="Times New Roman" w:cs="Times New Roman" w:eastAsia="Times New Roman" w:hAnsi="Times New Roman"/>
          <w:i/>
          <w:iCs/>
          <w:sz w:val="24"/>
          <w:szCs w:val="24"/>
        </w:rPr>
        <w:t xml:space="preserve">Infrastructures, 7</w:t>
      </w:r>
      <w:r>
        <w:rPr>
          <w:rFonts w:ascii="Times New Roman" w:cs="Times New Roman" w:eastAsia="Times New Roman" w:hAnsi="Times New Roman"/>
          <w:i w:val="false"/>
          <w:iCs w:val="false"/>
          <w:sz w:val="24"/>
          <w:szCs w:val="24"/>
        </w:rPr>
        <w:t xml:space="preserve">(4), 50. https://doi.org/10.3390/infrastructures7040050</w:t>
      </w:r>
    </w:p>
    <w:p>
      <w:pPr>
        <w:spacing w:after="140" w:line="360"/>
        <w:ind w:left="567" w:hanging="567"/>
        <w:jc w:val="left"/>
      </w:pPr>
      <w:r>
        <w:rPr>
          <w:rFonts w:ascii="Times New Roman" w:cs="Times New Roman" w:eastAsia="Times New Roman" w:hAnsi="Times New Roman"/>
          <w:i w:val="false"/>
          <w:iCs w:val="false"/>
          <w:sz w:val="24"/>
          <w:szCs w:val="24"/>
        </w:rPr>
        <w:t xml:space="preserve">Heymans, A., Breadsell, J., Morrison, G. M., Byrne, J. J., &amp; Eon, C. (2019). Ecological urban planning and design: A systematic literature review. </w:t>
      </w:r>
      <w:r>
        <w:rPr>
          <w:rFonts w:ascii="Times New Roman" w:cs="Times New Roman" w:eastAsia="Times New Roman" w:hAnsi="Times New Roman"/>
          <w:i/>
          <w:iCs/>
          <w:sz w:val="24"/>
          <w:szCs w:val="24"/>
        </w:rPr>
        <w:t xml:space="preserve">Sustainability, 11</w:t>
      </w:r>
      <w:r>
        <w:rPr>
          <w:rFonts w:ascii="Times New Roman" w:cs="Times New Roman" w:eastAsia="Times New Roman" w:hAnsi="Times New Roman"/>
          <w:i w:val="false"/>
          <w:iCs w:val="false"/>
          <w:sz w:val="24"/>
          <w:szCs w:val="24"/>
        </w:rPr>
        <w:t xml:space="preserve">(13), 3723. https://doi.org/10.3390/su11133723</w:t>
      </w:r>
    </w:p>
    <w:p>
      <w:pPr>
        <w:spacing w:after="140" w:line="360"/>
        <w:ind w:left="567" w:hanging="567"/>
        <w:jc w:val="left"/>
      </w:pPr>
      <w:r>
        <w:rPr>
          <w:rFonts w:ascii="Times New Roman" w:cs="Times New Roman" w:eastAsia="Times New Roman" w:hAnsi="Times New Roman"/>
          <w:i w:val="false"/>
          <w:iCs w:val="false"/>
          <w:sz w:val="24"/>
          <w:szCs w:val="24"/>
        </w:rPr>
        <w:t xml:space="preserve">Karana, E., Barati, B., Rognoli, V., &amp; Zeeuw van der Laan, A. (2015). Material driven design (MDD): A method to design for material experiences. </w:t>
      </w:r>
      <w:r>
        <w:rPr>
          <w:rFonts w:ascii="Times New Roman" w:cs="Times New Roman" w:eastAsia="Times New Roman" w:hAnsi="Times New Roman"/>
          <w:i/>
          <w:iCs/>
          <w:sz w:val="24"/>
          <w:szCs w:val="24"/>
        </w:rPr>
        <w:t xml:space="preserve">International Journal of Design, 9</w:t>
      </w:r>
      <w:r>
        <w:rPr>
          <w:rFonts w:ascii="Times New Roman" w:cs="Times New Roman" w:eastAsia="Times New Roman" w:hAnsi="Times New Roman"/>
          <w:i w:val="false"/>
          <w:iCs w:val="false"/>
          <w:sz w:val="24"/>
          <w:szCs w:val="24"/>
        </w:rPr>
        <w:t xml:space="preserve">(2), 35–54.</w:t>
      </w:r>
    </w:p>
    <w:p>
      <w:pPr>
        <w:spacing w:after="140" w:line="360"/>
        <w:ind w:left="567" w:hanging="567"/>
        <w:jc w:val="left"/>
      </w:pPr>
      <w:r>
        <w:rPr>
          <w:rFonts w:ascii="Times New Roman" w:cs="Times New Roman" w:eastAsia="Times New Roman" w:hAnsi="Times New Roman"/>
          <w:i w:val="false"/>
          <w:iCs w:val="false"/>
          <w:sz w:val="24"/>
          <w:szCs w:val="24"/>
        </w:rPr>
        <w:t xml:space="preserve">Karana, E., Blauwhoff, D., Hultink, E.-J., &amp; Camere, S. (2018). When the material grows: A case study on designing (with) mycelium-based materials. </w:t>
      </w:r>
      <w:r>
        <w:rPr>
          <w:rFonts w:ascii="Times New Roman" w:cs="Times New Roman" w:eastAsia="Times New Roman" w:hAnsi="Times New Roman"/>
          <w:i/>
          <w:iCs/>
          <w:sz w:val="24"/>
          <w:szCs w:val="24"/>
        </w:rPr>
        <w:t xml:space="preserve">International Journal of Design, 12</w:t>
      </w:r>
      <w:r>
        <w:rPr>
          <w:rFonts w:ascii="Times New Roman" w:cs="Times New Roman" w:eastAsia="Times New Roman" w:hAnsi="Times New Roman"/>
          <w:i w:val="false"/>
          <w:iCs w:val="false"/>
          <w:sz w:val="24"/>
          <w:szCs w:val="24"/>
        </w:rPr>
        <w:t xml:space="preserve">(2), 119–136.</w:t>
      </w:r>
    </w:p>
    <w:p>
      <w:pPr>
        <w:spacing w:after="140" w:line="360"/>
        <w:ind w:left="567" w:hanging="567"/>
        <w:jc w:val="left"/>
      </w:pPr>
      <w:r>
        <w:rPr>
          <w:rFonts w:ascii="Times New Roman" w:cs="Times New Roman" w:eastAsia="Times New Roman" w:hAnsi="Times New Roman"/>
          <w:i w:val="false"/>
          <w:iCs w:val="false"/>
          <w:sz w:val="24"/>
          <w:szCs w:val="24"/>
        </w:rPr>
        <w:t xml:space="preserve">Rognoli, V., &amp; Ayala García, C. (2018). Material activism: New hybrid scenarios between design and technology. </w:t>
      </w:r>
      <w:r>
        <w:rPr>
          <w:rFonts w:ascii="Times New Roman" w:cs="Times New Roman" w:eastAsia="Times New Roman" w:hAnsi="Times New Roman"/>
          <w:i/>
          <w:iCs/>
          <w:sz w:val="24"/>
          <w:szCs w:val="24"/>
        </w:rPr>
        <w:t xml:space="preserve">Cuadernos del Centro de Estudios en Diseño y Comunicación</w:t>
      </w:r>
      <w:r>
        <w:rPr>
          <w:rFonts w:ascii="Times New Roman" w:cs="Times New Roman" w:eastAsia="Times New Roman" w:hAnsi="Times New Roman"/>
          <w:i w:val="false"/>
          <w:iCs w:val="false"/>
          <w:sz w:val="24"/>
          <w:szCs w:val="24"/>
        </w:rPr>
        <w:t xml:space="preserve">, (70), 105–115.</w:t>
      </w:r>
    </w:p>
    <w:p>
      <w:pPr>
        <w:pStyle w:val="Heading1"/>
        <w:spacing w:after="180" w:before="480" w:line="360"/>
      </w:pPr>
      <w:r>
        <w:rPr>
          <w:rFonts w:ascii="Times New Roman" w:cs="Times New Roman" w:eastAsia="Times New Roman" w:hAnsi="Times New Roman"/>
          <w:b/>
          <w:bCs/>
          <w:sz w:val="24"/>
          <w:szCs w:val="24"/>
        </w:rPr>
        <w:t xml:space="preserve">EK. Kaynak Doğrulama Notları (yazar kullanımı için)</w:t>
      </w:r>
    </w:p>
    <w:p>
      <w:pPr>
        <w:spacing w:after="160" w:line="360"/>
        <w:jc w:val="both"/>
      </w:pPr>
      <w:r>
        <w:rPr>
          <w:rFonts w:ascii="Times New Roman" w:cs="Times New Roman" w:eastAsia="Times New Roman" w:hAnsi="Times New Roman"/>
          <w:i/>
          <w:iCs/>
          <w:sz w:val="24"/>
          <w:szCs w:val="24"/>
        </w:rPr>
        <w:t xml:space="preserve">Nihai metinde yer almayacaktır; yalnızca kaynak denetimi içindir.</w:t>
      </w:r>
    </w:p>
    <w:p>
      <w:pPr>
        <w:spacing w:after="120" w:line="300"/>
        <w:ind w:left="400" w:hanging="400"/>
        <w:jc w:val="both"/>
      </w:pPr>
      <w:r>
        <w:rPr>
          <w:rFonts w:ascii="Times New Roman" w:cs="Times New Roman" w:eastAsia="Times New Roman" w:hAnsi="Times New Roman"/>
          <w:sz w:val="20"/>
          <w:szCs w:val="20"/>
        </w:rPr>
        <w:t xml:space="preserve">1. Metindeki on yedi iddianın tamamı, tam metni incelenen kaynaklardan doğrulanmıştır. Edalat (2026) kaynaklı iddialar makalenin tam metninden; diğerleri repodaki tam metinlerden teyit edilmiştir.</w:t>
      </w:r>
    </w:p>
    <w:p>
      <w:pPr>
        <w:spacing w:after="120" w:line="300"/>
        <w:ind w:left="400" w:hanging="400"/>
        <w:jc w:val="both"/>
      </w:pPr>
      <w:r>
        <w:rPr>
          <w:rFonts w:ascii="Times New Roman" w:cs="Times New Roman" w:eastAsia="Times New Roman" w:hAnsi="Times New Roman"/>
          <w:sz w:val="20"/>
          <w:szCs w:val="20"/>
        </w:rPr>
        <w:t xml:space="preserve">2. ÇERÇEVENİN KONUMLANDIRILMASI — ÇIKARILMAMALIDIR: Önerilen çerçeve, Edalat’ın (2026) altı ölçütünü değiştirmemekte, yerine geçmemekte ve kısaltmamaktadır. Birinci katman söz konusu ölçütleri olduğu gibi korumakta; ikinci katman iki boyut eklemektedir. Bu kurgu bilinçli seçilmiştir: mevcut bir çerçeveyi yeniden adlandırarak özgün gibi sunma riskini ortadan kaldırır, katkının tam olarak nerede olduğunu gösterir ve Edalat’ın kendi teşhisiyle (dirençliliğin ihmal edilen bir boyut olması) doğrudan ilişki kurar. Metindeki bu konumlandırma paragrafı çıkarıldığı takdirde çerçeve, mevcut bir çerçevenin tekrarı olarak değerlendirilebilir.</w:t>
      </w:r>
    </w:p>
    <w:p>
      <w:pPr>
        <w:spacing w:after="120" w:line="300"/>
        <w:ind w:left="400" w:hanging="400"/>
        <w:jc w:val="both"/>
      </w:pPr>
      <w:r>
        <w:rPr>
          <w:rFonts w:ascii="Times New Roman" w:cs="Times New Roman" w:eastAsia="Times New Roman" w:hAnsi="Times New Roman"/>
          <w:sz w:val="20"/>
          <w:szCs w:val="20"/>
        </w:rPr>
        <w:t xml:space="preserve">3. ISO 22156 ve ISO 19624 numaraları Edalat’ın metninde “ISO 22,156” ve “ISO 19,624” biçiminde geçmektedir; virgüller metin çıkarımından kaynaklanan binlik ayırıcılardır. NUMARALAR ISO KATALOĞUNDAN TEYİT EDİLMELİDİR.</w:t>
      </w:r>
    </w:p>
    <w:p>
      <w:pPr>
        <w:spacing w:after="120" w:line="300"/>
        <w:ind w:left="400" w:hanging="400"/>
        <w:jc w:val="both"/>
      </w:pPr>
      <w:r>
        <w:rPr>
          <w:rFonts w:ascii="Times New Roman" w:cs="Times New Roman" w:eastAsia="Times New Roman" w:hAnsi="Times New Roman"/>
          <w:sz w:val="20"/>
          <w:szCs w:val="20"/>
        </w:rPr>
        <w:t xml:space="preserve">4. AB pazar payı oranları (%1,6 ve %22) Edalat’ın kendi verisi değil, kaynağından aktardığı değerlerdir; metinde “aktarmaktadır” ile verilmiştir. Doğrudan atıf istenirse künye Edalat’ın kaynakçasından (kaynak 129) alınmalıdır.</w:t>
      </w:r>
    </w:p>
    <w:p>
      <w:pPr>
        <w:spacing w:after="120" w:line="300"/>
        <w:ind w:left="400" w:hanging="400"/>
        <w:jc w:val="both"/>
      </w:pPr>
      <w:r>
        <w:rPr>
          <w:rFonts w:ascii="Times New Roman" w:cs="Times New Roman" w:eastAsia="Times New Roman" w:hAnsi="Times New Roman"/>
          <w:sz w:val="20"/>
          <w:szCs w:val="20"/>
        </w:rPr>
        <w:t xml:space="preserve">5. Mineral yünlerin tümüyle ve sınırsız geri dönüştürülebilirliğine ilişkin bulgu (Edalat’ın kaynakçasında kaynak 158) bölümün en güçlü eleştirel kanıtıdır; biyolojik kökenli olmayan bir malzemenin biyolojik kökenli alternatifinden daha döngüsel davranabildiğini göstermektedir. Bu bulgu için doğrudan atıf tercih edilebilir.</w:t>
      </w:r>
    </w:p>
    <w:p>
      <w:pPr>
        <w:spacing w:after="120" w:line="300"/>
        <w:ind w:left="400" w:hanging="400"/>
        <w:jc w:val="both"/>
      </w:pPr>
      <w:r>
        <w:rPr>
          <w:rFonts w:ascii="Times New Roman" w:cs="Times New Roman" w:eastAsia="Times New Roman" w:hAnsi="Times New Roman"/>
          <w:sz w:val="20"/>
          <w:szCs w:val="20"/>
        </w:rPr>
        <w:t xml:space="preserve">6. Üretim ve dağıtımdaki sekiz güçlük listesini Edalat, kapsamlı derleme çalışmalarından yaptığı sentez olarak sunmaktadır; metinde bu nedenle “sentezinde saptamaktadır” ifadesi kullanılmıştır.</w:t>
      </w:r>
    </w:p>
    <w:p>
      <w:pPr>
        <w:spacing w:after="120" w:line="300"/>
        <w:ind w:left="400" w:hanging="400"/>
        <w:jc w:val="both"/>
      </w:pPr>
      <w:r>
        <w:rPr>
          <w:rFonts w:ascii="Times New Roman" w:cs="Times New Roman" w:eastAsia="Times New Roman" w:hAnsi="Times New Roman"/>
          <w:sz w:val="20"/>
          <w:szCs w:val="20"/>
        </w:rPr>
        <w:t xml:space="preserve">7. Karana vd. (2015) (MDD birincil makalesi) temin edilmelidir; G boyutunun kuramsal dayanağı bu kaynaktır. Künye, Karana vd.’nin (2018) kaynakçasından doğrulanmıştır ancak makalenin kendisi görülmemiştir.</w:t>
      </w:r>
    </w:p>
    <w:p>
      <w:pPr>
        <w:spacing w:after="120" w:line="300"/>
        <w:ind w:left="400" w:hanging="400"/>
        <w:jc w:val="both"/>
      </w:pPr>
      <w:r>
        <w:rPr>
          <w:rFonts w:ascii="Times New Roman" w:cs="Times New Roman" w:eastAsia="Times New Roman" w:hAnsi="Times New Roman"/>
          <w:sz w:val="20"/>
          <w:szCs w:val="20"/>
        </w:rPr>
        <w:t xml:space="preserve">8. TABLO NUMARALANDIRMA: Bu alt bölümde Tablo 4 ve Tablo 5 yer almaktadır (Tablo 1 → 2. alt bölüm, Tablo 2 → 3. alt bölüm, Tablo 3 → 4. alt bölüm).</w:t>
      </w:r>
    </w:p>
    <w:p>
      <w:pPr>
        <w:spacing w:after="120" w:line="300"/>
        <w:ind w:left="400" w:hanging="400"/>
        <w:jc w:val="both"/>
      </w:pPr>
      <w:r>
        <w:rPr>
          <w:rFonts w:ascii="Times New Roman" w:cs="Times New Roman" w:eastAsia="Times New Roman" w:hAnsi="Times New Roman"/>
          <w:sz w:val="20"/>
          <w:szCs w:val="20"/>
        </w:rPr>
        <w:t xml:space="preserve">9. HACİM: Gövde metni yaklaşık 780 kelimedir; plandaki hedef 950’ydi. Fark, içeriğin önemli bir bölümünün Tablo 4 ve Tablo 5’te taşınmasından kaynaklanmaktadır. İki tablo yaklaşık bir sayfa yer kaplayacağından alt bölümün toplam hacmi plana uygundur.</w:t>
      </w:r>
    </w:p>
    <w:p>
      <w:pPr>
        <w:spacing w:after="120" w:line="300"/>
        <w:ind w:left="400" w:hanging="400"/>
        <w:jc w:val="both"/>
      </w:pPr>
      <w:r>
        <w:rPr>
          <w:rFonts w:ascii="Times New Roman" w:cs="Times New Roman" w:eastAsia="Times New Roman" w:hAnsi="Times New Roman"/>
          <w:sz w:val="20"/>
          <w:szCs w:val="20"/>
        </w:rPr>
        <w:t xml:space="preserve">10. Bu alt bölümde yazarın kendi doktora tezinden veri kullanılmamıştır; 6. alt bölümdeki örneğe tek cümlelik gönderme yapılmıştır.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İç Mimarlıkta Biyomalzeme Seçimi</dc:title>
  <dc:creator>Betül Ünal</dc:creator>
  <dc:description>İç Mimarlıkta Sürdürülebilir Malzeme Seçimi ve Döngüsel Tasarım — 7. bölüm taslağı</dc:description>
  <cp:lastModifiedBy>Un-named</cp:lastModifiedBy>
  <cp:revision>1</cp:revision>
  <dcterms:created xsi:type="dcterms:W3CDTF">2026-10-01T08:57:47.610Z</dcterms:created>
  <dcterms:modified xsi:type="dcterms:W3CDTF">2026-10-01T08:57:47.619Z</dcterms:modified>
</cp:coreProperties>
</file>

<file path=docProps/custom.xml><?xml version="1.0" encoding="utf-8"?>
<Properties xmlns="http://schemas.openxmlformats.org/officeDocument/2006/custom-properties" xmlns:vt="http://schemas.openxmlformats.org/officeDocument/2006/docPropsVTypes"/>
</file>