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sıklıkla geleneksel malzemelerin sürdürülebilir birer alternatifi olarak sunulmakta; ancak bu kurgu malzeme kararının yapısını değiştirmediği için sınırlı bir dönüşüm üretmektedir. Bölüm, iç mimarlıkta biyolojik temelli malzeme seçimini kuramsal bir çerçevede ele almakta ve biyotasarımın yalnızca yeni malzeme seçenekleri sunmakla kalmayıp malzeme seçiminin ölçütlerini ve tasarımcının kaynak, üretim, kullanım ve atıkla kurduğu ilişkiyi yeniden tanımladığını ileri sürmektedir. Çalışma biyotasarımı komşu kavramlardan ayırmakta, biyolojik temelli malzemeleri doğanın tasarım sürecine katılım düzeyine göre sınıflandırmakta ve biyolojik kökenin tek başına ne sürdürülebilirlik ne döngüsellik güvencesi oluşturduğunu göstermektedir: döngüsellik malzemenin kökeninde değil bileşiminde, birleşiminde ve ömür sonu senaryosunda kararlaşmaktadır. Adaptasyon, değişkenlik ve zamansallık özellikleri dirençlilik kavramı üzerinden değerlendirilmekte; bu malzemelerin fiilî uygulama alanının büyük ölçüde iç mekân olduğu ortaya konmaktadır. Son olarak iç mekân ölçeğine özgü altı boyutlu bir malzeme değerlendirme çerçevesi önerilmektedir.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 insan egemenliğindeki Antroposen — olarak adlandırılacak düzeye ulaşmıştır (Heymans ve diğ., 2019). Bu dönüşümün en belirgin taşıyıcılarından biri yapılı çevredir. Edalat (2026), yapı sektörünün diğer tüm endüstriyel sektörlerle karşılaştırıldığında doğal çevre üzerinde en önemli etkiyi yarattığını; sektörün küresel karbondioksit salımının yaklaşık %39’undan sorumlu olduğunu, ham maddelerin yaklaşık %40’ını tükettiğini ve inşaat ile yıkım atıkları yoluyla katı atığın en az %30’unu ürettiğini aktarmaktadır. Etkinin kaynağı yalnızca ölçek değil, üretim mantığıdır: Chayaamor-Heil ve diğ. (2024), ağırlıklı olarak fosil yakıtların ve ham maddelerin çıkarımına dayanan geleneksel inşaat sektörünün çevre kirliliğine ve doğal kaynakların tükenmesine önemli ölçüde katkıda bulunduğunu belirtmekte; Lee ve diğ. (2022) ise mevcut fosil temelli ticari ürünlerin doğal kaynak rezervleri açısından ciddi bir tehdit oluşturduğunu ortaya koymaktadır.</w:t>
      </w:r>
    </w:p>
    <w:p>
      <w:pPr>
        <w:spacing w:after="160" w:line="360"/>
        <w:jc w:val="both"/>
      </w:pPr>
      <w:r>
        <w:rPr>
          <w:rFonts w:ascii="Times New Roman" w:cs="Times New Roman" w:eastAsia="Times New Roman" w:hAnsi="Times New Roman"/>
          <w:sz w:val="24"/>
          <w:szCs w:val="24"/>
        </w:rPr>
        <w:t xml:space="preserve">Biyolojik temelli malzemeler bu tabloya yönelik yanıtlardan biri olarak gündeme gelmektedir. Bourbia ve diğ. (2023), bu malzemelerin yenilenebilir olma, düşük gömülü enerjiye sahip olma ve ısıl düzenleme kapasitesi gibi avantajlar sunduğunu belirtmektedir. Andréen ve Goidea (2022) ise biyomalzemelerin inşaat sektörünün olumsuz ekolojik etkisini azaltmak için potansiyel bir araç oluşturduğunu; ancak bu potansiyelin en üst düzeye çıkarılabilmesi için geleneksel yapı malzemelerinden önemli ölçüde farklı yaklaşımlar gerektirdiğini vurgulamaktadır. Bu uyarı, bölümün çıkış noktasını oluşturmaktadır: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bildirmektedir. Birincisi kavramsaldır: Kırbaş Akyürek ve diğ. (2020), canlı ve üretilmiş bileşenlerin bir araya gelmesini adlandıran terminolojinin çeşitlilik içinde sıkışıp kaldığını ve bu durumun olgunun anlaşılmasını güçleştirdiğini ortaya koymaktadır. Benzer bir belirsizlik döngüsellik kavramında da görülmektedir; Kirchherr ve diğ. (2017), 114 döngüsel ekonomi tanımını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İkincisi malzemenin kendisine ilişkindir: O’Rourke ve Seepersad (2015), biyolojik organizmaların sunduğu çevresel avantajlara ilişkin iddiaların genel olarak doğru olmakla birlikte her avantaj için önemli istisnalar barındırdığını göstermektedir. Dolayısıyla biyolojik köken,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bulunmaktadır. Edalat (2026), ahşap dışı biyolojik temelli yapı malzemelerinin iç ve dış yüzey kaplamaları, ısıl ve akustik yalıtım ile mobilya üretimi gibi uygulamalarda kullanıldığını; buna karşılık sınırlı mekanik dayanımları nedeniyle taşıyıcı yapı elemanlarında nadiren yer aldığını ortaya koymaktadır. Başka bir deyişle bu malzemelerin fiilî uygulama alanı büyük ölçüde iç mekândır; bu durum iç mimarlığı, söz konusu malzemelerin yapılı çevreye girişinde belirleyici bir ölçek hâline getirmektedir.</w:t>
      </w:r>
    </w:p>
    <w:p>
      <w:pPr>
        <w:spacing w:after="160" w:line="360"/>
        <w:jc w:val="both"/>
      </w:pPr>
      <w:r>
        <w:rPr>
          <w:rFonts w:ascii="Times New Roman" w:cs="Times New Roman" w:eastAsia="Times New Roman" w:hAnsi="Times New Roman"/>
          <w:i/>
          <w:iCs/>
          <w:sz w:val="24"/>
          <w:szCs w:val="24"/>
        </w:rPr>
        <w:t xml:space="preserve">Araştırma sorusu: </w:t>
      </w:r>
      <w:r>
        <w:rPr>
          <w:rFonts w:ascii="Times New Roman" w:cs="Times New Roman" w:eastAsia="Times New Roman" w:hAnsi="Times New Roman"/>
          <w:i w:val="false"/>
          <w:iCs w:val="false"/>
          <w:sz w:val="24"/>
          <w:szCs w:val="24"/>
        </w:rPr>
        <w:t xml:space="preserve">İç mimarlıkta biyolojik temelli malzeme seçimi, sürdürülebilirlikten döngüselliğe ve döngüsellikten dirençliliğe geçişi sağlayan bir tasarım yaklaşımı olarak nasıl kavramsallaştırılabilir?</w:t>
      </w:r>
    </w:p>
    <w:p>
      <w:pPr>
        <w:spacing w:after="160" w:line="360"/>
        <w:jc w:val="both"/>
      </w:pPr>
      <w:r>
        <w:rPr>
          <w:rFonts w:ascii="Times New Roman" w:cs="Times New Roman" w:eastAsia="Times New Roman" w:hAnsi="Times New Roman"/>
          <w:i/>
          <w:iCs/>
          <w:sz w:val="24"/>
          <w:szCs w:val="24"/>
        </w:rPr>
        <w:t xml:space="preserve">Hipotez: </w:t>
      </w:r>
      <w:r>
        <w:rPr>
          <w:rFonts w:ascii="Times New Roman" w:cs="Times New Roman" w:eastAsia="Times New Roman" w:hAnsi="Times New Roman"/>
          <w:i w:val="false"/>
          <w:iCs w:val="false"/>
          <w:sz w:val="24"/>
          <w:szCs w:val="24"/>
        </w:rPr>
        <w:t xml:space="preserve">Biyotasarım ve biyolojik temelli malzemeler, iç mimarlıkta yalnızca daha sürdürülebilir malzeme seçenekleri sunmamakta; malzeme seçiminin ölçütlerini, malzemenin yaşam döngüsünü ve tasarımcının kaynak, üretim, kullanım ve atıkla kurduğu ilişkiyi yeniden tanımlamaktadır. Buna bağlı olarak bir malzemenin döngüselliği ve dirençliliği biyolojik kökeninde değil, tasarım aşamasında verilen bileşim, birleşim ve ömür sonu kararlarında belirlenmektedir.</w:t>
      </w:r>
    </w:p>
    <w:p>
      <w:pPr>
        <w:spacing w:after="160" w:line="360"/>
        <w:jc w:val="both"/>
      </w:pPr>
      <w:r>
        <w:rPr>
          <w:rFonts w:ascii="Times New Roman" w:cs="Times New Roman" w:eastAsia="Times New Roman" w:hAnsi="Times New Roman"/>
          <w:sz w:val="24"/>
          <w:szCs w:val="24"/>
        </w:rPr>
        <w:t xml:space="preserve">Bölüm bu soruyu altı adımda ele almaktadır: biyotasarım kavramının komşu kavramlardan ayrımı (Tablo 1), biyolojik temelli malzemelerin sınıflandırılması (Tablo 2), döngüsel malzeme sistemleri, dirençlilik tartışması, iç mekân ölçeğine geçiş ve bir değerlendirme çerçevesi önerisi (Tablo 3 ve Tablo 4). Sekizinci başlık bulguları üç düzlemde toparlar (Tablo 5). Bölüm, seçilmiş kaynaklara dayanan kuramsal bir derleme niteliğindedir; sistematik bir yazın taraması ya da teknik bir performans değerlendirmesi amaçlamamaktadır.</w:t>
      </w:r>
    </w:p>
    <w:p>
      <w:pPr>
        <w:pStyle w:val="Heading1"/>
        <w:spacing w:after="220" w:before="440" w:line="360"/>
      </w:pPr>
      <w:r>
        <w:rPr>
          <w:rFonts w:ascii="Times New Roman" w:cs="Times New Roman" w:eastAsia="Times New Roman" w:hAnsi="Times New Roman"/>
          <w:b/>
          <w:bCs/>
          <w:sz w:val="26"/>
          <w:szCs w:val="26"/>
        </w:rPr>
        <w:t xml:space="preserve">2. BİYOTASARIM KAVRAMI VE PARADİGMA DÖNÜŞÜMÜ</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çoğalmış; ancak bu çoğalma ortak bir terminoloji üretmemiştir. Bu başlıkta önce söz konusu belirsizliğin niteliği ortaya konmakta, ardından biyotasarımın komşu kavramlardan hangi noktada ayrıldığı ve bu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 ve komşu kavramlar</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seksen yenilikçi örneği ve bu alanda profesyonel olarak çalışan yirmi uzmanın görüşlerini inceleyerek araştırmışlardır. Örneklerin tanımlanmasında “biyo” önekiyle üretilmiş özelleştirilmiş terimler (biyobeton, biyotuğla gibi) ilk sırada yer almakta; bunları “akıllı”, “canlı” ve “büyüyen” nitelemeleri izlemektedir. Yazarların temel bulgusu, bu çeşitliliğe karşın literatürde genel kabul görmüş bir şemsiye terimin bulunmamasıdır. Belirsizliğin nedenini iki yönlü olarak açıklamaktadırlar: bir yanda doğanın, doğal ögelerin, mekanizmaların ve süreçlerin kapsamlı niteliği, diğer yanda aynı disiplin ve tekniklerin farklı disiplinlerce farklı biçimlerde yorumlanması. Tespit, Türkçe literatür açısından ayrıca önemlidir: kavramların kaynak dildeki kullanımda dahi yerleşmemiş olması, Türkçeye aktarımda yaşanan karışıklığın yalnızca çeviri kaynaklı olmadığını gösterir.</w:t>
      </w:r>
    </w:p>
    <w:p>
      <w:pPr>
        <w:spacing w:after="160" w:line="360"/>
        <w:jc w:val="both"/>
      </w:pPr>
      <w:r>
        <w:rPr>
          <w:rFonts w:ascii="Times New Roman" w:cs="Times New Roman" w:eastAsia="Times New Roman" w:hAnsi="Times New Roman"/>
          <w:sz w:val="24"/>
          <w:szCs w:val="24"/>
        </w:rPr>
        <w:t xml:space="preserve">Bu belirsizliğin en yaygın görünümü, biyotasarımın biyomimikriyle bir tutulmasıdır. Kırbaş Akyürek ve diğ. (2020) bu eşitlemenin neden sürdürülemeyeceğini açık biçimde ortaya koymaktadır: biyomimikrinin temel amacı biyolojik süreçleri teknolojilere çevirmektir; biyolojik malzeme kullanımına işaret etmez. Yazarlar aynı gerekçeyle komşu kavramları da ayırt etmektedir. Biyoesinlenme, biyolojik olmayan bilim ve teknoloji alanındaki araştırmaların benzetimini de içermektedir. Biyomerkezcilik esas olarak doğal çevre ile insan arasındaki ilişkiye odaklanır. Biyofili, insanın doğayla bağ kurarak duygusal ve biyolojik gereksinimlerini karşılamayı amaçlar. Biyomimarlık ise doğanın hem canlı hem cansız ögelerinden esinlenmeyi kapsar. Yazarlara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ve/veya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1’in gösterdiği dağılım, kavramların aynı soyutlama düzeyinde bulunmadığını da ortaya koymaktadır: biyomimikri ve biyoesinlenme bir aktarım yöntemini, biyomerkezcilik bir etik konumu, biyofili bir deneyim ilişkisini, biyomimarlık ise bir ölçeği adlandırmaktadır. Bu nedenle aralarındaki seçim yalnızca terim tercihi değil, tartışmanın hangi düzlemde yürütüleceğine ilişkin bir karardır. Bu ayrımlar içinde biyotasarım, yapı tasarımı açısından görece daha uygun bir terim olarak öne çıkmaktadır; nitekim Myers (2018) biyoloji ile teknolojinin kaynaşmasını bu terimle açıklamakta ve bunun biyomimikri yaklaşımının ötesine geçen yeni bir kavram önerdiğini belirtmektedir.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 ayrımı</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kurmaktadır. Yazarlara göre biyotasarım, biyolojik malzemeleri ve/veya yaklaşımları yapılar gibi insan uygulamaları için kullanan tasarımı ifade eder. Biyolojik tasarım ise genotipleri fenotiplere bağlayan morfogenetik süreçlere; genetik koddaki bilgiyi mekânsal biçim olarak ifade eden süreç ve etmenlere işaret etmektedir. Ayrım kavramsal olarak belirleyicidir: biyotasarım tasarımcının pratiğini, biyolojik tasarım ise doğanın kendi sürecini adlandırmaktadır ve ikincisi birincisi için bir model işlevi görür. Yazarlar iki alan arasındaki bağın hem doğrudan hem dolaylı olduğunu belirtmektedir. Doğrudandır; çünkü canlı organizmaların tasarıma dahil edilmesi, bu organizmaların yaşamını sürdüren süreçlerin göz önünde bulundurulmasını ve yaşadıkları yapılı çevrede bu süreçlere yer açılmasını gerektirir. Dolaylıdır; çünkü biyolojik ilkeler daha yüksek düzeyde karşılıklı bağlantı ve karmaşıklıkla çalışmayı olanaklı kıldığında, tasarımla başarılabileceklerin kapsamı genişler.</w:t>
      </w:r>
    </w:p>
    <w:p>
      <w:pPr>
        <w:spacing w:after="160" w:line="360"/>
        <w:jc w:val="both"/>
      </w:pPr>
      <w:r>
        <w:rPr>
          <w:rFonts w:ascii="Times New Roman" w:cs="Times New Roman" w:eastAsia="Times New Roman" w:hAnsi="Times New Roman"/>
          <w:sz w:val="24"/>
          <w:szCs w:val="24"/>
        </w:rPr>
        <w:t xml:space="preserve">Andréen ve Goidea (2022), biyolojik tasarımı bir model olarak alarak dört tasarım ilkesi türetmektedir. Birincisi çeşitlilik, ikincisi biçimin karmaşıklığı ve özgüllüğü, üçüncüsü dirençlilik yoluyla dayanıklılık, dördüncüsü geri besleme ve uyarlanmadır. Yazarlar bu ilkelerin kendi başlarına yeni olmadığını özellikle vurgulamaktadır: modern inşaat sanayisinin doğuşundan önce mimarlık uzun süre bu stratejilerle üretilmiş; hem tarihsel hem güncel vernaküler mimarlık bu stratejileri büyük ölçüde içermiştir (Andréen ve Goidea, 2022). İlkelerden üçüncüsü, beşinci başlıkta ayrıntılandırılacağı üzere, biyomalzemelerle çalışmanın kuramsal gerekçesini oluşturmaktadır.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da görünür hâle gelmektedir. Kırbaş Akyürek ve diğ.’nin (2020) belirttiği gibi biyomimikrinin temel amacı biyolojik süreçleri teknolojilere çevirmektir; bu yaklaşımda aktarılan şey, doğanın geliştirdiği çözümün kendisidir. Andréen ve Goidea’nın (2022) ilkelerinde ise aktarılan şey çözüm değil, çözümü üreten mantıktır: doğanın biçimleri kopyalanmaz, doğanın biçim üretme biçimi incelenerek tasarım süreci yeniden kurgulanır. İlişki bu nedenle bir taklit değil, bir ilke çıkarma ilişkisidir; bu ayrım, izleyen başlıkta malzemelerin sınıflandırılmasında da belirleyici olacaktır.</w:t>
      </w:r>
    </w:p>
    <w:p>
      <w:pPr>
        <w:pStyle w:val="Heading2"/>
        <w:spacing w:after="170" w:before="320" w:line="360"/>
      </w:pPr>
      <w:r>
        <w:rPr>
          <w:rFonts w:ascii="Times New Roman" w:cs="Times New Roman" w:eastAsia="Times New Roman" w:hAnsi="Times New Roman"/>
          <w:b/>
          <w:bCs/>
          <w:sz w:val="24"/>
          <w:szCs w:val="24"/>
        </w:rPr>
        <w:t xml:space="preserve">2.3. Kesişme biçimleri ve tasarımcının rolü</w:t>
      </w:r>
    </w:p>
    <w:p>
      <w:pPr>
        <w:spacing w:after="160" w:line="360"/>
        <w:jc w:val="both"/>
      </w:pPr>
      <w:r>
        <w:rPr>
          <w:rFonts w:ascii="Times New Roman" w:cs="Times New Roman" w:eastAsia="Times New Roman" w:hAnsi="Times New Roman"/>
          <w:sz w:val="24"/>
          <w:szCs w:val="24"/>
        </w:rPr>
        <w:t xml:space="preserve">Biyotasarımın tek bir pratik olmadığı da belirtilmelidir. Camere ve Karana (2018), biyoloji ile tasarımı birbiriyle verimlendiren girişimleri dört kategoride toplamaktadır: artırılmış biyolojide tasarımcılar yeni biyolojik organizmalar tasarlamak üzere hücrelerin yeniden mühendisliğini amaçlar; biyotasarım kurgusunda biyoteknolojik geleceklerin sonuçları spekülatif senaryolar ve deneyimsel prototiplerle tartışmaya açılır; dijital biyofabrikasyonda biyolojik araçlar ileri hesaplama teknolojileriyle birleştirilir; büyüyen tasarım ise ürün tasarımı için yeni malzemelerin geliştirilmesine odaklanır ve ayırt edici noktası, malzeme büyüten tasarımcıların sentetik biyolojinin çözümlerini aramaması ve değiştirilmemiş biyolojik organizmalarla çalışmasıdır. Goidea ve diğ. (2022) ise alanı daha kapsayıcı bir ifadeyle, canlı maddeyle, canlı madde olarak ya da canlı madde için tasarlamak biçiminde tanımlamakta; böylece dört kategorinin ortak paydasını, organizmanın tasarım sürecindeki konumunun değişkenliğini tek bir cümlede toplamaktadır.</w:t>
      </w:r>
    </w:p>
    <w:p>
      <w:pPr>
        <w:spacing w:after="160" w:line="360"/>
        <w:jc w:val="both"/>
      </w:pPr>
      <w:r>
        <w:rPr>
          <w:rFonts w:ascii="Times New Roman" w:cs="Times New Roman" w:eastAsia="Times New Roman" w:hAnsi="Times New Roman"/>
          <w:sz w:val="24"/>
          <w:szCs w:val="24"/>
        </w:rPr>
        <w:t xml:space="preserve">Bu kavramsal çerçevenin tasarım pratiğindeki karşılığı, tasarımcının konumunun değişmesidir. Camere ve Karana (2018), geleneksel olarak tasarımcıların ürün kavramlarını somutlaştırmak için malzeme seçtiklerini; buna karşılık canlı organizmalarla üretilen malzemeler söz konusu olduğunda tasarımcıların giderek malzemenin erken geliştirme aşamalarına katıldığını belirtmekte ve bu geçişi malzeme seçiminden malzeme tasarımına doğru bir kayma olarak adlandırmaktadır. Bu kayma, bölümün hipotezinin kavramsal zeminini oluşturmakta ve izleyen başlıklarda malzeme, döngüsellik ve mekân ölçeklerinde sınanmaktadır.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alınmıştı. Bu başlıkta ise söz konusu yaklaşımın ürettiği malzemeler, yani nesne düzlemi incelenmektedir. Ayrım önemlidir: biyotasarım tasarımcının doğayla kurduğu ilişkiyi tanımlarken, biyomalzemeler bu ilişkinin maddi karşılığını oluşturur.</w:t>
      </w:r>
    </w:p>
    <w:p>
      <w:pPr>
        <w:pStyle w:val="Heading2"/>
        <w:spacing w:after="170" w:before="320" w:line="360"/>
      </w:pPr>
      <w:r>
        <w:rPr>
          <w:rFonts w:ascii="Times New Roman" w:cs="Times New Roman" w:eastAsia="Times New Roman" w:hAnsi="Times New Roman"/>
          <w:b/>
          <w:bCs/>
          <w:sz w:val="24"/>
          <w:szCs w:val="24"/>
        </w:rPr>
        <w:t xml:space="preserve">3.1. Üç yaklaşım: biyomimikri, biyolojik temelli, canlı</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toplanmakta, bu da kavramsal bir belirsizlik üretmektedir. Chayaamor-Heil ve diğ. (2023), mimarlık ve inşaat alanındaki güncel araştırmaları derledikleri çalışmalarında bu alanı üç ayrı tasarım yaklaşımı olarak ele almaktadır: biyomimikri temelli, biyolojik temelli ve canlı malzeme tasarımları. Birinci kategori, ikinci başlıkta ele alınan biyomimikri yaklaşımının malzeme ölçeğindeki karşılığıdır. Ayrımın belirleyici ölçütü, doğanın tasarım sürecine hangi düzeyde dahil olduğudur. Biyomimikri temelli malzemelerde doğa bir ilke ya da strateji kaynağıdır;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kalır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otu¹</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bakteriyel selüloz, alg²</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yalıtım³</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ağırlıklı³</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uyumluluğu⁴</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gereksinimler⁵</w:t>
            </w:r>
          </w:p>
        </w:tc>
      </w:tr>
    </w:tbl>
    <w:p>
      <w:pPr>
        <w:spacing w:after="340" w:before="130" w:line="240"/>
      </w:pPr>
      <w:r>
        <w:rPr>
          <w:rFonts w:ascii="Times New Roman" w:cs="Times New Roman" w:eastAsia="Times New Roman" w:hAnsi="Times New Roman"/>
          <w:i/>
          <w:iCs/>
          <w:sz w:val="18"/>
          <w:szCs w:val="18"/>
        </w:rPr>
        <w:t xml:space="preserve">Sınıflandırma çerçevesi: Chayaamor-Heil ve diğ. (2023). ¹ Bourbia ve diğ. (2023) · ² Karana ve diğ. (2018); Attias ve diğ. (2020) · ³ Tyagi ve Jain (2026) · ⁴ Rios ve diğ. (2015); Edalat (2026) · ⁵ Chayaamor-Heil ve diğ. (2024)</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göstermektedir: üç yaklaşım malzemenin ömür sonu senaryosu bakımından birbirinden farklı koşullar üretir. Biyomimikri temelli bir çözümde ömür sonu sorusu malzemeye değil geometriye yöneliktir; biyolojik temelli bir malzemede soru bağlayıcı sisteminde düğümlenir; canlı bir malzemede ise organizmanın yaşamını sürdürmesi için gerekli koşullar kullanım süresinin kendisini tanımlar. Dördüncü başlıkta ele alınacak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 kökenden biyofabrikasyona</w:t>
      </w:r>
    </w:p>
    <w:p>
      <w:pPr>
        <w:spacing w:after="160" w:line="360"/>
        <w:jc w:val="both"/>
      </w:pPr>
      <w:r>
        <w:rPr>
          <w:rFonts w:ascii="Times New Roman" w:cs="Times New Roman" w:eastAsia="Times New Roman" w:hAnsi="Times New Roman"/>
          <w:sz w:val="24"/>
          <w:szCs w:val="24"/>
        </w:rPr>
        <w:t xml:space="preserve">Biyolojik temelli malzemeler, yapı literatüründe en geniş yer tutan kategoridir. Bourbia ve diğ. (2023), yapı kabuğunda kullanılan bu malzemeleri derledikleri çalışmalarında kenevir, ahşap, hurma ağacı, mantar meşesi kabuğu, alfa otu ve samanı inceleyerek yenilenebilirlik, düşük gömülü enerji ve ısıl düzenleme kapasitesi gibi ortak özelliklere dikkat çekmektedir. Liste, bu malzemelerin önemli bir bölümünün aslında yeni değil, geleneksel yapı kültürüne ait olduğunu göstermektedir; nitekim Andréen ve Goidea (2022) da önerdikleri ilkelerin modern inşaat sanayisinden önce mimarlıkta uzun süre uygulandığını belirtmektedir.</w:t>
      </w:r>
    </w:p>
    <w:p>
      <w:pPr>
        <w:spacing w:after="160" w:line="360"/>
        <w:jc w:val="both"/>
      </w:pPr>
      <w:r>
        <w:rPr>
          <w:rFonts w:ascii="Times New Roman" w:cs="Times New Roman" w:eastAsia="Times New Roman" w:hAnsi="Times New Roman"/>
          <w:sz w:val="24"/>
          <w:szCs w:val="24"/>
        </w:rPr>
        <w:t xml:space="preserve">Saptama iç mimarlık açısından özellikle anlamlıdır: Tyagi ve Jain (2026), iç mekân tasarımında biyolojik temelli ve yenileyici malzemeler üzerine 104 yayını inceledikleri sistematik derlemede, bambu, kerpiç, saman ve kenevir gibi vernaküler malzemelerin düşük etkili iç mekân uygulamalarında merkezî konumunu koruduğunu; buna karşılık miselyum, bakteriyel selüloz ve alg gibi biyofabrike malzemelerin deneysel araştırmalara hâkim olduğunu ortaya koymaktadır. Alan, bir yanda köklü bir yapı kültürüne, diğer yanda henüz laboratuvar aşamasındaki bir araştırma gündemine yaslanmaktadır. Kategorinin ayırt edici bir başka özelliği, girdi olarak başka bir sürecin çıktısını kullanabilmesidir; Lee ve diğ. (2022), değerlendirilemeyen biyokütlenin alternatif hammadde olarak kullanılabilirliğini artırma çabalarının fosil kökenli eşdeğerlerin yerini alabilecek ürünlerin üretimine yöneldiğini ortaya koymaktadır.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almaktadır. Karana ve diğ. (2018), bakteri, alg veya mantar tarafından üretilen malzemelerin ürün tasarımında giderek daha fazla yenilikçi biyolojik temelli seçenekler olarak kullanıldığını belirtmektedir. Attias ve diğ. (2020), miselyum biyokompozitlerini endüstriyel tasarım ve mimarlık bağlamında inceledikleri çalışmalarında beş bitkisel atık alt tabaka ile dört mantar türünü karşılaştırmalı olarak değerlendirmiştir; bu kurgu, canlı malzemelerde tasarım kararının malzeme bileşimiyle iç içe geçtiğini göstermektedir. Chayaamor-Heil ve diğ. (2024) ise alg, bakteri ve mantarı mimarlık bağlamında ele aldıkları çalışmalarında her organizma için birer vaka incelemesi seçmiş ve çok disiplinli uzmanlarla görüşmeler yürütmüşlerdir. En dikkat çekici bulguları şudur: canlı organizmalardan yeni malzeme ya da tasarım bileşeni geliştirilmesi, ölçek, çok katmanlılık ve gereksinimlerden kaynaklanan kısıtlar nedeniyle mimarlık ve inşaatta, tekstil ve ürün tasarımına kıyasla daha güç gerçekleşmektedir. Ölçek, canlı malzemelerin yapılı çevreye girişinde belirleyici bir eşiktir; taşıyıcı olmayan, görece küçük ölçekli iç mekân bileşenleri bu nedenle öncelikli bir uygulama alanı oluşturabilir.</w:t>
      </w:r>
    </w:p>
    <w:p>
      <w:pPr>
        <w:pStyle w:val="Heading2"/>
        <w:spacing w:after="170" w:before="320" w:line="360"/>
      </w:pPr>
      <w:r>
        <w:rPr>
          <w:rFonts w:ascii="Times New Roman" w:cs="Times New Roman" w:eastAsia="Times New Roman" w:hAnsi="Times New Roman"/>
          <w:b/>
          <w:bCs/>
          <w:sz w:val="24"/>
          <w:szCs w:val="24"/>
        </w:rPr>
        <w:t xml:space="preserve">3.3. Malzemenin etkin bileşene dönüşmesi</w:t>
      </w:r>
    </w:p>
    <w:p>
      <w:pPr>
        <w:spacing w:after="160" w:line="360"/>
        <w:jc w:val="both"/>
      </w:pPr>
      <w:r>
        <w:rPr>
          <w:rFonts w:ascii="Times New Roman" w:cs="Times New Roman" w:eastAsia="Times New Roman" w:hAnsi="Times New Roman"/>
          <w:sz w:val="24"/>
          <w:szCs w:val="24"/>
        </w:rPr>
        <w:t xml:space="preserve">Yukarıda sıralanan malzemelerin ortak özelliği, tasarımcının denetimini sınırlayan davranışlar sergilemeleridir. Bu durum, tasarım pratiğinde malzemenin konumunu değiştirmektedir. Camere ve Karana (2018), sekiz deneyimli uygulamacıyla yürüttükleri görüşmelere dayanarak, canlı organizmalarla malzeme üretmenin tasarımcıların malzemeye ve sürece bakışını, benimsedikleri zihniyeti ve vizyonu değiştirdiğini; dahası “insan yapımı” ve “doğal” gibi yerleşik anlamları sorgulattığını belirtmektedir. Malzemenin edilgen bir girdiden etkin bir bileşene dönüşmesi, bu nedenle yalnızca teknik bir değişiklik değil,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ve bireylerin ürünlerini kişiselleştirme isteğinin, dağıtık ve paylaşımlı üretim süreçleriyle deney yapma ve yeni malzemeler tasarlama bakımından önemli olanaklar sunduğunu belirtmektedir. Yazarlar kendin yap malzemeleri, bireysel ya da ortak öz üretim deneyimleriyle, çoğu kez tasarımcının kendi icat ettiği teknik ve süreçlerle, malzemeyle kurcalama sürecinin sonucunda yaratılan malzemeler olarak tanımlamaktadır. Rognoli ve Ayala García (2018) aynı dönüşümü malzeme aktivizmi kavramıyla ele almaktadır: malzeme deneyimimiz, çevremizi saran nesnelerin neredeyse tamamının endüstriyel seri üretimden gelmesi nedeniyle koşullanmış bir deneyimdir; malzeme geliştirme ise büyük ölçüde stratejik sektörlerdeki teknik sorunların çözümü ile ölçeklenebilir uygun maliyetli çözüm arayışının denetimindedir. Malzeme aktivizmi, tasarımcıların düşük teknolojili ve deneysel yaklaşımlarla bu sürece yeniden dahil olmasını önermektedir.</w:t>
      </w:r>
    </w:p>
    <w:p>
      <w:pPr>
        <w:spacing w:after="160" w:line="360"/>
        <w:jc w:val="both"/>
      </w:pPr>
      <w:r>
        <w:rPr>
          <w:rFonts w:ascii="Times New Roman" w:cs="Times New Roman" w:eastAsia="Times New Roman" w:hAnsi="Times New Roman"/>
          <w:sz w:val="24"/>
          <w:szCs w:val="24"/>
        </w:rPr>
        <w:t xml:space="preserve">Ancak malzemenin etkinleşmesi yalnızca bir olanak değil, aynı zamanda bir belirsizlik kaynağıdır. Malzemenin zaman içindeki davranışı tasarım kararının bir parçası hâline geldiğinde, bu davranışın bilinmesi de bir gereklilik olarak ortaya çıkar. Beşinci başlık bu gerekliliği dirençlilik tartışması üzerinden ele almaktadır.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Önceki başlıkta biyolojik temelli malzemelerin sınıflandırması ve malzemenin tasarım sürecindeki konumu ele alınmıştı. Bu başlıkta söz konusu malzemelerin döngüsel ekonomi sistemleriyle ilişkisi incelenmekte; biyolojik kökenin tek başına döngüsellik güvencesi oluşturup oluşturmadığı tartışılmaktadır.</w:t>
      </w:r>
    </w:p>
    <w:p>
      <w:pPr>
        <w:pStyle w:val="Heading2"/>
        <w:spacing w:after="170" w:before="320" w:line="360"/>
      </w:pPr>
      <w:r>
        <w:rPr>
          <w:rFonts w:ascii="Times New Roman" w:cs="Times New Roman" w:eastAsia="Times New Roman" w:hAnsi="Times New Roman"/>
          <w:b/>
          <w:bCs/>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Döngüsellik tartışmasının kavramsal zemini, kavramın kendisindeki belirsizlikle başlar. Kirchherr ve diğ. (2017), döngüsel ekonomi kavramının hem akademide hem uygulamada ivme kazanmasına karşın eleştirmenlerin kavramın herkes için farklı bir şey ifade ettiğini öne sürdüğünü belirtmekte; 114 tanımı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Kavram malzeme ölçeğine indirgendiğinde, tam da bu sistemsel boyut gözden kaçmaktadır.</w:t>
      </w:r>
    </w:p>
    <w:p>
      <w:pPr>
        <w:spacing w:after="160" w:line="360"/>
        <w:jc w:val="both"/>
      </w:pPr>
      <w:r>
        <w:rPr>
          <w:rFonts w:ascii="Times New Roman" w:cs="Times New Roman" w:eastAsia="Times New Roman" w:hAnsi="Times New Roman"/>
          <w:sz w:val="24"/>
          <w:szCs w:val="24"/>
        </w:rPr>
        <w:t xml:space="preserve">Yapılı çevre özelinde Pomponi ve Moncaster (2017), yapı araştırmalarında döngüsel ekonomiyi tanımlayan altı temel boyut belirlemektedir: çevresel, teknolojik, ekonomik, toplumsal, yönetsel ve davranışsal. Yazarlara göre bu boyutları bir araya getiren başvuru çerçevesi, mevcut girişimleri kümelemek ve disiplinler arası çalışmalar için eksik bağlantıları görünür kılmak bakımından değerli bir araçtır. Çerçevenin bu bölüm açısından önemi, döngüselliğin yalnızca malzemenin teknik niteliğiyle açıklanamayacağını göstermesidir; teknolojik boyut altı boyuttan yalnızca biridir.</w:t>
      </w:r>
    </w:p>
    <w:p>
      <w:pPr>
        <w:spacing w:after="160" w:line="360"/>
        <w:jc w:val="both"/>
      </w:pPr>
      <w:r>
        <w:rPr>
          <w:rFonts w:ascii="Times New Roman" w:cs="Times New Roman" w:eastAsia="Times New Roman" w:hAnsi="Times New Roman"/>
          <w:sz w:val="24"/>
          <w:szCs w:val="24"/>
        </w:rPr>
        <w:t xml:space="preserve">Biyolojik üretim mantığı bu zemine yapısal olarak uygundur. Andréen ve Goidea’nın (2022) belirttiği gibi biyolojik tasarım sistemi doğası gereği döngüseldir ve malzeme kullanımı için ikna edici bir perspektif oluşturur. Ancak bu yapısal uygunluk fiilî bir eklemlenme anlamına gelmemektedir: Edalat (2026), biyolojik temelli yapı malzemelerinin döngüsel ekonomi sistemlerine eklemlenmesinin kavramsal olarak parçalı ve uygulamada tutarsız kaldığını belirtmektedir. Bu başlığın tartışması, söz konusu boşluğun nerede doğduğu sorusu üzerine kurulmuştur.</w:t>
      </w:r>
    </w:p>
    <w:p>
      <w:pPr>
        <w:pStyle w:val="Heading2"/>
        <w:spacing w:after="170" w:before="320" w:line="360"/>
      </w:pPr>
      <w:r>
        <w:rPr>
          <w:rFonts w:ascii="Times New Roman" w:cs="Times New Roman" w:eastAsia="Times New Roman" w:hAnsi="Times New Roman"/>
          <w:b/>
          <w:bCs/>
          <w:sz w:val="24"/>
          <w:szCs w:val="24"/>
        </w:rPr>
        <w:t xml:space="preserve">4.2. Atık akımlarının kaynağa dönüşmesi</w:t>
      </w:r>
    </w:p>
    <w:p>
      <w:pPr>
        <w:spacing w:after="160" w:line="360"/>
        <w:jc w:val="both"/>
      </w:pPr>
      <w:r>
        <w:rPr>
          <w:rFonts w:ascii="Times New Roman" w:cs="Times New Roman" w:eastAsia="Times New Roman" w:hAnsi="Times New Roman"/>
          <w:sz w:val="24"/>
          <w:szCs w:val="24"/>
        </w:rPr>
        <w:t xml:space="preserve">Döngüsellikle ilk kesişme noktası girdi tarafındadır. Edalat (2026), ahşap dışı biyolojik temelli yapı malzemelerinin çoğunlukla atıktan elde edildiğini ve tanecikli biçimlerde işlendiğini; buna karşılık tarımsal atığın dünya genelinde yaygın biçimde bulunmasına rağmen inşaat sektöründeki kullanımının sınırlı kaldığını, bu atığın büyük bölümünün biyoyakıt ve yem hammaddesi üretimine yönlendirildiğini belirtmektedir. Attias ve diğ.’nin (2020) beş bitkisel atık alt tabakayı dört mantar türüyle birlikte değerlendiren karşılaştırmalı çalışması, bu akımların malzemeye dönüştürülmesinde alt tabaka ile organizma bileşiminin belirleyici olduğunu göstermektedir.</w:t>
      </w:r>
    </w:p>
    <w:p>
      <w:pPr>
        <w:spacing w:after="160" w:line="360"/>
        <w:jc w:val="both"/>
      </w:pPr>
      <w:r>
        <w:rPr>
          <w:rFonts w:ascii="Times New Roman" w:cs="Times New Roman" w:eastAsia="Times New Roman" w:hAnsi="Times New Roman"/>
          <w:sz w:val="24"/>
          <w:szCs w:val="24"/>
        </w:rPr>
        <w:t xml:space="preserve">Kaynakların coğrafi dağılımı da belirleyicidir: orman örtüsünün neredeyse yarısı dört ülkede yoğunlaşmakta, ahşap kaynakları ise Orta Doğu ve Kuzey Afrika gibi bölgelerde belirgin biçimde kıt kalmaktadır (Edalat, 2026). Ahşabın erişilebilirliği bölgesel olarak kısıtlıyken ahşap dışı tarımsal kaynaklar çok daha yaygındır; bu dağılım, ahşap kaynakları sınırlı coğrafyalarda tarımsal artıklara dayalı malzemelerin stratejik önemini artırmakta ve Pomponi ve Moncaster’ın (2017) çerçevesindeki çevresel ve ekonomik boyutların yerel koşullara göre farklı sonuçlar üretebileceğini göstermektedir.</w:t>
      </w:r>
    </w:p>
    <w:p>
      <w:pPr>
        <w:pStyle w:val="Heading2"/>
        <w:spacing w:after="170" w:before="320" w:line="360"/>
      </w:pPr>
      <w:r>
        <w:rPr>
          <w:rFonts w:ascii="Times New Roman" w:cs="Times New Roman" w:eastAsia="Times New Roman" w:hAnsi="Times New Roman"/>
          <w:b/>
          <w:bCs/>
          <w:sz w:val="24"/>
          <w:szCs w:val="24"/>
        </w:rPr>
        <w:t xml:space="preserve">4.3. Döngüselliğin tasarım aşamasında kararlaşması</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verildiğine ilişkindir. Rios ve diğ. (2015), yıkım yerine sökümü, geri dönüştürülebilirliği ve sökülebilirlik için tasarımı daha iyi inşaat atığı yönetimi yaklaşımları olarak tanımlamakta; buna karşılık sökülebilirlik için tasarımın ilkelerini ele alan kapsamlı kılavuzlar yayımlanmış olmasına rağmen bu alanda geliştirilmiş yapı sayısının çok az kaldığını belirtmektedir. Yazarların amacı, söz konusu kuram ile uygulama arasındaki boşluğu ortaya koymaktır. Boşluğun kaynağı tasarım aşamasıdır: Edalat (2026) de malzeme tedariki, sökülebilirlik için tasarım ve bağlayıcı türünün — doğal, sentetik ya da hiç kullanılmamış olması — geri dönüştürülebilirlik üzerinde belirleyici bir etkiye sahip olmasına karşın tasarımda ve araştırmada nadiren göz önünde bulundurulduğunu; sınırlılıkların esas olarak tasarım aşamasında döngüsel düşüncenin bulunmamasından kaynaklandığını belirtmektedir.</w:t>
      </w:r>
    </w:p>
    <w:p>
      <w:pPr>
        <w:spacing w:after="160" w:line="360"/>
        <w:jc w:val="both"/>
      </w:pPr>
      <w:r>
        <w:rPr>
          <w:rFonts w:ascii="Times New Roman" w:cs="Times New Roman" w:eastAsia="Times New Roman" w:hAnsi="Times New Roman"/>
          <w:sz w:val="24"/>
          <w:szCs w:val="24"/>
        </w:rPr>
        <w:t xml:space="preserve">Bu, bölümün hipotezinin ilk yarısını kaynaklı biçimde ortaya koymaktadır: bir malzemenin döngüselliği biyolojik kökeninde değil, bileşiminde ve birleşiminde kararlaşır. Miselyum bu bakımdan öğretici bir örnektir; biyobozunurluğu, kendi kendine bağlanma özelliği ve tarımsal atıkla uyumluluğu nedeniyle kapalı döngü potansiyeli taşır ve bağlayıcı sorununu dışarıdan bir madde eklemeden çözer (Attias ve diğ., 2020; Edalat, 2026). Buna karşılık aynı atık, sentetik bir reçineyle bağlandığında döngüsellik iddiası ortadan kalkar; altıncı başlıkta aktarılan iç mekân duvar paneli örneği bu durumu göstermektedir.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açık hâle gelir: çevresel avantaj iddialarının her biri için önemli istisnalar bulunmaktadır (O’Rourke ve Seepersad, 2015) ve biyokompozitlerin uzun süreli dayanıklılığına ilişkin bilgi sınırlıdır (Chang ve diğ., 2020). Döngüsellik iddiası, ömür sonu davranışının bilinmediği bir malzeme için temelsiz kalır. Kaynak çeşitliliği de bu eleştirel çerçevenin parçasıdır: ahşaba aşırı bağımlılık ormansızlaşma ve biyoçeşitlilik kaybı riski taşırken, yalnızca ahşap dışı malzemelere dayanmak ölçeklenebilirlikten yoksundur; iki grubun tamamlayıcı güçlerinin bütünleştirilmesi döngüselliğe daha dirençli bir yol sunmaktadır (Edalat, 2026). Tartışmanın malzeme ölçeğinden mekân ölçeğine taşınmasını gerektiren nokta da burasıdır.</w:t>
      </w:r>
    </w:p>
    <w:p>
      <w:pPr>
        <w:pStyle w:val="Heading1"/>
        <w:spacing w:after="220" w:before="440" w:line="360"/>
      </w:pPr>
      <w:r>
        <w:rPr>
          <w:rFonts w:ascii="Times New Roman" w:cs="Times New Roman" w:eastAsia="Times New Roman" w:hAnsi="Times New Roman"/>
          <w:b/>
          <w:bCs/>
          <w:sz w:val="26"/>
          <w:szCs w:val="26"/>
        </w:rPr>
        <w:t xml:space="preserve">5. DİRENÇLİLİK</w:t>
      </w:r>
    </w:p>
    <w:p>
      <w:pPr>
        <w:spacing w:after="160" w:line="360"/>
        <w:jc w:val="both"/>
      </w:pPr>
      <w:r>
        <w:rPr>
          <w:rFonts w:ascii="Times New Roman" w:cs="Times New Roman" w:eastAsia="Times New Roman" w:hAnsi="Times New Roman"/>
          <w:sz w:val="24"/>
          <w:szCs w:val="24"/>
        </w:rPr>
        <w:t xml:space="preserve">Önceki başlıkta döngüselliğin biyolojik kökenle güvence altına alınamayacağı ortaya konmuştu. Bu başlıkta tartışma bir adım ileri taşınarak, biyolojik temelli malzemelerin tasarım sürecine etkileri dirençlilik kavramı üzerinden ele alınmaktadır.</w:t>
      </w:r>
    </w:p>
    <w:p>
      <w:pPr>
        <w:pStyle w:val="Heading2"/>
        <w:spacing w:after="170" w:before="320" w:line="360"/>
      </w:pPr>
      <w:r>
        <w:rPr>
          <w:rFonts w:ascii="Times New Roman" w:cs="Times New Roman" w:eastAsia="Times New Roman" w:hAnsi="Times New Roman"/>
          <w:b/>
          <w:bCs/>
          <w:sz w:val="24"/>
          <w:szCs w:val="24"/>
        </w:rPr>
        <w:t xml:space="preserve">5.1. Dirençlilik kavramı</w:t>
      </w:r>
    </w:p>
    <w:p>
      <w:pPr>
        <w:spacing w:after="160" w:line="360"/>
        <w:jc w:val="both"/>
      </w:pPr>
      <w:r>
        <w:rPr>
          <w:rFonts w:ascii="Times New Roman" w:cs="Times New Roman" w:eastAsia="Times New Roman" w:hAnsi="Times New Roman"/>
          <w:sz w:val="24"/>
          <w:szCs w:val="24"/>
        </w:rPr>
        <w:t xml:space="preserve">Dirençlilik kavramı yapılı çevre literatüründe birbirinden önemli ölçüde farklı iki anlamda kullanılmaktadır. Heymans ve diğ. (2019), ekolojik kentsel planlama ve tasarım literatürünü sistematik olarak inceledikleri çalışmalarında bu iki tanımı ayırt etmektedir. Eski tanım, bir sistemin bozulmanın ardından dengeye dönme yeteneğine işaret eder ve yazarlara göre sistemlerin verimliliğine ve öngörülebilirliğine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tanımlamaktadır.</w:t>
      </w:r>
    </w:p>
    <w:p>
      <w:pPr>
        <w:spacing w:after="160" w:line="360"/>
        <w:jc w:val="both"/>
      </w:pPr>
      <w:r>
        <w:rPr>
          <w:rFonts w:ascii="Times New Roman" w:cs="Times New Roman" w:eastAsia="Times New Roman" w:hAnsi="Times New Roman"/>
          <w:sz w:val="24"/>
          <w:szCs w:val="24"/>
        </w:rPr>
        <w:t xml:space="preserve">Ayrımın tasarım açısından sonucu şudur: Heymans ve diğ.’nin (2019) belirttiği gibi, sistemler öngörülemez olduğunda sistemin sürdürülebilirliği onun dirençlilik kapasitesine bağlı hâle gelir. Yazarlar bunun planlamacı ve tasarımcılar için, idealleştirilmiş bir sürdürülebilir mekânsal biçim geliştirmekten, sistemin uyarlanma kapasitesinden doğan dirençliliğini kurmak üzere nasıl örgütlenebileceğini düşünmeye geçmek anlamına geldiğini vurgulamaktadır. Sürdürülebilirlik bir biçim hedefi olmaktan çıkıp bir örgütlenme sorusuna dönüşmektedir.</w:t>
      </w:r>
    </w:p>
    <w:p>
      <w:pPr>
        <w:pStyle w:val="Heading2"/>
        <w:spacing w:after="170" w:before="320" w:line="360"/>
      </w:pPr>
      <w:r>
        <w:rPr>
          <w:rFonts w:ascii="Times New Roman" w:cs="Times New Roman" w:eastAsia="Times New Roman" w:hAnsi="Times New Roman"/>
          <w:b/>
          <w:bCs/>
          <w:sz w:val="24"/>
          <w:szCs w:val="24"/>
        </w:rPr>
        <w:t xml:space="preserve">5.2. Dirençli tasarım</w:t>
      </w:r>
    </w:p>
    <w:p>
      <w:pPr>
        <w:spacing w:after="160" w:line="360"/>
        <w:jc w:val="both"/>
      </w:pPr>
      <w:r>
        <w:rPr>
          <w:rFonts w:ascii="Times New Roman" w:cs="Times New Roman" w:eastAsia="Times New Roman" w:hAnsi="Times New Roman"/>
          <w:sz w:val="24"/>
          <w:szCs w:val="24"/>
        </w:rPr>
        <w:t xml:space="preserve">Biyolojik temelli malzemelerin tasarım sürecine dâhil edilmesi, yalnızca kullanılan malzemenin niteliğini değil tasarımcının bu süreçteki konumunu da dönüştürmektedir. Geleneksel yaklaşımda malzeme, verilmiş tasarım kararları doğrultusunda seçilen ve biçimlendirilen bir unsurdur; biyolojik temelli malzemeler ise değişkenlikleri, zamansallıkları ve üretim koşullarındaki belirsizlikleriyle bu kararların yeniden değerlendirilmesini gerektirir. Barati ve Karana (2019), tasarımcı ile malzeme bilimcisi arasındaki erken aşama ortak projelerini inceledikleri çalışmalarında yaratıcılığın tasarımcının zihnine ait bir yeti olmadığını, tasarımcı ile maddi dünya arasında dağılmış bir süreç olduğunu ileri sürmekte; geliştirdikleri malzeme potansiyeli olarak olanaklar kavramıyla odağı tasarımcının yapma ve üretme edimlerine kaydırmaktadır. Tasarımcının işi böylece bir listeden seçim yapmak değil, malzemenin neye olanak tanıdığını üretim yoluyla keşfetmek hâline gelir; keşfedilen şey ise çoğu zaman malzemenin değişkenliğidir. Goidea ve diğ. (2022), miselyum biyokompozitlerde tür seçiminin hem üretim sürecini hem nesnenin performansını değiştirdiğini; büyüme hızı ve genetik kararlılığın yanı sıra dayanım, ısı iletkenliği ve görünüm gibi etkenlerin birlikte devreye girdiğini göstermektedir. Değişkenlik bu çerçevede bir kusur değil, tasarımcının üzerinde çalıştığı parametre kümesidir.</w:t>
      </w:r>
    </w:p>
    <w:p>
      <w:pPr>
        <w:spacing w:after="160" w:line="360"/>
        <w:jc w:val="both"/>
      </w:pPr>
      <w:r>
        <w:rPr>
          <w:rFonts w:ascii="Times New Roman" w:cs="Times New Roman" w:eastAsia="Times New Roman" w:hAnsi="Times New Roman"/>
          <w:sz w:val="24"/>
          <w:szCs w:val="24"/>
        </w:rPr>
        <w:t xml:space="preserve">Değişkenliğin ikiz kavramı zamandır. Karana ve diğ. (2018), miselyum esaslı bir malzemeyle yürütülen tasarım sürecinde tasarımcının mikroorganizmanın failliği, malzemenin kendine özgü zamansallığı ve malzemenin toplum tarafından kabulü biçiminde üç belirsizlik kaynağıyla baş etmek durumunda kaldığını ortaya koymaktadır. İkincisi, büyüme, kuruma ve yaşlanma sürelerinin tasarım kararının dışında değil içinde olduğu anlamına gelir; ne var ki bu zamanın nasıl işlediğine ilişkin bilgi hâlâ sınırlıdır (Chang ve diğ., 2020). Zamanın tasarıma girmesinin doğrudan sonucu, bakımın bir tasarım kararına dönüşmesidir. Graham ve Thrift (2007), modern toplumları ayakta tutan altyapıya ilişkin yerleşik kültürel kurguların onarım ve bakım etkinliklerini dikkat alanının dışına ittiğini ileri sürmektedir; biyolojik temelli malzemelerde bu dışarıda bırakma sürdürülemez, çünkü bakım kullanımın kesintiye uğraması değil koşuludur. Dirençli tasarım böylece önce bir kavram kümesi üretmektedir: keşfedilecek bir malzeme potansiyeli, parametreye dönüşen bir değişkenlik, hesaba katılması gereken bir malzeme zamanı ve baştan kurgulanan bir bakım ilişkisi.</w:t>
      </w:r>
    </w:p>
    <w:p>
      <w:pPr>
        <w:pStyle w:val="Heading2"/>
        <w:spacing w:after="170" w:before="320" w:line="360"/>
      </w:pPr>
      <w:r>
        <w:rPr>
          <w:rFonts w:ascii="Times New Roman" w:cs="Times New Roman" w:eastAsia="Times New Roman" w:hAnsi="Times New Roman"/>
          <w:b/>
          <w:bCs/>
          <w:sz w:val="24"/>
          <w:szCs w:val="24"/>
        </w:rPr>
        <w:t xml:space="preserve">5.3. Dirençlilik öznitelikleri</w:t>
      </w:r>
    </w:p>
    <w:p>
      <w:pPr>
        <w:spacing w:after="160" w:line="360"/>
        <w:jc w:val="both"/>
      </w:pPr>
      <w:r>
        <w:rPr>
          <w:rFonts w:ascii="Times New Roman" w:cs="Times New Roman" w:eastAsia="Times New Roman" w:hAnsi="Times New Roman"/>
          <w:sz w:val="24"/>
          <w:szCs w:val="24"/>
        </w:rPr>
        <w:t xml:space="preserve">Bu kavram kümesinin tasarım özelliklerine çevrilebilmesi için ekolojik dirençlilik araştırmaları bir dayanak sunmaktadır. Biggs ve diğ. (2012), ekosistem hizmetlerinin dirençliliğini güçlendirmeye yönelik yedi genel ilke tanımlamakta; bunların ilk üçünü çeşitlilik ile yedekliliğin korunması, bağlantısallığın yönetilmesi ve yavaş değişkenler ile geri besleme ilişkilerinin yönetilmesi olarak sıralamaktadır. Yazarlara göre ilkeler pratikte çoğu kez birlikte görülür ve birbirine yüksek düzeyde bağımlıdır. Söz konusu ilkeler, Walker ve diğ.’nin (2004) dirençlilik, uyarlanabilirlik ve dönüşebilirlik ayrımıyla birlikte okunduğunda, biyolojik temelli malzemelerle kurulan tasarım sistemleri için dört öznitelik üretmektedir.</w:t>
      </w:r>
    </w:p>
    <w:p>
      <w:pPr>
        <w:spacing w:after="160" w:line="360"/>
        <w:jc w:val="both"/>
      </w:pPr>
      <w:r>
        <w:rPr>
          <w:rFonts w:ascii="Times New Roman" w:cs="Times New Roman" w:eastAsia="Times New Roman" w:hAnsi="Times New Roman"/>
          <w:sz w:val="24"/>
          <w:szCs w:val="24"/>
        </w:rPr>
        <w:t xml:space="preserve">Birincisi çeşitlilik ve yedekliliktir. Tek bir malzemeye ve tek bir birleşim türüne dayanan bir kurguda yerel bir bozulma bütüne yayılırken, birden çok malzemenin ve birbirinin işlevini üstlenebilecek bileşenlerin bulunduğu bir kurguda bozulma yerel kalır; yedeklilik burada fazlalık değil, bozulmanın yayılmasını engelleyen bir örgütlenme biçimidir. İkincisi bağlantısallıktır; Biggs ve diğ.’nin (2012) formülasyonu bağlantısallığın artırılmasını değil yönetilmesini önermektedir. Tasarımda bu, bileşenlerin birbirine nasıl bağlandığı sorusudur: tersinir birleşimler bir bileşenin ötekini bozmadan değiştirilmesine olanak tanırken, kalıcı birleşimler bütün kurguyu tek bir karara bağlar. Rios ve diğ. (2015), sökülebilirlik için tasarım ilkelerine ilişkin kapsamlı kılavuzlar bulunmasına karşın bu alanda geliştirilmiş yapı sayısının çok az kaldığını belirtmektedir.</w:t>
      </w:r>
    </w:p>
    <w:p>
      <w:pPr>
        <w:spacing w:after="160" w:line="360"/>
        <w:jc w:val="both"/>
      </w:pPr>
      <w:r>
        <w:rPr>
          <w:rFonts w:ascii="Times New Roman" w:cs="Times New Roman" w:eastAsia="Times New Roman" w:hAnsi="Times New Roman"/>
          <w:sz w:val="24"/>
          <w:szCs w:val="24"/>
        </w:rPr>
        <w:t xml:space="preserve">Üçüncüsü bakım ve onarılabilirliktir; önceki alt başlıkta kurulan bakım ilişkisi burada bir özniteliğe dönüşür ve bileşenin onarılabilir olup olmadığı, onarım izlerinin kabul edilip edilmediği ve bakımın kim tarafından yapılabileceği sorularında somutlaşır. Dördüncüsü uyarlanabilirlik ve dönüşebilirliktir. Walker ve diğ. (2004), uyarlanabilirliği sistemdeki insan aktörlerin dirençliliği yönetme konusundaki ortak kapasitesi, dönüşebilirliği ise koşullar mevcut sistemi sürdürülemez kıldığında temelden yeni bir sistem yaratma kapasitesi olarak tanımlamaktadır. Kavramın yapı araştırmalarındaki karşılığının yerleşmediği de belirtilmelidir; Askar ve diğ. (2021), uyarlanabilirlik kavramına ilişkin yorumların ve bunlara bağlı paradigmaların zaman içinde değiştiğini, uygulama ve stratejilerin de bu değişimle birlikte geliştiğini ortaya koymaktadır.</w:t>
      </w:r>
    </w:p>
    <w:p>
      <w:pPr>
        <w:spacing w:after="160" w:line="360"/>
        <w:jc w:val="both"/>
      </w:pPr>
      <w:r>
        <w:rPr>
          <w:rFonts w:ascii="Times New Roman" w:cs="Times New Roman" w:eastAsia="Times New Roman" w:hAnsi="Times New Roman"/>
          <w:sz w:val="24"/>
          <w:szCs w:val="24"/>
        </w:rPr>
        <w:t xml:space="preserve">Dört öznitelik ancak ölçekler arası okunduğunda anlam kazanır. Goidea ve diğ. (2022), değişken ölçekler, sistemler ve malzemeler arasındaki karşılıklı bağımlılığın doğrusal olmayan etkileşimler ve hızla artan karmaşıklık ürettiğini belirtmektedir; bir bileşenin dirençliliği, bağlı olduğu sistemin dirençliliğinden ayrı değerlendirilemez. Buradan iki sonuç çıkmaktadır. Birincisi, döngüsellik ile dirençlilik eş anlamlı değildir; ancak çeşitlilik, tersinir bağlantı, onarılabilirlik ve uyarlanabilirlik gibi ortak özellikler üzerinden birbirini destekleyen iki yaklaşım oluştururlar. İkincisi, dört öznitelik de ancak kullanıldıkları, bakıldıkları ve değiştirildikleri ölçekte sınanabilir. İzleyen başlıkta gösterileceği gibi bu ölçek, büyük ölçüde iç mekândır.</w:t>
      </w:r>
    </w:p>
    <w:p>
      <w:pPr>
        <w:pStyle w:val="Heading1"/>
        <w:spacing w:after="220" w:before="440" w:line="360"/>
      </w:pPr>
      <w:r>
        <w:rPr>
          <w:rFonts w:ascii="Times New Roman" w:cs="Times New Roman" w:eastAsia="Times New Roman" w:hAnsi="Times New Roman"/>
          <w:b/>
          <w:bCs/>
          <w:sz w:val="26"/>
          <w:szCs w:val="26"/>
        </w:rPr>
        <w:t xml:space="preserve">6. İÇ MİMARLIKTA MEKÂNSAL DÖNÜŞÜM</w:t>
      </w:r>
    </w:p>
    <w:p>
      <w:pPr>
        <w:spacing w:after="160" w:line="360"/>
        <w:jc w:val="both"/>
      </w:pPr>
      <w:r>
        <w:rPr>
          <w:rFonts w:ascii="Times New Roman" w:cs="Times New Roman" w:eastAsia="Times New Roman" w:hAnsi="Times New Roman"/>
          <w:sz w:val="24"/>
          <w:szCs w:val="24"/>
        </w:rPr>
        <w:t xml:space="preserve">Önceki başlıklarda biyolojik temelli malzemelerin sınıflandırması, döngüsellikle ilişkisi ve dirençlilik kapasitesi malzeme ölçeğinde ele alınmıştı. Bu başlıkta tartışma mekân ölçeğine taşınmakta; söz konusu malzemelerin iç mimarlık pratiğinde hangi konumu aldığı ve bu konumun tasarım kararlarını nasıl değiştirdiği incelenmektedir.</w:t>
      </w:r>
    </w:p>
    <w:p>
      <w:pPr>
        <w:pStyle w:val="Heading2"/>
        <w:spacing w:after="170" w:before="320" w:line="360"/>
      </w:pPr>
      <w:r>
        <w:rPr>
          <w:rFonts w:ascii="Times New Roman" w:cs="Times New Roman" w:eastAsia="Times New Roman" w:hAnsi="Times New Roman"/>
          <w:b/>
          <w:bCs/>
          <w:sz w:val="24"/>
          <w:szCs w:val="24"/>
        </w:rPr>
        <w:t xml:space="preserve">6.1. İç mekânın öncelikli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sanıldığından daha belirgin biçimde tanımlanmıştır. Edalat (2026), inşaat sektöründe ahşap dışı biyolojik temelli yapı malzemelerinin iç ve dış yüzey kaplamaları, ısıl ve akustik yalıtım ile mobilya üretimi gibi uygulamalarda kullanıldığını; buna karşılık ahşap esaslı malzemelerin ağırlıklı olarak yapısal bileşenlerde yer aldığını ve ahşap dışı malzemelerin sınırlı mekanik dayanımları nedeniyle taşıyıcı elemanlarda nadiren kullanıldığını belirtmektedir. İki saptama bir arada okunduğunda ortaya belirgin bir sonuç çıkmaktadır: ahşap dışı biyolojik temelli malzemelerin uygulama alanı zaten büyük ölçüde iç mekândır. Bu durum bir sınırlılık olarak değil, bir konumlanma olarak değerlendirilebilir; taşıyıcı olmayan bileşenler, söz konusu malzemelerin yapısal risk eşiğinin görece düşük olduğu, dolayısıyla denenebilir oldukları alanı oluşturmaktadır.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desteklemektedir: Chayaamor-Heil ve diğ.’nin (2024) canlı organizmalarla malzeme geliştirmenin mimarlıkta ürün ve tekstil tasarımına kıyasla daha güç gerçekleştiğine ilişkin saptaması, iç mekân bileşenlerinin bu geçişteki konumunu da belirlemektedir. Ölçek ve katmanlılık bakımından mimari bütünle ürün ölçeği arasında yer aldıkları için iç mekân bileşenleri, geçişin yapılabileceği aradaki eşiği oluşturmaktadır. Tyagi ve Jain’in (2026) iç mekân tasarımında biyolojik temelli ve yenileyici malzemeler üzerine yürüttüğü sistematik derleme de alanın bu ölçekte birikmeye başladığını göstermektedir.</w:t>
      </w:r>
    </w:p>
    <w:p>
      <w:pPr>
        <w:pStyle w:val="Heading2"/>
        <w:spacing w:after="170" w:before="320" w:line="360"/>
      </w:pPr>
      <w:r>
        <w:rPr>
          <w:rFonts w:ascii="Times New Roman" w:cs="Times New Roman" w:eastAsia="Times New Roman" w:hAnsi="Times New Roman"/>
          <w:b/>
          <w:bCs/>
          <w:sz w:val="24"/>
          <w:szCs w:val="24"/>
        </w:rPr>
        <w:t xml:space="preserve">6.2. İkame tuzağı ve ömür sonu kararı</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bu eğilimi doğrudan saptamaktadır: büyütülmüş malzemeler bugüne kadar çoğunlukla geleneksel malzemelerin yerine geçen uygulamalarda kullanılmıştır. Yazarlara göre bu durum, malzemenin kendi niteliklerinin değerlendirilmeden kaldığı anlamına gelir. Malzeme Odaklı Tasarım yöntemi tam da bu nedenle önerilmektedir: yöntem, geliştirilmekte olan bir malzeme için özgün uygulama fikirleri bulmak üzere, malzemenin kendine özgü teknik ve deneyimsel niteliklerinin uygun ve yaratıcı biçimde öne çıkarılmasını ve birbirine bağlanmasını sağlar (Karana ve diğ., 2015). Camere ve Karana’nın (2018) malzeme seçiminden malzeme tasarımına doğru bir kayma olarak adlandırdığı dönüşüm, iç mimarlık ölçeğinde somut bir ölçüt üretmektedir: 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sz w:val="24"/>
          <w:szCs w:val="24"/>
        </w:rPr>
        <w:t xml:space="preserve">Döngüselliğin bileşim ve birleşimde kararlaştığı sav da iç mekân ölçeğinde somut biçimde gözlenebilmektedir. Edalat (2026), yirmi çalışmayı döngüsellik ölçütleri üzerinden değerlendirdiği incelemesinde, kahve atığı ile üre-formaldehit reçinesi kullanılarak üretilen ve ısıl ile akustik performansı sınanan bir iç mekân duvar paneli çalışmasını ele almaktadır. Değerlendirmenin sonucu dikkat çekicidir: atık kökenli tedarik bakımından çalışma tam puan almakta, buna karşılık geri dönüştürülebilirlik, biyobozunurluk ve ömür sonu ölçütü hiç dikkate alınmamış olarak puanlanmaktadır. Örnek, bölümün savını iç mimarlığın kendi nesnesi üzerinden göstermektedir: bir duvar paneli atıktan üretilmiş olabilir; ancak sentetik bir reçineyle bağlandığında ve ömür sonu senaryosu kurgulanmadığında döngüsel bir bileşen hâline gelmez. Rios ve diğ.’nin (2015) sökülebilirlik için tasarım ilkelerinin kuramda yerleşmiş olmasına karşın uygulamada çok az karşılık bulduğuna ilişkin saptaması, bu boşluğun yapı ölçeğinde de geçerli olduğunu göstermektedir.</w:t>
      </w:r>
    </w:p>
    <w:p>
      <w:pPr>
        <w:pStyle w:val="Heading2"/>
        <w:spacing w:after="170" w:before="320" w:line="360"/>
      </w:pPr>
      <w:r>
        <w:rPr>
          <w:rFonts w:ascii="Times New Roman" w:cs="Times New Roman" w:eastAsia="Times New Roman" w:hAnsi="Times New Roman"/>
          <w:b/>
          <w:bCs/>
          <w:sz w:val="24"/>
          <w:szCs w:val="24"/>
        </w:rPr>
        <w:t xml:space="preserve">6.3. Mekânsal sistem, deneyim ve bir uygulama örneği</w:t>
      </w:r>
    </w:p>
    <w:p>
      <w:pPr>
        <w:spacing w:after="160" w:line="360"/>
        <w:jc w:val="both"/>
      </w:pPr>
      <w:r>
        <w:rPr>
          <w:rFonts w:ascii="Times New Roman" w:cs="Times New Roman" w:eastAsia="Times New Roman" w:hAnsi="Times New Roman"/>
          <w:sz w:val="24"/>
          <w:szCs w:val="24"/>
        </w:rPr>
        <w:t xml:space="preserve">Biyolojik temelli malzemelerin mekânsal karşılığı, tek bir bileşen ölçeğinde değil ölçekler arası bir ilişkide kurulur. Beşinci başlıkta aktarılan karşılıklı bağımlılık ilkesinin iç mekândaki karşılığı, bileşenin bağımsız bir nesne değil, sökülüp yeniden kurulabilen bir sistemin parçası olarak tasarlanmasıdır. Andréen ve Goidea’nın (2022) belirttiği gibi, malzemeler kimyasal olarak ya da ısıyla işlenmemiş olduğunda yapılı çevre tümüyle tersinir hâle gelir ve ekleme ile değişiklikler az çabayla yapılabilir. İç mekânın bu tartışmadaki özgül konumu, Edalat’ın (2026) gelecek araştırma yönleri arasında saydığı boşlukla da örtüşmektedir: döngüsel ekonominin kullanım, onarım ve yeniden kullanım aşamaları yeterince araştırılmamış ve büyük ölçüde bağlama bağlıdır. Bu aşamaların tamamı, kullanıcının malzemeyle doğrudan temas ettiği ölçekte, yani iç mekânda gerçekleşmektedir.</w:t>
      </w:r>
    </w:p>
    <w:p>
      <w:pPr>
        <w:spacing w:after="160" w:line="360"/>
        <w:jc w:val="both"/>
      </w:pPr>
      <w:r>
        <w:rPr>
          <w:rFonts w:ascii="Times New Roman" w:cs="Times New Roman" w:eastAsia="Times New Roman" w:hAnsi="Times New Roman"/>
          <w:sz w:val="24"/>
          <w:szCs w:val="24"/>
        </w:rPr>
        <w:t xml:space="preserve">Bu temas yalnızca teknik bir mesele değildir. Beşinci başlıkta anılan üç belirsizlik kaynağından üçüncüsü — malzemenin toplum tarafından kabulü (Karana ve diğ., 2018) — iç mimarlık açısından özellikle belirleyicidir. Rognoli ve Ayala García’nın (2018) belirttiği gibi malzeme deneyimimiz, çevremizi saran nesnelerin neredeyse tamamının endüstriyel seri üretimden gelmesi nedeniyle koşullanmış bir deneyimdir; bu koşullanma, tekdüzeliği kalite ile, değişkenliği ise kusur ile özdeşleştiren bir beklenti üretir. Oysa biyolojik temelli malzemelerde değişkenlik malzemenin kimliğinin parçasıdır. İç mekân, kullanıcının malzemeye dokunduğu, yaşlanmasını izlediği ve onunla gündelik ilişki kurduğu ölçek olduğu için,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Yukarıda tartışılan üç ilişki — ikame yerine malzemenin kendi niteliklerinden yola çıkılması, ömür sonu senaryosunun bağlayıcı kararına yansıtılması ve bileşenin yeniden kurgulanabilir bir sistemin parçası olarak ele alınması — atık yumurta kabuğu ile doğal polimer esaslı bir bağlayıcı sistemden geliştirilen bir biyokompozit üzerinden tek bir örnekte birleştirilmiştir (Ünal, 2025). Söz konusu çalışmada malzeme bir ürün önerisi olarak değil tasarım aracı olarak ele alınmış, teknik ve deneyimsel nitelikleri Malzeme Odaklı Tasarım yöntemiyle birlikte değerlendirilmiş ve malzeme değişkenliği sökülüp yeniden kurulabilir modüler bir iç mekân sistemine aktarılmıştır. Teknik performans değerleri bu bölümün kapsamı dışındadır.</w:t>
      </w:r>
    </w:p>
    <w:p>
      <w:pPr>
        <w:pStyle w:val="Heading1"/>
        <w:spacing w:after="220" w:before="440" w:line="360"/>
      </w:pPr>
      <w:r>
        <w:rPr>
          <w:rFonts w:ascii="Times New Roman" w:cs="Times New Roman" w:eastAsia="Times New Roman" w:hAnsi="Times New Roman"/>
          <w:b/>
          <w:bCs/>
          <w:sz w:val="26"/>
          <w:szCs w:val="26"/>
        </w:rPr>
        <w:t xml:space="preserve">7. BİYOMALZEME SEÇİMİ İÇİN BİR DEĞERLENDİRME ÇERÇEVESİ</w:t>
      </w:r>
    </w:p>
    <w:p>
      <w:pPr>
        <w:spacing w:after="160" w:line="360"/>
        <w:jc w:val="both"/>
      </w:pPr>
      <w:r>
        <w:rPr>
          <w:rFonts w:ascii="Times New Roman" w:cs="Times New Roman" w:eastAsia="Times New Roman" w:hAnsi="Times New Roman"/>
          <w:sz w:val="24"/>
          <w:szCs w:val="24"/>
        </w:rPr>
        <w:t xml:space="preserve">Önceki başlıklarda biyolojik temelli malzemelerin kavramsal çerçevesi, döngüsellikle ilişkisi, dirençlilik kapasitesi ve iç mekândaki konumu ele alınmıştı. Bu başlıkta tartışma değerlendirme düzlemine taşınmakta; söz konusu malzemelerin iç mimarlıkta hangi ölçütlerle değerlendirilebileceği sorusu ele alınmaktadır.</w:t>
      </w:r>
    </w:p>
    <w:p>
      <w:pPr>
        <w:pStyle w:val="Heading2"/>
        <w:spacing w:after="170" w:before="320" w:line="360"/>
      </w:pPr>
      <w:r>
        <w:rPr>
          <w:rFonts w:ascii="Times New Roman" w:cs="Times New Roman" w:eastAsia="Times New Roman" w:hAnsi="Times New Roman"/>
          <w:b/>
          <w:bCs/>
          <w:sz w:val="24"/>
          <w:szCs w:val="24"/>
        </w:rPr>
        <w:t xml:space="preserve">7.1. Potansiyeller ve sınırlılıklar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de kalıcı sınırlılıklar bildirmektedir. Bu iki tarafın ayrı ayrı sıralanması yanıltıcıdır; çünkü çoğu durumda potansiyel ile sınırlılık aynı özelliğin iki yüzüdür. Tablo 3, literatürde bildirilen başlıca potansiyel ve sınırlılıkları yedi boyutta karşılıklı olarak göstermektedir.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dönüşmesi¹; atık alt tabaka ile organizma bileşiminin tasarlanabilmesi²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enerji⁴</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kapasitesi⁴; mineral yalıtkanlarla karşılaştırılabilir ısıl performans³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dayanımı³; uzun süreli dayanıklılık bilgisinin sınırlılığı⁵</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ISO 19624)³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eksikliği³; yönetsel boyutun araştırmada zayıf kalması⁶</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olması⁷; ömür sonu planlaması ve toplama altyapısındaki boşluklar³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olması⁸</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oluşturması¹⁰; öz üretimin tasarımcıya açtığı deney alanı¹¹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belirsizlik¹²; endüstriyel üretimle koşullanmış tekdüzelik beklentisi¹³</w:t>
            </w:r>
          </w:p>
        </w:tc>
      </w:tr>
    </w:tbl>
    <w:p>
      <w:pPr>
        <w:spacing w:after="340" w:before="130" w:line="240"/>
      </w:pPr>
      <w:r>
        <w:rPr>
          <w:rFonts w:ascii="Times New Roman" w:cs="Times New Roman" w:eastAsia="Times New Roman" w:hAnsi="Times New Roman"/>
          <w:i/>
          <w:iCs/>
          <w:sz w:val="18"/>
          <w:szCs w:val="18"/>
        </w:rPr>
        <w:t xml:space="preserve">¹ Lee ve diğ. (2022) · ² Attias ve diğ. (2020) · ³ Edalat (2026) · ⁴ Bourbia ve diğ. (2023) · ⁵ Chang ve diğ. (2020) · ⁶ Pomponi ve Moncaster (2017) · ⁷ Rios ve diğ. (2015) · ⁸ Andréen ve Goidea (2022) · ⁹ Kirchherr ve diğ. (2017) · ¹⁰ Karana ve diğ. (2015) · ¹¹ Rognoli ve diğ. (2015) · ¹² Karana ve diğ. (2018) · ¹³ Rognoli ve Ayala García (2018)</w:t>
      </w:r>
    </w:p>
    <w:p>
      <w:pPr>
        <w:spacing w:after="160" w:line="360"/>
        <w:jc w:val="both"/>
      </w:pPr>
      <w:r>
        <w:rPr>
          <w:rFonts w:ascii="Times New Roman" w:cs="Times New Roman" w:eastAsia="Times New Roman" w:hAnsi="Times New Roman"/>
          <w:sz w:val="24"/>
          <w:szCs w:val="24"/>
        </w:rPr>
        <w:t xml:space="preserve">Tablo 3’ün okunma biçimi, çerçeve önerisinin de gerekçesini vermektedir. Yedi boyutun beşi malzemenin kendisine, kaynağına ve kurumsal çevresine ilişkindir; yalnızca son boyut kullanıcıyla kurulan ilişkiyi kapsar. Buna karşılık iç mimarlıkta malzeme kararını belirleyen etkenlerin önemli bir bölümü bu son boyutta toplanmaktadır.</w:t>
      </w:r>
    </w:p>
    <w:p>
      <w:pPr>
        <w:pStyle w:val="Heading2"/>
        <w:spacing w:after="170" w:before="320" w:line="360"/>
      </w:pPr>
      <w:r>
        <w:rPr>
          <w:rFonts w:ascii="Times New Roman" w:cs="Times New Roman" w:eastAsia="Times New Roman" w:hAnsi="Times New Roman"/>
          <w:b/>
          <w:bCs/>
          <w:sz w:val="24"/>
          <w:szCs w:val="24"/>
        </w:rPr>
        <w:t xml:space="preserve">7.2. Üç gerilim</w:t>
      </w:r>
    </w:p>
    <w:p>
      <w:pPr>
        <w:spacing w:after="160" w:line="360"/>
        <w:jc w:val="both"/>
      </w:pPr>
      <w:r>
        <w:rPr>
          <w:rFonts w:ascii="Times New Roman" w:cs="Times New Roman" w:eastAsia="Times New Roman" w:hAnsi="Times New Roman"/>
          <w:sz w:val="24"/>
          <w:szCs w:val="24"/>
        </w:rPr>
        <w:t xml:space="preserve">Birincisi değişkenlik ile standartlaşma arasındadır. Biyolojik temelli malzemelerin tasarım açısından en değerli niteliği olan değişkenlik, kurumsal kabul açısından en büyük engelini oluşturmaktadır. Edalat (2026), ahşap dışı malzemelerin çoğunun standartlaşmış kodlardan, kamusal farkındalıktan ve uzmanlaşmış yüklenici ağından yoksun olduğunu; tek belirgin istisnanın yapısal standartların getirilmesiyle uluslararası tanınırlık kazanan bambu olduğunu, ahşabın ise kodlar ve nitelikli işgücüyle desteklenen yerleşik konumu sayesinde daha fazla yeniden kullanım ve geri dönüşüme olanak tanıdığını belirtmektedir. Pomponi ve Moncaster’ın (2017) çerçevesi bu durumu açıklamaktadır: döngüsellik yönetsel ve davranışsal boyutları da kapsar; malzemenin teknik niteliği tek başına yeterli değildir.</w:t>
      </w:r>
    </w:p>
    <w:p>
      <w:pPr>
        <w:spacing w:after="160" w:line="360"/>
        <w:jc w:val="both"/>
      </w:pPr>
      <w:r>
        <w:rPr>
          <w:rFonts w:ascii="Times New Roman" w:cs="Times New Roman" w:eastAsia="Times New Roman" w:hAnsi="Times New Roman"/>
          <w:sz w:val="24"/>
          <w:szCs w:val="24"/>
        </w:rPr>
        <w:t xml:space="preserve">İkincisi yerellik ile ölçeklenebilirlik arasındadır. Biyolojik temelli üretimin yerel kaynaklara dayanabilmesi önemli bir avantajdır; ancak bu avantaj pazar ölçeğinde bir dezavantaja dönüşebilmektedir. Edalat (2026), üretim ve dağıtım aşamalarında yüksek maliyetler, sınırlı pazar payı, merkezsiz ve parçalı tedarik zincirleri, düşük pazar şeffaflığı ve uzmanlaşmış işgücü kıtlığı gibi kalıcı güçlükler saptamaktadır. Buna karşılık Rognoli ve diğ. (2015), kişisel üretim teknolojilerinin yaygınlaşmasının dağıtık ve paylaşımlı üretim süreçleriyle deney yapmayı olanaklı kıldığını göstermektedir. İki saptama birlikte okunduğunda, merkezsizliğin sanayi ölçeğinde bir engel, tasarım pratiği ölçeğinde ise bir olanak oluşturduğu görülmektedir.</w:t>
      </w:r>
    </w:p>
    <w:p>
      <w:pPr>
        <w:spacing w:after="160" w:line="360"/>
        <w:jc w:val="both"/>
      </w:pPr>
      <w:r>
        <w:rPr>
          <w:rFonts w:ascii="Times New Roman" w:cs="Times New Roman" w:eastAsia="Times New Roman" w:hAnsi="Times New Roman"/>
          <w:sz w:val="24"/>
          <w:szCs w:val="24"/>
        </w:rPr>
        <w:t xml:space="preserve">Üçüncüsü biyolojik dönüşebilirlik ile dayanıklılık arasındadır ve bölümün hipotezini en açık biçimde sınayan gerilimdir. Edalat (2026), koyun ve kenevir yünü gibi ham biyolojik yalıtkanların geri dönüştürülebilirlik ve mineral esaslı yalıtkanlarla karşılaştırılabilir ısıl performans nedeniyle ilgi görmesine karşın zayıf yangın dayanımı ve yüksek maliyetle karşılaştığını; buna karşılık mineral yünlerin tümüyle ve sınırsız biçimde yeni ürünlere geri dönüştürülebildiğini ve bu nedenle kapalı döngü uygulamalarıyla daha etkili biçimde örtüştüğünü aktarmaktadır. Yani bu özgül karşılaştırmada, biyolojik kökenli olmayan bir malzeme, biyolojik kökenli alternatifinden daha döngüsel davranmaktadır. Samanın tümüyle biyobozunur olması da zamanla kademeli bozunmaya açıklık anlamına gelmekte ve ön üretimli olmayan biçimlerin geri kazanımını güçleştirmektedir. Biyobozunurluk, kendi başına döngüsellik üretmemekte; aksine geri kazanımı zorlaştırabilmektedir.</w:t>
      </w:r>
    </w:p>
    <w:p>
      <w:pPr>
        <w:pStyle w:val="Heading2"/>
        <w:spacing w:after="170" w:before="320" w:line="360"/>
      </w:pPr>
      <w:r>
        <w:rPr>
          <w:rFonts w:ascii="Times New Roman" w:cs="Times New Roman" w:eastAsia="Times New Roman" w:hAnsi="Times New Roman"/>
          <w:b/>
          <w:bCs/>
          <w:sz w:val="24"/>
          <w:szCs w:val="24"/>
        </w:rPr>
        <w:t xml:space="preserve">7.3. Altı boyutlu bir değerlendirme çerçevesi</w:t>
      </w:r>
    </w:p>
    <w:p>
      <w:pPr>
        <w:spacing w:after="160" w:line="360"/>
        <w:jc w:val="both"/>
      </w:pPr>
      <w:r>
        <w:rPr>
          <w:rFonts w:ascii="Times New Roman" w:cs="Times New Roman" w:eastAsia="Times New Roman" w:hAnsi="Times New Roman"/>
          <w:sz w:val="24"/>
          <w:szCs w:val="24"/>
        </w:rPr>
        <w:t xml:space="preserve">Yukarıdaki üç gerilim, bir malzemenin tek bir ölçüt kümesiyle değerlendirilemeyeceğini göstermektedir. Kirchherr ve diğ. (2017), döngüsellik tanımlarının çoğunun sistemsel değişimi vurgulamadığını; Pomponi ve Moncaster (2017) ise yapılı çevrede döngüselliğin altı boyutta kurulduğunu ortaya koymaktadır. Edalat (2026) de malzeme tasarımcılarının yaşam döngüsü değerlendirmesine ve sera gazı azaltımına orantısız biçimde odaklanmasının tedarik zinciri dirençliliği ve malzeme döngüselliği gibi en az onun kadar hayati yönleri ihmal ettiğini belirtmektedir. Üç saptama aynı sonuca varmaktadır: eksik olan, daha iyi bir malzeme listesi değil;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değerlendirme çerçevesi önermektedir. Çerçevenin kaynağı tek bir çalışma değildir; her boyut, bölüm boyunca tartışılan farklı kaynak kümelerine dayanmaktadır. İlk üç boyut malzemenin maddi örgütlenmesini, son üç boyut ise malzemenin kullanıcıyla, zamanla ve kurumsal çevreyle ilişkisini kapsar.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400"/>
        <w:gridCol w:w="3176"/>
      </w:tblGrid>
      <w:tr>
        <w:trPr>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1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 Alt tabaka ile organizma bileşimi tasarlanmış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kapasitesi</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Birleşimler tersinir mi? Bileşen onarılabiliyor mu? Mekân uyarlanabilir ve dönüşebilir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Rios ve diğ. (2015)</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Kurumsal ve toplumsal çerçeve</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Malzemeyi destekleyen standart, kod, uzman ağı ve üretim kanalı var mı? Kullanıcı kabulü nasıl kurulacak?</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Pomponi ve Moncaster (2017); Rognoli ve diğ. (2015)</w:t>
            </w:r>
          </w:p>
        </w:tc>
      </w:tr>
    </w:tbl>
    <w:p>
      <w:pPr>
        <w:spacing w:after="340" w:before="130" w:line="240"/>
      </w:pPr>
      <w:r>
        <w:rPr>
          <w:rFonts w:ascii="Times New Roman" w:cs="Times New Roman" w:eastAsia="Times New Roman" w:hAnsi="Times New Roman"/>
          <w:i/>
          <w:iCs/>
          <w:sz w:val="18"/>
          <w:szCs w:val="18"/>
        </w:rPr>
        <w:t xml:space="preserve">Çerçeve bu bölümün önerisidir; boyutların dayandığı saptamalar belirtilen kaynaklardan alınmıştır.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Nitekim altıncı başlıkta aktarılan kahve atıklı duvar paneli örneği, atık kökenli tedarik boyutunu tümüyle karşılamasına karşın ömür sonu boyutunu hiç karşılamayan bir bileşenin döngüsel sayılamayacağını göstermektedir. Aynı mantık son üç boyut için de geçerlidir: deneyimsel performansı güçlü olmakla birlikte onarılamayan, sökülemeyen ya da yenilenemeyen bir bileşen dirençlilik boyutunu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 sorusunu ele almıştır. Yürütülen tartışma, bu üç kavramın birbirinin yerine geçen eşanlamlılar değil, birbirini kapsayan ve birbirine ölçüt ekleyen üç ayrı düzlem oluşturduğunu göstermektedir. Birinci düzlemde sürdürülebilirlik malzemenin çevresel etkisini azaltmayı hedefler; ikinci düzlemde döngüsellik malzemenin yaşam döngüsünü ve ömür sonu senaryosunu karar sürecine dahil eder; üçüncü düzlemde dirençlilik değerlendirmeye zamanı ve değişimi ekler (Tablo 5).</w:t>
      </w:r>
    </w:p>
    <w:p>
      <w:pPr>
        <w:keepNext/>
        <w:spacing w:after="140" w:before="400" w:line="240"/>
      </w:pPr>
      <w:r>
        <w:rPr>
          <w:rFonts w:ascii="Times New Roman" w:cs="Times New Roman" w:eastAsia="Times New Roman" w:hAnsi="Times New Roman"/>
          <w:sz w:val="22"/>
          <w:szCs w:val="22"/>
        </w:rPr>
        <w:t xml:space="preserve">Tablo 5. </w:t>
      </w:r>
      <w:r>
        <w:rPr>
          <w:rFonts w:ascii="Times New Roman" w:cs="Times New Roman" w:eastAsia="Times New Roman" w:hAnsi="Times New Roman"/>
          <w:i/>
          <w:iCs/>
          <w:sz w:val="22"/>
          <w:szCs w:val="22"/>
        </w:rPr>
        <w:t xml:space="preserve">Sürdürülebilirlik, döngüsellik ve dirençlilik: 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563"/>
        <w:gridCol w:w="2563"/>
      </w:tblGrid>
      <w:tr>
        <w:trPr>
          <w:tblHeader/>
        </w:trPr>
        <w:tc>
          <w:tcPr>
            <w:tcW w:type="dxa" w:w="1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Düzlem</w:t>
            </w:r>
          </w:p>
        </w:tc>
        <w:tc>
          <w:tcPr>
            <w:tcW w:type="dxa" w:w="2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Sorduğu soru</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Karar sürecine eklediği ölçüt</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 başına yetersiz kaldığı nokta</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Sürdürülebilirlik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çevresel etkisi nedir?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salım ve enerji ölçütleri</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köken çevresel avantajı güvence altına almaz; her avantaj için önemli istisnalar bulunur¹</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ömrünün sonunda ne oluyor?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birleşim, bağlayıcı türü, sökülebilirlik ve ömür sonu senaryosu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Tanımların çoğu sistemsel değişimi vurgulamaz; sökülebilirlik ilkeleri uygulamaya geçmemiştir²</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Sistem değişim karşısında sürekliliğini koruyabiliyor mu?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Çeşitlilik ve yedeklilik, tersinir bağlantı, onarılabilirlik, uyarlanabilirlik</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Uzun süreli davranışa ilişkin bilgi büyük ölçüde eksik olduğundan değerlendirme kuramsal düzeyde kalır³</w:t>
            </w:r>
          </w:p>
        </w:tc>
      </w:tr>
    </w:tbl>
    <w:p>
      <w:pPr>
        <w:spacing w:after="340" w:before="130" w:line="240"/>
      </w:pPr>
      <w:r>
        <w:rPr>
          <w:rFonts w:ascii="Times New Roman" w:cs="Times New Roman" w:eastAsia="Times New Roman" w:hAnsi="Times New Roman"/>
          <w:i/>
          <w:iCs/>
          <w:sz w:val="18"/>
          <w:szCs w:val="18"/>
        </w:rPr>
        <w:t xml:space="preserve">¹ O’Rourke ve Seepersad (2015) · ² Kirchherr ve diğ. (2017); Rios ve diğ. (2015) · ³ Walker ve diğ. (2004); Biggs ve diğ. (2012); Chang ve diğ. (2020)</w:t>
      </w:r>
    </w:p>
    <w:p>
      <w:pPr>
        <w:spacing w:after="160" w:line="360"/>
        <w:jc w:val="both"/>
      </w:pPr>
      <w:r>
        <w:rPr>
          <w:rFonts w:ascii="Times New Roman" w:cs="Times New Roman" w:eastAsia="Times New Roman" w:hAnsi="Times New Roman"/>
          <w:sz w:val="24"/>
          <w:szCs w:val="24"/>
        </w:rPr>
        <w:t xml:space="preserve">Tablo 5’in son kolonu, bölümün yöntemsel tutumunu da özetlemektedir: her düzlem bir sonrakini gerektirmekte, hiçbiri tek başına yeterli olmamaktadır. Üç düzlemin iç mimarlıkta kesiştiği nokta ise bölümün ikinci saptamasını oluşturmaktadır. Ahşap dışı biyolojik temelli malzemelerin fiilî uygulama alanı büyük ölçüde iç mekândır; bu malzemeler sınırlı mekanik dayanımları nedeniyle taşıyıcı elemanlarda nadiren yer almaktadır (Edalat, 2026). Dolayısıyla iç mimarlık, söz konusu malzemelerin yapılı çevreye girişinde belirleyici ölçeği oluşturmaktadır.</w:t>
      </w:r>
    </w:p>
    <w:p>
      <w:pPr>
        <w:spacing w:after="160" w:line="360"/>
        <w:jc w:val="both"/>
      </w:pPr>
      <w:r>
        <w:rPr>
          <w:rFonts w:ascii="Times New Roman" w:cs="Times New Roman" w:eastAsia="Times New Roman" w:hAnsi="Times New Roman"/>
          <w:sz w:val="24"/>
          <w:szCs w:val="24"/>
        </w:rPr>
        <w:t xml:space="preserve">Bölümde önerilen altı boyutlu değerlendirme çerçevesi bu zemine dayanmaktadır (Tablo 4). Çerçevenin sınırlılıkları da belirtilmelidir: öneri kuramsal düzeyde kalmakta, tasarım pratiğinde sınanmamıştır. Boyutların her biri için ölçülebilir bir değerlendirme yöntemi henüz bulunmamakta; özellikle deneyimsel performans ve dirençlilik kapasitesi için yerleşik bir ölçüm yaklaşımı yoktur. Ayrıca çerçeve taşıyıcı olmayan iç mekân bileşenleri için kurulmuş olup yapısal ölçeğe genellenemez.</w:t>
      </w:r>
    </w:p>
    <w:p>
      <w:pPr>
        <w:spacing w:after="160" w:line="360"/>
        <w:jc w:val="both"/>
      </w:pPr>
      <w:r>
        <w:rPr>
          <w:rFonts w:ascii="Times New Roman" w:cs="Times New Roman" w:eastAsia="Times New Roman" w:hAnsi="Times New Roman"/>
          <w:sz w:val="24"/>
          <w:szCs w:val="24"/>
        </w:rPr>
        <w:t xml:space="preserve">Bu sınırlılıklar doğrudan bir araştırma gündemine işaret etmektedir. Deneyimsel performans ve dirençlilik kapasitesi boyutları için ölçülebilir değerlendirme yaklaşımları geliştirilmeli; Biggs ve diğ.’nin (2012) ekolojik ölçekte tanımladığı ilkelerin iç mekân bileşenlerine nasıl uyarlanacağı ayrıca çalışılmalı; iç mekân bileşenlerinde bağlayıcı sistemleri ve tersinir birleşim detayları araştırılmalıdır, çünkü Rios ve diğ. (2015) sökülebilirlik için tasarımda kuram ile uygulama arasındaki boşluğu açıkça ortaya koymaktadır. Biyolojik temelli iç mekân bileşenlerinin uzun süreli davranışı izlenmeli (Chang ve diğ., 2020); döngüselliğin yönetsel ve davranışsal boyutları ise iç mekân bağlamında incelenmelidir (Pomponi ve Moncaster, 2017).</w:t>
      </w:r>
    </w:p>
    <w:p>
      <w:pPr>
        <w:spacing w:after="160" w:line="360"/>
        <w:jc w:val="both"/>
      </w:pPr>
      <w:r>
        <w:rPr>
          <w:rFonts w:ascii="Times New Roman" w:cs="Times New Roman" w:eastAsia="Times New Roman" w:hAnsi="Times New Roman"/>
          <w:sz w:val="24"/>
          <w:szCs w:val="24"/>
        </w:rPr>
        <w:t xml:space="preserve">Son olarak, bu yaklaşımın iç mimarlık açısından ima ettiği değişim malzeme listelerinin yenilenmesinden daha kapsamlıdır. Camere ve Karana’nın (2018) saptadığı malzeme seçiminden malzeme tasarımına kayma, tasarımcının malzemeyle kurduğu ilişkinin yeniden tanımlanması anlamına gelmektedir. Heymans ve diğ.’nin (2019) saptaması bu dönüşümün yönünü de göstermektedir: sistemin sürdürülebilirliği dirençlilik kapasitesine bağlıdır ve bu kapasite, kentlerin insan ve insan-dışı tüm sakinlerini kapsamak durumundadır; yalnızca insan toplumunun dirençliliğine odaklanmak sosyo-ekolojik sistemin dirençliliğini aşındırabilmektedir. İç mekân, bu ilişkinin gündelik ölçekte kurulduğu yer olduğu için, söz konusu dönüşümün hem sınanacağı hem de görünür olacağı alandır.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Askar, R., Bragança, L. ve Gervásio, H. (2021). Adaptability of buildings: A critical review on the concept evolution. </w:t>
      </w:r>
      <w:r>
        <w:rPr>
          <w:rFonts w:ascii="Times New Roman" w:cs="Times New Roman" w:eastAsia="Times New Roman" w:hAnsi="Times New Roman"/>
          <w:i/>
          <w:iCs/>
          <w:sz w:val="24"/>
          <w:szCs w:val="24"/>
        </w:rPr>
        <w:t xml:space="preserve">Applied Sciences, 11</w:t>
      </w:r>
      <w:r>
        <w:rPr>
          <w:rFonts w:ascii="Times New Roman" w:cs="Times New Roman" w:eastAsia="Times New Roman" w:hAnsi="Times New Roman"/>
          <w:i w:val="false"/>
          <w:iCs w:val="false"/>
          <w:sz w:val="24"/>
          <w:szCs w:val="24"/>
        </w:rPr>
        <w:t xml:space="preserve">(10), 4483. https://doi.org/10.3390/app11104483</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2026-10-02T09:24:11.112Z</dcterms:created>
  <dcterms:modified xsi:type="dcterms:W3CDTF">2026-10-02T09:24:11.126Z</dcterms:modified>
</cp:coreProperties>
</file>

<file path=docProps/custom.xml><?xml version="1.0" encoding="utf-8"?>
<Properties xmlns="http://schemas.openxmlformats.org/officeDocument/2006/custom-properties" xmlns:vt="http://schemas.openxmlformats.org/officeDocument/2006/docPropsVTypes"/>
</file>