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2. BİYOTASARIM KAVRAMI VE TASARIM PARADİGMASININ DÖNÜŞÜMÜ</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960 kelime</w:t>
      </w:r>
    </w:p>
    <w:p>
      <w:pPr>
        <w:spacing w:after="160" w:line="360"/>
        <w:jc w:val="both"/>
      </w:pPr>
      <w:r>
        <w:rPr>
          <w:rFonts w:ascii="Times New Roman" w:cs="Times New Roman" w:eastAsia="Times New Roman" w:hAnsi="Times New Roman"/>
          <w:sz w:val="24"/>
          <w:szCs w:val="24"/>
        </w:rPr>
        <w:t xml:space="preserve">Biyoloji ile tasarım arasındaki ilişkiyi tanımlayan kavramlar, son yirmi yılda hızla çoğalmış; ancak bu çoğalma ortak bir terminoloji üretmemiştir. Bu başlıkta önce söz konusu belirsizliğin niteliği ortaya konmakta, ardından biyotasarımın biyomimikriden hangi noktada ayrıldığı ve bu ayrımın tasarımcının rolü açısından ne anlama geldiği tartışılmaktadır.</w:t>
      </w:r>
    </w:p>
    <w:p>
      <w:pPr>
        <w:pStyle w:val="Heading2"/>
        <w:spacing w:after="180" w:before="320" w:line="360"/>
      </w:pPr>
      <w:r>
        <w:rPr>
          <w:rFonts w:ascii="Times New Roman" w:cs="Times New Roman" w:eastAsia="Times New Roman" w:hAnsi="Times New Roman"/>
          <w:b/>
          <w:bCs/>
          <w:sz w:val="26"/>
          <w:szCs w:val="26"/>
        </w:rPr>
        <w:t xml:space="preserve">2.1. Terminolojik Belirsizliğin Niteliği</w:t>
      </w:r>
    </w:p>
    <w:p>
      <w:pPr>
        <w:spacing w:after="160" w:line="360"/>
        <w:jc w:val="both"/>
      </w:pPr>
      <w:r>
        <w:rPr>
          <w:rFonts w:ascii="Times New Roman" w:cs="Times New Roman" w:eastAsia="Times New Roman" w:hAnsi="Times New Roman"/>
          <w:sz w:val="24"/>
          <w:szCs w:val="24"/>
        </w:rPr>
        <w:t xml:space="preserve">Kırbaş Akyürek, Ciravoğlu, Mohammadi ve Yeğenoğlu (2020), yapı tasarımında canlı ve üretilmiş bileşenlerin bir araya gelmesini konu alan terminolojiyi, seksen yenilikçi örneği ve bu alanda profesyonel olarak çalışan yirmi uzmanın görüşlerini inceleyerek araştırmışlardır. Örneklerin tanımlanmasında kullanılan terimlerin dağılımı şöyledir: örneklerin %34’ü “biyo” önekiyle üretilmiş özelleştirilmiş terimlerle (biyobeton, biyotuğla gibi), %20’si “akıllı” niteliğiyle, %18’i “canlı”, %17’si ise “büyüyen” ve türevleriyle tanımlanmıştır; örneklerin %22,5’inde ayrıca sürdürülebilirlik vurgusu bulunmaktadır.</w:t>
      </w:r>
    </w:p>
    <w:p>
      <w:pPr>
        <w:spacing w:after="160" w:line="360"/>
        <w:jc w:val="both"/>
      </w:pPr>
      <w:r>
        <w:rPr>
          <w:rFonts w:ascii="Times New Roman" w:cs="Times New Roman" w:eastAsia="Times New Roman" w:hAnsi="Times New Roman"/>
          <w:sz w:val="24"/>
          <w:szCs w:val="24"/>
        </w:rPr>
        <w:t xml:space="preserve">Yazarların temel bulgusu, bu çeşitliliğe karşın alanyazında genel kabul görmüş bir şemsiye terimin bulunmamasıdır. Belirsizliğin nedenini ise iki yönlü olarak açıklamaktadırlar: bir yanda doğanın, doğal ögelerin, mekanizmaların ve süreçlerin kapsamlı niteliği, diğer yanda aynı disiplin ve tekniklerin farklı disiplinlerce farklı biçimlerde yorumlanması. Sonuç olarak terminoloji, yazarların ifadesiyle bu terim ve tanım çeşitliliğinin içinde sıkışıp kalmakta; bu durum olgunun anlaşılmasını ve üzerine yeni çalışmalar yürütülmesini güçleştirmektedir. Yazarlar ayrıca mimarlık söyleminde bu dönüşümü karşılayacak terimlerin — örneğin yapı tasarımına özgü bir karşılığın — henüz oluşmadığına dikkat çekmektedir.</w:t>
      </w:r>
    </w:p>
    <w:p>
      <w:pPr>
        <w:spacing w:after="160" w:line="360"/>
        <w:jc w:val="both"/>
      </w:pPr>
      <w:r>
        <w:rPr>
          <w:rFonts w:ascii="Times New Roman" w:cs="Times New Roman" w:eastAsia="Times New Roman" w:hAnsi="Times New Roman"/>
          <w:sz w:val="24"/>
          <w:szCs w:val="24"/>
        </w:rPr>
        <w:t xml:space="preserve">Bu tespit, Türkçe alanyazın açısından ayrıca önemlidir. Kavramların İngilizce kaynaklarda dahi yerleşmemiş olması, Türkçeye aktarımda yaşanan karışıklığın yalnızca çeviri kaynaklı olmadığını; alanın kendi içindeki bir belirsizliği yansıttığını göstermektedir.</w:t>
      </w:r>
    </w:p>
    <w:p>
      <w:pPr>
        <w:pStyle w:val="Heading2"/>
        <w:spacing w:after="180" w:before="320" w:line="360"/>
      </w:pPr>
      <w:r>
        <w:rPr>
          <w:rFonts w:ascii="Times New Roman" w:cs="Times New Roman" w:eastAsia="Times New Roman" w:hAnsi="Times New Roman"/>
          <w:b/>
          <w:bCs/>
          <w:sz w:val="26"/>
          <w:szCs w:val="26"/>
        </w:rPr>
        <w:t xml:space="preserve">2.2. Biyomimikri Neden Yeterli Bir Çerçeve Değildir?</w:t>
      </w:r>
    </w:p>
    <w:p>
      <w:pPr>
        <w:spacing w:after="160" w:line="360"/>
        <w:jc w:val="both"/>
      </w:pPr>
      <w:r>
        <w:rPr>
          <w:rFonts w:ascii="Times New Roman" w:cs="Times New Roman" w:eastAsia="Times New Roman" w:hAnsi="Times New Roman"/>
          <w:sz w:val="24"/>
          <w:szCs w:val="24"/>
        </w:rPr>
        <w:t xml:space="preserve">Biyotasarım tartışmasında en sık karşılaşılan eşitleme, kavramın biyomimikriyle bir tutulmasıdır. Kırbaş Akyürek ve arkadaşları (2020) bu eşitlemenin neden sürdürülemeyeceğini açık biçimde ortaya koymaktadır: biyomimikrinin temel amacı biyolojik süreçleri teknolojilere çevirmektir; biyolojik malzeme kullanımına işaret etmez. Dolayısıyla terim, popülerliğine ve kuramsal önemine karşın canlı ile üretilmiş bileşenlerin birleşimini kapsayan bir şemsiye terim olarak kullanılamaz.</w:t>
      </w:r>
    </w:p>
    <w:p>
      <w:pPr>
        <w:spacing w:after="160" w:line="360"/>
        <w:jc w:val="both"/>
      </w:pPr>
      <w:r>
        <w:rPr>
          <w:rFonts w:ascii="Times New Roman" w:cs="Times New Roman" w:eastAsia="Times New Roman" w:hAnsi="Times New Roman"/>
          <w:sz w:val="24"/>
          <w:szCs w:val="24"/>
        </w:rPr>
        <w:t xml:space="preserve">Yazarlar aynı gerekçeyle komşu kavramları da ayırt etmektedir. Biyoesinlenme, biyolojik olmayan bilim ve teknoloji alanındaki araştırmaların benzetimini de içermektedir. Biyomerkezcilik esas olarak doğal çevre ile insan arasındaki ilişkiye odaklanır. Biyofili, insanın doğayla bağ kurarak duygusal ve biyolojik gereksinimlerini karşılamayı amaçlar. Biyomimarlık ise doğanın hem canlı hem cansız ögelerinden esinlenmeyi kapsar. Yazarlara göre bu kavramların kapsamı, canlı ve üretilmiş bileşenler arasındaki güncel bağları belirlemek için fazla geniştir (Tablo 1).</w:t>
      </w:r>
    </w:p>
    <w:p>
      <w:pPr>
        <w:spacing w:after="160" w:line="360"/>
        <w:jc w:val="both"/>
      </w:pPr>
      <w:r>
        <w:rPr>
          <w:rFonts w:ascii="Times New Roman" w:cs="Times New Roman" w:eastAsia="Times New Roman" w:hAnsi="Times New Roman"/>
          <w:sz w:val="24"/>
          <w:szCs w:val="24"/>
        </w:rPr>
        <w:t xml:space="preserve">Bu ayrımlar içinde biyotasarım, yapı tasarımı açısından görece daha uygun bir terim olarak öne çıkmaktadır; ancak terimin kendisi de tüm tasarım disiplinlerini kapsayan geniş bir yaklaşıma işaret etmektedir. Myers (2018), biyoloji ile teknolojinin kaynaşmasını biyotasarım terimiyle açıklamakta ve bunun biyomimikri yaklaşımının ötesine geçen yeni bir kavram önerdiğini belirtmektedir.</w:t>
      </w:r>
    </w:p>
    <w:p>
      <w:pPr>
        <w:pStyle w:val="Heading2"/>
        <w:spacing w:after="180" w:before="320" w:line="360"/>
      </w:pPr>
      <w:r>
        <w:rPr>
          <w:rFonts w:ascii="Times New Roman" w:cs="Times New Roman" w:eastAsia="Times New Roman" w:hAnsi="Times New Roman"/>
          <w:b/>
          <w:bCs/>
          <w:sz w:val="26"/>
          <w:szCs w:val="26"/>
        </w:rPr>
        <w:t xml:space="preserve">2.3. Biyolojik Tasarım ve Biyotasarım: Ayrımın Kurulması</w:t>
      </w:r>
    </w:p>
    <w:p>
      <w:pPr>
        <w:spacing w:after="160" w:line="360"/>
        <w:jc w:val="both"/>
      </w:pPr>
      <w:r>
        <w:rPr>
          <w:rFonts w:ascii="Times New Roman" w:cs="Times New Roman" w:eastAsia="Times New Roman" w:hAnsi="Times New Roman"/>
          <w:sz w:val="24"/>
          <w:szCs w:val="24"/>
        </w:rPr>
        <w:t xml:space="preserve">Alanyazındaki en keskin kavramsal ayrımlardan birini Andréen ve Goidea (2022) kurmaktadır. Yazarlara göre biyotasarım, biyolojik malzemeleri ve/veya yaklaşımları yapılar gibi insan uygulamaları için kullanan tasarımı ifade eder. Biyolojik tasarım ise genotipleri fenotiplere bağlayan morfogenetik süreçlere; DNA’daki kodu mekânsal biçim olarak ifade eden süreç ve etmenlere işaret etmektedir.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Bu ayrım, kavramsal olarak belirleyicidir: biyotasarım </w:t>
      </w:r>
      <w:r>
        <w:rPr>
          <w:rFonts w:ascii="Times New Roman" w:cs="Times New Roman" w:eastAsia="Times New Roman" w:hAnsi="Times New Roman"/>
          <w:b/>
          <w:bCs/>
          <w:i w:val="false"/>
          <w:iCs w:val="false"/>
          <w:sz w:val="24"/>
          <w:szCs w:val="24"/>
        </w:rPr>
        <w:t xml:space="preserve">tasarımcının pratiğini</w:t>
      </w:r>
      <w:r>
        <w:rPr>
          <w:rFonts w:ascii="Times New Roman" w:cs="Times New Roman" w:eastAsia="Times New Roman" w:hAnsi="Times New Roman"/>
          <w:b w:val="false"/>
          <w:bCs w:val="false"/>
          <w:i w:val="false"/>
          <w:iCs w:val="false"/>
          <w:sz w:val="24"/>
          <w:szCs w:val="24"/>
        </w:rPr>
        <w:t xml:space="preserve">, biyolojik tasarım ise </w:t>
      </w:r>
      <w:r>
        <w:rPr>
          <w:rFonts w:ascii="Times New Roman" w:cs="Times New Roman" w:eastAsia="Times New Roman" w:hAnsi="Times New Roman"/>
          <w:b/>
          <w:bCs/>
          <w:i w:val="false"/>
          <w:iCs w:val="false"/>
          <w:sz w:val="24"/>
          <w:szCs w:val="24"/>
        </w:rPr>
        <w:t xml:space="preserve">doğanın kendi sürecini</w:t>
      </w:r>
      <w:r>
        <w:rPr>
          <w:rFonts w:ascii="Times New Roman" w:cs="Times New Roman" w:eastAsia="Times New Roman" w:hAnsi="Times New Roman"/>
          <w:b w:val="false"/>
          <w:bCs w:val="false"/>
          <w:i w:val="false"/>
          <w:iCs w:val="false"/>
          <w:sz w:val="24"/>
          <w:szCs w:val="24"/>
        </w:rPr>
        <w:t xml:space="preserve"> adlandırmaktadır. Yazarların çalışmalarına verdikleri başlığın da işaret ettiği gibi, ikincisi birincisi için bir model işlevi görür. Nitekim yazarlar bu iki alan arasındaki bağın hem doğrudan hem dolaylı olduğunu belirtmektedir. Doğrudandır; çünkü canlı organizmaların tasarıma dahil edilmesi, bu organizmaların yaşamını sürdüren süreçlerin göz önünde bulundurulmasını ve yaşadıkları yapılı çevrede bu süreçlere yer açılmasını gerektirir. Dolaylıdır; çünkü biyolojik ilkeler daha yüksek düzeyde karşılıklı bağlantı ve karmaşıklıkla çalışmayı olanaklı kıldığında, tasarımla başarılabileceklerin kapsamı genişler.</w:t>
      </w:r>
    </w:p>
    <w:p>
      <w:pPr>
        <w:spacing w:after="160" w:line="360"/>
        <w:jc w:val="both"/>
      </w:pPr>
      <w:r>
        <w:rPr>
          <w:rFonts w:ascii="Times New Roman" w:cs="Times New Roman" w:eastAsia="Times New Roman" w:hAnsi="Times New Roman"/>
          <w:sz w:val="24"/>
          <w:szCs w:val="24"/>
        </w:rPr>
        <w:t xml:space="preserve">Yazarlar bu modelden dört ilke türetmektedir: çeşitlilik; biçimin karmaşıklığı ve özgüllüğü; dirençlilik yoluyla dayanıklılık; geri besleme ve uyarlanma. İlkelerin kendi başlarına yeni olmadığını, modern inşaat sanayisinin doğuşundan önce mimarlığın uzun süre bu stratejilerle üretildiğini ve hem tarihsel hem güncel vernaküler mimarlığın bu stratejileri büyük ölçüde içerdiğini de belirtmektedirler.</w:t>
      </w:r>
    </w:p>
    <w:p>
      <w:pPr>
        <w:spacing w:after="160" w:line="360"/>
        <w:jc w:val="both"/>
      </w:pPr>
      <w:r>
        <w:rPr>
          <w:rFonts w:ascii="Times New Roman" w:cs="Times New Roman" w:eastAsia="Times New Roman" w:hAnsi="Times New Roman"/>
          <w:b w:val="false"/>
          <w:bCs w:val="false"/>
          <w:i w:val="false"/>
          <w:iCs w:val="false"/>
          <w:sz w:val="24"/>
          <w:szCs w:val="24"/>
        </w:rPr>
        <w:t xml:space="preserve">Bu çerçeve, biyotasarımı biyomimikriden ayıran asıl noktayı görünür kılmaktadır: ilişki bir </w:t>
      </w:r>
      <w:r>
        <w:rPr>
          <w:rFonts w:ascii="Times New Roman" w:cs="Times New Roman" w:eastAsia="Times New Roman" w:hAnsi="Times New Roman"/>
          <w:b/>
          <w:bCs/>
          <w:i w:val="false"/>
          <w:iCs w:val="false"/>
          <w:sz w:val="24"/>
          <w:szCs w:val="24"/>
        </w:rPr>
        <w:t xml:space="preserve">taklit</w:t>
      </w:r>
      <w:r>
        <w:rPr>
          <w:rFonts w:ascii="Times New Roman" w:cs="Times New Roman" w:eastAsia="Times New Roman" w:hAnsi="Times New Roman"/>
          <w:b w:val="false"/>
          <w:bCs w:val="false"/>
          <w:i w:val="false"/>
          <w:iCs w:val="false"/>
          <w:sz w:val="24"/>
          <w:szCs w:val="24"/>
        </w:rPr>
        <w:t xml:space="preserve"> ilişkisi değil, bir </w:t>
      </w:r>
      <w:r>
        <w:rPr>
          <w:rFonts w:ascii="Times New Roman" w:cs="Times New Roman" w:eastAsia="Times New Roman" w:hAnsi="Times New Roman"/>
          <w:b/>
          <w:bCs/>
          <w:i w:val="false"/>
          <w:iCs w:val="false"/>
          <w:sz w:val="24"/>
          <w:szCs w:val="24"/>
        </w:rPr>
        <w:t xml:space="preserve">ilke çıkarma</w:t>
      </w:r>
      <w:r>
        <w:rPr>
          <w:rFonts w:ascii="Times New Roman" w:cs="Times New Roman" w:eastAsia="Times New Roman" w:hAnsi="Times New Roman"/>
          <w:b w:val="false"/>
          <w:bCs w:val="false"/>
          <w:i w:val="false"/>
          <w:iCs w:val="false"/>
          <w:sz w:val="24"/>
          <w:szCs w:val="24"/>
        </w:rPr>
        <w:t xml:space="preserve"> ilişkisidir. Doğanın biçimleri kopyalanmaz; doğanın biçim üretme mantığı incelenerek tasarım süreci yeniden kurgulanır.</w:t>
      </w:r>
    </w:p>
    <w:p>
      <w:pPr>
        <w:pStyle w:val="Heading2"/>
        <w:spacing w:after="180" w:before="320" w:line="360"/>
      </w:pPr>
      <w:r>
        <w:rPr>
          <w:rFonts w:ascii="Times New Roman" w:cs="Times New Roman" w:eastAsia="Times New Roman" w:hAnsi="Times New Roman"/>
          <w:b/>
          <w:bCs/>
          <w:sz w:val="26"/>
          <w:szCs w:val="26"/>
        </w:rPr>
        <w:t xml:space="preserve">2.4. Biyoloji ile Tasarımın Kesişme Biçimleri</w:t>
      </w:r>
    </w:p>
    <w:p>
      <w:pPr>
        <w:spacing w:after="160" w:line="360"/>
        <w:jc w:val="both"/>
      </w:pPr>
      <w:r>
        <w:rPr>
          <w:rFonts w:ascii="Times New Roman" w:cs="Times New Roman" w:eastAsia="Times New Roman" w:hAnsi="Times New Roman"/>
          <w:sz w:val="24"/>
          <w:szCs w:val="24"/>
        </w:rPr>
        <w:t xml:space="preserve">Biyotasarımın tek bir pratik olmadığı, kendi içinde farklılaşan yaklaşımlar barındırdığı da belirtilmelidir. Camere ve Karana (2018), biyoloji ile tasarımı birbiriyle verimlendiren girişimleri dört kategoride toplamaktadır: artırılmış biyoloji, biyotasarım kurgusu, dijital biyofabrikasyon ve büyüyen tasarım.</w:t>
      </w:r>
    </w:p>
    <w:p>
      <w:pPr>
        <w:spacing w:after="160" w:line="360"/>
        <w:jc w:val="both"/>
      </w:pPr>
      <w:r>
        <w:rPr>
          <w:rFonts w:ascii="Times New Roman" w:cs="Times New Roman" w:eastAsia="Times New Roman" w:hAnsi="Times New Roman"/>
          <w:b w:val="false"/>
          <w:bCs w:val="false"/>
          <w:i w:val="false"/>
          <w:iCs w:val="false"/>
          <w:sz w:val="24"/>
          <w:szCs w:val="24"/>
        </w:rPr>
        <w:t xml:space="preserve">Artırılmış biyolojide tasarımcılar, açlık, hastalık ve enerji kıtlığı gibi güncel toplumsal sorunlarla baş etmeye yardımcı olabilecek yeni biyolojik organizmalar tasarlamak üzere hücrelerin yeniden mühendisliğini amaçlar. Biyotasarım kurgusunda tasarımcılar spekülatif bir yaklaşımla, biyoteknolojik geleceklerin sonuçlarını bunlar gerçekleşmeden önce tartışmaya açar; tasarımın çıktısı bir senaryo ya da deneyimsel prototiptir. Dijital biyofabrikasyonda biyolojik araçlar ileri hesaplama teknolojileriyle birleştirilir ve tasarım süreci bu araçlardan belirgin biçimde etkilenir. Büyüyen tasarım ise diğerlerinden uygulamalı niteliğiyle ayrılır; ürün tasarımı için yeni malzemelerin geliştirilmesine odaklanır ve çıktısı çoğunlukla yakın gelecekte tüketim ürünlerinde kullanılabilecek niteliktedir. Yazarların vurguladığı ayırt edici nokta şudur: malzeme büyüten tasarımcılar sentetik biyolojinin sunduğu çözümleri aramaz ve </w:t>
      </w:r>
      <w:r>
        <w:rPr>
          <w:rFonts w:ascii="Times New Roman" w:cs="Times New Roman" w:eastAsia="Times New Roman" w:hAnsi="Times New Roman"/>
          <w:b/>
          <w:bCs/>
          <w:i w:val="false"/>
          <w:iCs w:val="false"/>
          <w:sz w:val="24"/>
          <w:szCs w:val="24"/>
        </w:rPr>
        <w:t xml:space="preserve">değiştirilmemiş biyolojik organizmalarla</w:t>
      </w:r>
      <w:r>
        <w:rPr>
          <w:rFonts w:ascii="Times New Roman" w:cs="Times New Roman" w:eastAsia="Times New Roman" w:hAnsi="Times New Roman"/>
          <w:b w:val="false"/>
          <w:bCs w:val="false"/>
          <w:i w:val="false"/>
          <w:iCs w:val="false"/>
          <w:sz w:val="24"/>
          <w:szCs w:val="24"/>
        </w:rPr>
        <w:t xml:space="preserve"> çalışır.</w:t>
      </w:r>
    </w:p>
    <w:p>
      <w:pPr>
        <w:spacing w:after="160" w:line="360"/>
        <w:jc w:val="both"/>
      </w:pPr>
      <w:r>
        <w:rPr>
          <w:rFonts w:ascii="Times New Roman" w:cs="Times New Roman" w:eastAsia="Times New Roman" w:hAnsi="Times New Roman"/>
          <w:sz w:val="24"/>
          <w:szCs w:val="24"/>
        </w:rPr>
        <w:t xml:space="preserve">Goidea, Floudas ve Andréen (2022) ise alanı daha kapsayıcı bir ifadeyle, “canlı maddeyle, canlı madde olarak ya da canlı madde için tasarlamak” biçiminde tanımlamaktadır. Bu tanım, yukarıdaki dört kategorinin ortak paydasını — organizmanın tasarım sürecindeki konumunun değişkenliğini — tek bir cümlede toplamaktadır.</w:t>
      </w:r>
    </w:p>
    <w:p>
      <w:pPr>
        <w:pStyle w:val="Heading2"/>
        <w:spacing w:after="180" w:before="320" w:line="360"/>
      </w:pPr>
      <w:r>
        <w:rPr>
          <w:rFonts w:ascii="Times New Roman" w:cs="Times New Roman" w:eastAsia="Times New Roman" w:hAnsi="Times New Roman"/>
          <w:b/>
          <w:bCs/>
          <w:sz w:val="26"/>
          <w:szCs w:val="26"/>
        </w:rPr>
        <w:t xml:space="preserve">2.5. Tasarımcının Rolünün Dönüşümü ve Eleştirel Bir Uyarı</w:t>
      </w:r>
    </w:p>
    <w:p>
      <w:pPr>
        <w:spacing w:after="160" w:line="360"/>
        <w:jc w:val="both"/>
      </w:pPr>
      <w:r>
        <w:rPr>
          <w:rFonts w:ascii="Times New Roman" w:cs="Times New Roman" w:eastAsia="Times New Roman" w:hAnsi="Times New Roman"/>
          <w:sz w:val="24"/>
          <w:szCs w:val="24"/>
        </w:rPr>
        <w:t xml:space="preserve">Bu kavramsal çerçevenin tasarım pratiğindeki karşılığı, tasarımcının konumunun değişmesidir. Camere ve Karana (2018), geleneksel olarak tasarımcıların ürün kavramlarını somutlaştırmak için malzeme seçtiklerini; buna karşılık canlı organizmalarla üretilen malzemeler söz konusu olduğunda tasarımcıların giderek malzemenin erken geliştirme aşamalarına katıldığını belirtmekte ve bu geçişi malzeme seçiminden malzeme tasarımına doğru bir kayma olarak adlandırmaktadır.</w:t>
      </w:r>
    </w:p>
    <w:p>
      <w:pPr>
        <w:spacing w:after="160" w:line="360"/>
        <w:jc w:val="both"/>
      </w:pPr>
      <w:r>
        <w:rPr>
          <w:rFonts w:ascii="Times New Roman" w:cs="Times New Roman" w:eastAsia="Times New Roman" w:hAnsi="Times New Roman"/>
          <w:sz w:val="24"/>
          <w:szCs w:val="24"/>
        </w:rPr>
        <w:t xml:space="preserve">Bu dönüşümün sınırları da vardır. Chayaamor-Heil, Houette, Demirci ve Badarnah (2024), canlı organizmalardan yeni malzeme ya da tasarım bileşeni geliştirilmesinin, ölçek, çok katmanlılık ve gereksinimlerden kaynaklanan kısıtlar nedeniyle mimarlık ve inşaatta, tekstil, moda ve ürün tasarımına kıyasla daha güç gerçekleştiğini ortaya koymaktadır.</w:t>
      </w:r>
    </w:p>
    <w:p>
      <w:pPr>
        <w:spacing w:after="160" w:line="360"/>
        <w:jc w:val="both"/>
      </w:pPr>
      <w:r>
        <w:rPr>
          <w:rFonts w:ascii="Times New Roman" w:cs="Times New Roman" w:eastAsia="Times New Roman" w:hAnsi="Times New Roman"/>
          <w:sz w:val="24"/>
          <w:szCs w:val="24"/>
        </w:rPr>
        <w:t xml:space="preserve">Son olarak, biyolojinin bir sürdürülebilirlik modeli olarak alınmasına yönelik eleştirel bir uyarı gereklidir. O’Rourke ve Seepersad (2015), biyolojik organizmaların sunduğu çevresel avantajlara ilişkin iddiaların çoğunun sıklıkla — hatta genel olarak — doğru olduğunu; ancak incelenen her çevresel avantaj için önemli istisnalar bulunduğunu ve bazı biyolojik organizma, özellik ya da süreçlerin çevresel sürdürülebilirlik açısından kötü modeller oluşturacağını göstermektedir. Yazarlara göre ekotasarım sürecinde biyolojik benzeşimleri ilham kaynağı olarak seçen tasarımcıların, bu avantajların biyolojinin tamamı için geçerli olmadığının ve bu istisnaların varlığının farkında olması gerekir. Bu uyarı, izleyen başlıklarda ele alınacak malzeme ve döngüsellik tartışmalarının da ön koşulunu oluşturmaktadır.</w:t>
      </w:r>
    </w:p>
    <w:p>
      <w:pPr>
        <w:spacing w:after="140" w:before="420" w:line="240"/>
      </w:pPr>
      <w:r>
        <w:rPr>
          <w:rFonts w:ascii="Times New Roman" w:cs="Times New Roman" w:eastAsia="Times New Roman" w:hAnsi="Times New Roman"/>
          <w:b/>
          <w:bCs/>
          <w:sz w:val="22"/>
          <w:szCs w:val="22"/>
        </w:rPr>
        <w:t xml:space="preserve">Tablo 1. </w:t>
      </w:r>
      <w:r>
        <w:rPr>
          <w:rFonts w:ascii="Times New Roman" w:cs="Times New Roman" w:eastAsia="Times New Roman" w:hAnsi="Times New Roman"/>
          <w:sz w:val="22"/>
          <w:szCs w:val="22"/>
        </w:rPr>
        <w:t xml:space="preserve">Doğa ile tasarım arasındaki ilişkiyi tanımlayan kavramlar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2150"/>
        <w:gridCol w:w="1726"/>
      </w:tblGrid>
      <w:tr>
        <w:trPr>
          <w:tblHeader/>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Kavram</w:t>
            </w:r>
          </w:p>
        </w:tc>
        <w:tc>
          <w:tcPr>
            <w:tcW w:type="dxa" w:w="330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Doğayla kurduğu ilişki</w:t>
            </w:r>
          </w:p>
        </w:tc>
        <w:tc>
          <w:tcPr>
            <w:tcW w:type="dxa" w:w="21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Odağı</w:t>
            </w:r>
          </w:p>
        </w:tc>
        <w:tc>
          <w:tcPr>
            <w:tcW w:type="dxa" w:w="17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Kaynak</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Biyomimikri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Biyolojik süreçleri teknolojilere çevirir; biyolojik malzeme kullanımına işaret etmez</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Süreç ve strateji aktarımı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Kırbaş Akyürek vd. (2020)</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Biyoesinlenme</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Biyolojik olmayan bilim ve teknoloji araştırmalarının benzetimini de içerir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Geniş esin alanı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Kırbaş Akyürek vd. (2020)</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Biyomerkezcilik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Doğal çevre ile insan arasındaki ilişkiye odaklanır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Etik ve ilişkisel konum</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Kırbaş Akyürek vd. (2020)</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Biyofili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İnsanın doğayla bağ kurarak duygusal ve biyolojik gereksinimlerini karşılamasını amaçlar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Kullanıcı ve mekân deneyimi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Kırbaş Akyürek vd. (2020)</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Biyomimarlık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Doğanın hem canlı hem cansız ögelerinden esinlenmeyi kapsar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Yapı ölçeği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Kırbaş Akyürek vd. (2020)</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Biyolojik 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Doğanın kendi süreci: genotipi fenotipe bağlayan morfogenetik süreçler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Model olarak doğa</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Andréen ve Goidea (2022)</w:t>
            </w:r>
          </w:p>
        </w:tc>
      </w:tr>
      <w:tr>
        <w:trPr>
          <w:tblHeader w:val="off"/>
        </w:trPr>
        <w:tc>
          <w:tcPr>
            <w:tcW w:type="dxa" w:w="18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i w:val="false"/>
                <w:iCs w:val="false"/>
                <w:sz w:val="20"/>
                <w:szCs w:val="20"/>
              </w:rPr>
              <w:t xml:space="preserve">Biyotasarım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Biyolojik malzeme ve/veya yaklaşımları insan uygulamaları için kullanır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val="false"/>
                <w:iCs w:val="false"/>
                <w:sz w:val="20"/>
                <w:szCs w:val="20"/>
              </w:rPr>
              <w:t xml:space="preserve">Tasarımcının pratiği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i/>
                <w:iCs/>
                <w:sz w:val="20"/>
                <w:szCs w:val="20"/>
              </w:rPr>
              <w:t xml:space="preserve">Andréen ve Goidea (2022)</w:t>
            </w:r>
          </w:p>
        </w:tc>
      </w:tr>
    </w:tbl>
    <w:p>
      <w:pPr>
        <w:spacing w:after="400" w:before="140" w:line="240"/>
      </w:pPr>
      <w:r>
        <w:rPr>
          <w:rFonts w:ascii="Times New Roman" w:cs="Times New Roman" w:eastAsia="Times New Roman" w:hAnsi="Times New Roman"/>
          <w:i/>
          <w:iCs/>
          <w:sz w:val="18"/>
          <w:szCs w:val="18"/>
        </w:rPr>
        <w:t xml:space="preserve">Tabloda yer alan kavram tanımları, belirtilen kaynakların kendi sentezlerine dayanmaktadır.</w:t>
      </w:r>
    </w:p>
    <w:p>
      <w:pPr>
        <w:pStyle w:val="Heading1"/>
        <w:spacing w:after="180" w:before="44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Camere, S., &amp;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&amp;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&amp;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Kırbaş Akyürek, B., Ciravoğlu, A., Mohammadi, M., &amp; Yeğenoğlu, H. (2020). Building design in between living and manufactured: A research on terminology. </w:t>
      </w:r>
      <w:r>
        <w:rPr>
          <w:rFonts w:ascii="Times New Roman" w:cs="Times New Roman" w:eastAsia="Times New Roman" w:hAnsi="Times New Roman"/>
          <w:i/>
          <w:iCs/>
          <w:sz w:val="24"/>
          <w:szCs w:val="24"/>
        </w:rPr>
        <w:t xml:space="preserve">Online Journal of Art and Design, 8</w:t>
      </w:r>
      <w:r>
        <w:rPr>
          <w:rFonts w:ascii="Times New Roman" w:cs="Times New Roman" w:eastAsia="Times New Roman" w:hAnsi="Times New Roman"/>
          <w:i w:val="false"/>
          <w:iCs w:val="false"/>
          <w:sz w:val="24"/>
          <w:szCs w:val="24"/>
        </w:rPr>
        <w:t xml:space="preserve">(3), 75–90.</w:t>
      </w:r>
    </w:p>
    <w:p>
      <w:pPr>
        <w:spacing w:after="140" w:line="360"/>
        <w:ind w:left="567" w:hanging="567"/>
        <w:jc w:val="left"/>
      </w:pPr>
      <w:r>
        <w:rPr>
          <w:rFonts w:ascii="Times New Roman" w:cs="Times New Roman" w:eastAsia="Times New Roman" w:hAnsi="Times New Roman"/>
          <w:i w:val="false"/>
          <w:iCs w:val="false"/>
          <w:sz w:val="24"/>
          <w:szCs w:val="24"/>
        </w:rPr>
        <w:t xml:space="preserve">Myers, W. (2018). </w:t>
      </w:r>
      <w:r>
        <w:rPr>
          <w:rFonts w:ascii="Times New Roman" w:cs="Times New Roman" w:eastAsia="Times New Roman" w:hAnsi="Times New Roman"/>
          <w:i/>
          <w:iCs/>
          <w:sz w:val="24"/>
          <w:szCs w:val="24"/>
        </w:rPr>
        <w:t xml:space="preserve">Bio design</w:t>
      </w:r>
      <w:r>
        <w:rPr>
          <w:rFonts w:ascii="Times New Roman" w:cs="Times New Roman" w:eastAsia="Times New Roman" w:hAnsi="Times New Roman"/>
          <w:i w:val="false"/>
          <w:iCs w:val="false"/>
          <w:sz w:val="24"/>
          <w:szCs w:val="24"/>
        </w:rPr>
        <w:t xml:space="preserve">. London: Thames &amp; Hudson.</w:t>
      </w:r>
    </w:p>
    <w:p>
      <w:pPr>
        <w:spacing w:after="140" w:line="360"/>
        <w:ind w:left="567" w:hanging="567"/>
        <w:jc w:val="left"/>
      </w:pPr>
      <w:r>
        <w:rPr>
          <w:rFonts w:ascii="Times New Roman" w:cs="Times New Roman" w:eastAsia="Times New Roman" w:hAnsi="Times New Roman"/>
          <w:i w:val="false"/>
          <w:iCs w:val="false"/>
          <w:sz w:val="24"/>
          <w:szCs w:val="24"/>
        </w:rPr>
        <w:t xml:space="preserve">O’Rourke, J., &amp;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iddiaların tamamı, repoda tam metni bulunan kaynaklardan doğrulanmıştır. Bir istisna vardır: Myers (2018) ile ilgili iddia. Bu iddia, Kırbaş Akyürek vd.’nin (2020) Myers’a ilişkin açık ifadesinden alınmıştır; kitabın kendisi görülmemiştir. Künye aynı çalışmanın kaynakçasından doğrulanmıştır. TESLİMDEN ÖNCE KİTAP TEMİN EDİLİP İDDİA KONTROL EDİLMELİDİR. Öncelik: birinci.</w:t>
      </w:r>
    </w:p>
    <w:p>
      <w:pPr>
        <w:spacing w:after="120" w:line="300"/>
        <w:ind w:left="400" w:hanging="400"/>
        <w:jc w:val="both"/>
      </w:pPr>
      <w:r>
        <w:rPr>
          <w:rFonts w:ascii="Times New Roman" w:cs="Times New Roman" w:eastAsia="Times New Roman" w:hAnsi="Times New Roman"/>
          <w:sz w:val="20"/>
          <w:szCs w:val="20"/>
        </w:rPr>
        <w:t xml:space="preserve">2. Kırbaş Akyürek vd.’nin (2020) biyomimikri, biyoesinlenme, biyomerkezcilik, biyofili ve biyomimarlık tanımları için dayandıkları kaynaklar (Marshall ve Lozeva; Speck vd.; Mathews; Caperna; Ripley ve Bhushan) metinde ayrıca atıflanmamış; ilgili ifadeler Kırbaş Akyürek vd.’nin kendi sentezi olarak sunulmuştur. Bu tercih hem ikincil atıf yığılmasını önlemekte hem de okunmamış kaynaklara doğrudan atıf yapılmasını engellemektedir. Tanımlar doğrudan atıfla verilmek istenirse künyeler aynı çalışmanın kaynakçasından alınabilir.</w:t>
      </w:r>
    </w:p>
    <w:p>
      <w:pPr>
        <w:spacing w:after="120" w:line="300"/>
        <w:ind w:left="400" w:hanging="400"/>
        <w:jc w:val="both"/>
      </w:pPr>
      <w:r>
        <w:rPr>
          <w:rFonts w:ascii="Times New Roman" w:cs="Times New Roman" w:eastAsia="Times New Roman" w:hAnsi="Times New Roman"/>
          <w:sz w:val="20"/>
          <w:szCs w:val="20"/>
        </w:rPr>
        <w:t xml:space="preserve">3. SAYFA ARALIĞI UYARISI: Kırbaş Akyürek vd. (2020) künyesinde sayfa aralığı 75–90 olarak verilmiştir. Başlangıç sayfası (75) metinden kesin olarak doğrulanmıştır; son sayfa numarası metin çıkarımından kesinleştirilememiştir (son görünen sayfa işareti 89 olup kaynakça bu sayfadan sonra da devam etmektedir). YAYIMCI SAYFASINDAN TEYİT EDİLMELİDİR.</w:t>
      </w:r>
    </w:p>
    <w:p>
      <w:pPr>
        <w:spacing w:after="120" w:line="300"/>
        <w:ind w:left="400" w:hanging="400"/>
        <w:jc w:val="both"/>
      </w:pPr>
      <w:r>
        <w:rPr>
          <w:rFonts w:ascii="Times New Roman" w:cs="Times New Roman" w:eastAsia="Times New Roman" w:hAnsi="Times New Roman"/>
          <w:sz w:val="20"/>
          <w:szCs w:val="20"/>
        </w:rPr>
        <w:t xml:space="preserve">4. O’Rourke ve Seepersad (2015) künyesinde bildiri kitabı cilt ve sayfa numarası bulunmamaktadır; makalenin kendi künye sayfasında bu alanlar şablon hâlinde bırakılmıştır. Konferans bildiri kitabından tamamlanmalıdır.</w:t>
      </w:r>
    </w:p>
    <w:p>
      <w:pPr>
        <w:spacing w:after="120" w:line="300"/>
        <w:ind w:left="400" w:hanging="400"/>
        <w:jc w:val="both"/>
      </w:pPr>
      <w:r>
        <w:rPr>
          <w:rFonts w:ascii="Times New Roman" w:cs="Times New Roman" w:eastAsia="Times New Roman" w:hAnsi="Times New Roman"/>
          <w:sz w:val="20"/>
          <w:szCs w:val="20"/>
        </w:rPr>
        <w:t xml:space="preserve">5. Ginsberg ve Chieza’nın (2018) “design of, with, or from biology” ayrımı plana göre bu başlıkta yer alacaktı; kaynak temin edilemediği için metne ALINMAMIŞTIR. Temin edilirse 2.4’ün sonuna, Goidea vd.’nin tanımıyla birlikte bir paragraf olarak eklenebilir.</w:t>
      </w:r>
    </w:p>
    <w:p>
      <w:pPr>
        <w:spacing w:after="120" w:line="300"/>
        <w:ind w:left="400" w:hanging="400"/>
        <w:jc w:val="both"/>
      </w:pPr>
      <w:r>
        <w:rPr>
          <w:rFonts w:ascii="Times New Roman" w:cs="Times New Roman" w:eastAsia="Times New Roman" w:hAnsi="Times New Roman"/>
          <w:sz w:val="20"/>
          <w:szCs w:val="20"/>
        </w:rPr>
        <w:t xml:space="preserve">6. Benyus (1997) metne alınmamıştır; biyomimikri tanımı Kırbaş Akyürek vd. (2020) üzerinden verilmiştir. Doğrudan atıf istenirse kitap temin edilmelidir.</w:t>
      </w:r>
    </w:p>
    <w:p>
      <w:pPr>
        <w:spacing w:after="120" w:line="300"/>
        <w:ind w:left="400" w:hanging="400"/>
        <w:jc w:val="both"/>
      </w:pPr>
      <w:r>
        <w:rPr>
          <w:rFonts w:ascii="Times New Roman" w:cs="Times New Roman" w:eastAsia="Times New Roman" w:hAnsi="Times New Roman"/>
          <w:sz w:val="20"/>
          <w:szCs w:val="20"/>
        </w:rPr>
        <w:t xml:space="preserve">7. HACİM: Gövde yaklaşık 960 kelimedir; plandaki hedef 950’ydi. Kısaltma gerekmemektedir.</w:t>
      </w:r>
    </w:p>
    <w:p>
      <w:pPr>
        <w:spacing w:after="120" w:line="300"/>
        <w:ind w:left="400" w:hanging="400"/>
        <w:jc w:val="both"/>
      </w:pPr>
      <w:r>
        <w:rPr>
          <w:rFonts w:ascii="Times New Roman" w:cs="Times New Roman" w:eastAsia="Times New Roman" w:hAnsi="Times New Roman"/>
          <w:sz w:val="20"/>
          <w:szCs w:val="20"/>
        </w:rPr>
        <w:t xml:space="preserve">8. Bu alt bölümde yazarın kendi doktora tezinden hiçbir veri veya atıf kullanılmamıştır.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Biyotasarım Kavramı ve Tasarım Paradigmasının Dönüşümü</dc:title>
  <dc:creator>Betül Ünal</dc:creator>
  <dc:description>İç Mimarlıkta Sürdürülebilir Malzeme Seçimi ve Döngüsel Tasarım — 2. bölüm taslağı</dc:description>
  <cp:lastModifiedBy>Un-named</cp:lastModifiedBy>
  <cp:revision>1</cp:revision>
  <dcterms:created xsi:type="dcterms:W3CDTF">2026-10-01T08:18:36.453Z</dcterms:created>
  <dcterms:modified xsi:type="dcterms:W3CDTF">2026-10-01T08:18:36.456Z</dcterms:modified>
</cp:coreProperties>
</file>

<file path=docProps/custom.xml><?xml version="1.0" encoding="utf-8"?>
<Properties xmlns="http://schemas.openxmlformats.org/officeDocument/2006/custom-properties" xmlns:vt="http://schemas.openxmlformats.org/officeDocument/2006/docPropsVTypes"/>
</file>