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0"/>
          <w:szCs w:val="30"/>
        </w:rPr>
        <w:t xml:space="preserve">İÇ MİMARLIKTA SÜRDÜRÜLEBİLİR MALZEME SEÇİMİ VE DÖNGÜSEL TASARIM</w:t>
      </w:r>
    </w:p>
    <w:p>
      <w:pPr>
        <w:spacing w:after="520" w:line="360"/>
        <w:jc w:val="center"/>
      </w:pPr>
      <w:r>
        <w:rPr>
          <w:rFonts w:ascii="Times New Roman" w:cs="Times New Roman" w:eastAsia="Times New Roman" w:hAnsi="Times New Roman"/>
          <w:sz w:val="24"/>
          <w:szCs w:val="24"/>
        </w:rPr>
        <w:t xml:space="preserve">Betül Ünal</w:t>
      </w:r>
    </w:p>
    <w:p>
      <w:pPr>
        <w:pStyle w:val="Heading1"/>
        <w:spacing w:after="220" w:before="440" w:line="360"/>
      </w:pPr>
      <w:r>
        <w:rPr>
          <w:rFonts w:ascii="Times New Roman" w:cs="Times New Roman" w:eastAsia="Times New Roman" w:hAnsi="Times New Roman"/>
          <w:b/>
          <w:bCs/>
          <w:sz w:val="26"/>
          <w:szCs w:val="26"/>
        </w:rPr>
        <w:t xml:space="preserve">ÖZ</w:t>
      </w:r>
    </w:p>
    <w:p>
      <w:pPr>
        <w:spacing w:after="200" w:line="360"/>
        <w:jc w:val="both"/>
      </w:pPr>
      <w:r>
        <w:rPr>
          <w:rFonts w:ascii="Times New Roman" w:cs="Times New Roman" w:eastAsia="Times New Roman" w:hAnsi="Times New Roman"/>
          <w:sz w:val="24"/>
          <w:szCs w:val="24"/>
        </w:rPr>
        <w:t xml:space="preserve">Yapılı çevrenin kaynak tüketimi ve atık üretimi, malzeme kararlarının yeniden düşünülmesini zorunlu kılmaktadır. Bu bağlamda biyolojik temelli malzemeler sıklıkla geleneksel malzemelerin sürdürülebilir birer alternatifi olarak sunulmakta; ancak bu kurgu malzeme kararının yapısını değiştirmediği için sınırlı bir dönüşüm üretmektedir. Bu bölüm, iç mimarlıkta biyolojik temelli malzeme seçimini kuramsal bir çerçevede ele almakta ve biyotasarımın yalnızca yeni malzeme seçenekleri sunmakla kalmayıp malzeme seçiminin ölçütlerini, malzemenin yaşam döngüsünü ve tasarımcının kaynak, üretim, kullanım ve atıkla kurduğu ilişkiyi yeniden tanımladığını ileri sürmektedir. Çalışma öncelikle biyotasarım kavramını komşu kavramlardan ayırmakta; ardından biyolojik temelli malzemeleri doğanın tasarım sürecine katılım düzeyine göre sınıflandırmaktadır. Döngüsellik tartışmasında, biyolojik kökenin tek başına ne sürdürülebilirlik ne döngüsellik güvencesi oluşturduğu gösterilmekte; döngüselliğin malzemenin kökeninde değil bileşiminde, birleşiminde ve ömür sonu senaryosunda kararlaştığı ortaya konmaktadır. Bölüm ayrıca adaptasyon, değişkenlik ve zamansallık özelliklerini dirençlilik kavramı üzerinden değerlendirmekte ve bu malzemelerin fiilî uygulama alanının büyük ölçüde iç mekân olduğunu göstermektedir. Son olarak, malzeme düzeyindeki yerleşik ölçütleri koruyan ve bunlara iç mekân ölçeğine özgü iki boyut — deneyimsel performans ile dirençlilik kapasitesi — ekleyen iki katmanlı bir değerlendirme çerçevesi önerilmektedir.</w:t>
      </w:r>
    </w:p>
    <w:p>
      <w:pPr>
        <w:spacing w:after="0" w:line="360"/>
        <w:jc w:val="both"/>
      </w:pPr>
      <w:r>
        <w:rPr>
          <w:rFonts w:ascii="Times New Roman" w:cs="Times New Roman" w:eastAsia="Times New Roman" w:hAnsi="Times New Roman"/>
          <w:b/>
          <w:bCs/>
          <w:i w:val="false"/>
          <w:iCs w:val="false"/>
          <w:sz w:val="24"/>
          <w:szCs w:val="24"/>
        </w:rPr>
        <w:t xml:space="preserve">Anahtar kelimeler: </w:t>
      </w:r>
      <w:r>
        <w:rPr>
          <w:rFonts w:ascii="Times New Roman" w:cs="Times New Roman" w:eastAsia="Times New Roman" w:hAnsi="Times New Roman"/>
          <w:b w:val="false"/>
          <w:bCs w:val="false"/>
          <w:i w:val="false"/>
          <w:iCs w:val="false"/>
          <w:sz w:val="24"/>
          <w:szCs w:val="24"/>
        </w:rPr>
        <w:t xml:space="preserve">biyotasarım, biyolojik temelli malzeme, döngüsel tasarım, malzeme seçimi, mekânsal dirençlilik, iç mimarlık</w:t>
      </w:r>
    </w:p>
    <w:p>
      <w:pPr>
        <w:pStyle w:val="Heading1"/>
        <w:spacing w:after="220" w:before="440" w:line="360"/>
      </w:pPr>
      <w:r>
        <w:rPr>
          <w:rFonts w:ascii="Times New Roman" w:cs="Times New Roman" w:eastAsia="Times New Roman" w:hAnsi="Times New Roman"/>
          <w:b/>
          <w:bCs/>
          <w:sz w:val="26"/>
          <w:szCs w:val="26"/>
        </w:rPr>
        <w:t xml:space="preserve">1. GİRİŞ</w:t>
      </w:r>
    </w:p>
    <w:p>
      <w:pPr>
        <w:spacing w:after="160" w:line="360"/>
        <w:jc w:val="both"/>
      </w:pPr>
      <w:r>
        <w:rPr>
          <w:rFonts w:ascii="Times New Roman" w:cs="Times New Roman" w:eastAsia="Times New Roman" w:hAnsi="Times New Roman"/>
          <w:sz w:val="24"/>
          <w:szCs w:val="24"/>
        </w:rPr>
        <w:t xml:space="preserve">İnsan etkinliğinin yeryüzünün çevresel sistemleri üzerindeki etkisi, bugün yeni bir jeolojik dönem — insan egemenliğindeki Antroposen — olarak adlandırılacak düzeye ulaşmıştır (Heymans ve diğ., 2019). Bu dönüşümün en belirgin taşıyıcılarından biri yapılı çevredir. Edalat (2026), yapı sektörünün diğer tüm endüstriyel sektörlerle karşılaştırıldığında doğal çevre üzerinde en önemli etkiyi yarattığını; sektörün küresel karbondioksit salımının yaklaşık %39’undan sorumlu olduğunu, ham maddelerin yaklaşık %40’ını tükettiğini ve inşaat ile yıkım atıkları yoluyla katı atığın en az %30’unu ürettiğini aktarmaktadır. Yazar ayrıca 2024 yılında kritik 1,5 °C ısınma eşiğinin ilk kez aşıldığını vurgulamaktadır.</w:t>
      </w:r>
    </w:p>
    <w:p>
      <w:pPr>
        <w:spacing w:after="160" w:line="360"/>
        <w:jc w:val="both"/>
      </w:pPr>
      <w:r>
        <w:rPr>
          <w:rFonts w:ascii="Times New Roman" w:cs="Times New Roman" w:eastAsia="Times New Roman" w:hAnsi="Times New Roman"/>
          <w:sz w:val="24"/>
          <w:szCs w:val="24"/>
        </w:rPr>
        <w:t xml:space="preserve">Bu etkinin kaynağı yalnızca ölçek değil, üretim mantığıdır. Chayaamor-Heil ve diğ. (2024), ağırlıklı olarak fosil yakıtların ve ham maddelerin çıkarımına dayanan geleneksel inşaat sektörünün çevre kirliliğine ve doğal kaynakların tükenmesine önemli ölçüde katkıda bulunduğunu belirtmektedir. Benzer biçimde Lee ve diğ. (2022), mevcut fosil temelli ticari ürünlerin doğal kaynak rezervleri ve doğal çevrenin korunması açısından ciddi bir tehdit oluşturduğunu ortaya koymaktadır.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 bu tabloya yönelik yanıtlardan biri olarak gündeme gelmektedir. Bourbia ve diğ. (2023), bu malzemelerin yenilenebilir olma, düşük gömülü enerjiye sahip olma ve ısıl düzenleme kapasitesi gibi avantajlar sunduğunu belirtmektedir. Andréen ve Goidea (2022) ise biyomalzemelerin inşaat sektörünün olumsuz ekolojik etkisini azaltmak için potansiyel bir araç oluşturduğunu; ancak bu potansiyelin en üst düzeye çıkarılabilmesi için </w:t>
      </w:r>
      <w:r>
        <w:rPr>
          <w:rFonts w:ascii="Times New Roman" w:cs="Times New Roman" w:eastAsia="Times New Roman" w:hAnsi="Times New Roman"/>
          <w:b/>
          <w:bCs/>
          <w:i w:val="false"/>
          <w:iCs w:val="false"/>
          <w:sz w:val="24"/>
          <w:szCs w:val="24"/>
        </w:rPr>
        <w:t xml:space="preserve">geleneksel yapı malzemelerinden önemli ölçüde farklı yaklaşımlar</w:t>
      </w:r>
      <w:r>
        <w:rPr>
          <w:rFonts w:ascii="Times New Roman" w:cs="Times New Roman" w:eastAsia="Times New Roman" w:hAnsi="Times New Roman"/>
          <w:b w:val="false"/>
          <w:bCs w:val="false"/>
          <w:i w:val="false"/>
          <w:iCs w:val="false"/>
          <w:sz w:val="24"/>
          <w:szCs w:val="24"/>
        </w:rPr>
        <w:t xml:space="preserve"> gerektirdiğini vurgulamaktadır. Bu uyarı, bölümün çıkış noktasını oluşturmaktadır: biyolojik temelli bir malzemeyi yerleşik bir malzemenin yerine koymak, tasarım yaklaşımını değiştirmediği sürece sınırlı bir dönüşüm üretir.</w:t>
      </w:r>
    </w:p>
    <w:p>
      <w:pPr>
        <w:spacing w:after="160" w:line="360"/>
        <w:jc w:val="both"/>
      </w:pPr>
      <w:r>
        <w:rPr>
          <w:rFonts w:ascii="Times New Roman" w:cs="Times New Roman" w:eastAsia="Times New Roman" w:hAnsi="Times New Roman"/>
          <w:sz w:val="24"/>
          <w:szCs w:val="24"/>
        </w:rPr>
        <w:t xml:space="preserve">Alanyazın bu sınırlılığı iki düzeyde bildirmektedir. Birincisi kavramsaldır: Kırbaş Akyürek ve diğ. (2020), canlı ve üretilmiş bileşenlerin bir araya gelmesini adlandıran terminolojinin çeşitlilik içinde sıkışıp kaldığını; genel kabul görmüş bir şemsiye terimin bulunmadığını ve bu durumun olgunun anlaşılmasını güçleştirdiğini ortaya koymaktadır. İkincisi uygulamaya ilişkindir: Edalat (2026), biyolojik temelli yapı malzemelerinin biyoekonominin ilkeleriyle örtüşmesine karşın döngüsel ekonomi sistemlerine eklemlenmelerinin sınırlı ve gelişmemiş kaldığını belirtmektedir. Buna bir üçüncü uyarı eklenmelidir: O’Rourke ve Seepersad (2015), biyolojik organizmaların sunduğu çevresel avantajlara ilişkin iddiaların genel olarak doğru olmakla birlikte her avantaj için önemli istisnalar barındırdığını göstermektedir. Dolayısıyla biyolojik köken, sürdürülebilirliğin de döngüselliğin de kendiliğinden güvencesi değildir.</w:t>
      </w:r>
    </w:p>
    <w:p>
      <w:pPr>
        <w:spacing w:after="160" w:line="360"/>
        <w:jc w:val="both"/>
      </w:pPr>
      <w:r>
        <w:rPr>
          <w:rFonts w:ascii="Times New Roman" w:cs="Times New Roman" w:eastAsia="Times New Roman" w:hAnsi="Times New Roman"/>
          <w:sz w:val="24"/>
          <w:szCs w:val="24"/>
        </w:rPr>
        <w:t xml:space="preserve">Bu tartışmanın iç mimarlık açısından özgül bir karşılığı bulunmaktadır. Edalat (2026), ahşap dışı biyolojik temelli yapı malzemelerinin iç ve dış yüzey kaplamaları, ısıl ve akustik yalıtım ile mobilya üretimi gibi uygulamalarda kullanıldığını; buna karşılık sınırlı mekanik dayanımları nedeniyle taşıyıcı yapı elemanlarında nadiren yer aldığını ortaya koymaktadır. Başka bir deyişle bu malzemelerin fiilî uygulama alanı büyük ölçüde iç mekândır. Bu durum iç mimarlığı, söz konusu malzemelerin yapılı çevreye girişinde belirleyici bir ölçek hâline getirmektedir.</w:t>
      </w:r>
    </w:p>
    <w:p>
      <w:pPr>
        <w:spacing w:after="160" w:line="360"/>
        <w:jc w:val="both"/>
      </w:pPr>
      <w:r>
        <w:rPr>
          <w:rFonts w:ascii="Times New Roman" w:cs="Times New Roman" w:eastAsia="Times New Roman" w:hAnsi="Times New Roman"/>
          <w:b w:val="false"/>
          <w:bCs w:val="false"/>
          <w:i w:val="false"/>
          <w:iCs w:val="false"/>
          <w:sz w:val="24"/>
          <w:szCs w:val="24"/>
        </w:rPr>
        <w:t xml:space="preserve">Bölümün temel iddiası şudur: </w:t>
      </w:r>
      <w:r>
        <w:rPr>
          <w:rFonts w:ascii="Times New Roman" w:cs="Times New Roman" w:eastAsia="Times New Roman" w:hAnsi="Times New Roman"/>
          <w:b/>
          <w:bCs/>
          <w:i w:val="false"/>
          <w:iCs w:val="false"/>
          <w:sz w:val="24"/>
          <w:szCs w:val="24"/>
        </w:rPr>
        <w:t xml:space="preserve">biyotasarım ve biyolojik temelli malzemeler, iç mimarlıkta yalnızca daha sürdürülebilir malzeme seçenekleri sunmamakta; malzeme seçiminin ölçütlerini, malzemenin yaşam döngüsünü ve tasarımcının kaynak, üretim, kullanım ve atıkla kurduğu ilişkiyi yeniden tanımlamaktadır.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Buna bağlı olarak bölümün araştırma sorusu şöyle kurulmuştur: </w:t>
      </w:r>
      <w:r>
        <w:rPr>
          <w:rFonts w:ascii="Times New Roman" w:cs="Times New Roman" w:eastAsia="Times New Roman" w:hAnsi="Times New Roman"/>
          <w:b/>
          <w:bCs/>
          <w:i w:val="false"/>
          <w:iCs w:val="false"/>
          <w:sz w:val="24"/>
          <w:szCs w:val="24"/>
        </w:rPr>
        <w:t xml:space="preserve">İç mimarlıkta biyolojik temelli malzeme seçimi, sürdürülebilirlikten döngüselliğe ve döngüsellikten dirençliliğe geçişi sağlayan bir tasarım yaklaşımı olarak nasıl kavramsallaştırılabilir?</w:t>
      </w:r>
    </w:p>
    <w:p>
      <w:pPr>
        <w:spacing w:after="160" w:line="360"/>
        <w:jc w:val="both"/>
      </w:pPr>
      <w:r>
        <w:rPr>
          <w:rFonts w:ascii="Times New Roman" w:cs="Times New Roman" w:eastAsia="Times New Roman" w:hAnsi="Times New Roman"/>
          <w:sz w:val="24"/>
          <w:szCs w:val="24"/>
        </w:rPr>
        <w:t xml:space="preserve">Bölüm bu soruyu yedi adımda ele almaktadır. İkinci başlık biyotasarım kavramını ve komşu kavramlardan ayrımını kurar. Üçüncü başlık biyolojik temelli malzemeleri sınıflandırır ve malzemenin tasarım sürecindeki konumunu tartışır. Dördüncü başlık döngüsel malzeme sistemlerini inceler. Beşinci başlık adaptasyon, değişkenlik ve dirençlilik kavramlarını ele alır. Altıncı başlık tartışmayı iç mekân ölçeğine taşır. Yedinci başlık potansiyelleri ve sınırlılıkları birlikte değerlendirerek bir değerlendirme çerçevesi önerir. Sekizinci başlık bulguları toparlar. Bölüm, seçilmiş kaynaklara dayanan kuramsal bir derleme niteliğindedir; sistematik bir yazın taraması ya da teknik bir performans değerlendirmesi amaçlamamaktadır.</w:t>
      </w:r>
    </w:p>
    <w:p>
      <w:pPr>
        <w:pStyle w:val="Heading1"/>
        <w:spacing w:after="220" w:before="440" w:line="360"/>
      </w:pPr>
      <w:r>
        <w:rPr>
          <w:rFonts w:ascii="Times New Roman" w:cs="Times New Roman" w:eastAsia="Times New Roman" w:hAnsi="Times New Roman"/>
          <w:b/>
          <w:bCs/>
          <w:sz w:val="26"/>
          <w:szCs w:val="26"/>
        </w:rPr>
        <w:t xml:space="preserve">2. BİYOTASARIM KAVRAMI VE TASARIM PARADİGMASININ DÖNÜŞÜMÜ</w:t>
      </w:r>
    </w:p>
    <w:p>
      <w:pPr>
        <w:spacing w:after="160" w:line="360"/>
        <w:jc w:val="both"/>
      </w:pPr>
      <w:r>
        <w:rPr>
          <w:rFonts w:ascii="Times New Roman" w:cs="Times New Roman" w:eastAsia="Times New Roman" w:hAnsi="Times New Roman"/>
          <w:sz w:val="24"/>
          <w:szCs w:val="24"/>
        </w:rPr>
        <w:t xml:space="preserve">Biyoloji ile tasarım arasındaki ilişkiyi tanımlayan kavramlar son yirmi yılda hızla çoğalmış; ancak bu çoğalma ortak bir terminoloji üretmemiştir. Bu başlıkta önce söz konusu belirsizliğin niteliği ortaya konmakta, ardından biyotasarımın biyomimikriden hangi noktada ayrıldığı ve bu ayrımın tasarımcının rolü açısından ne anlama geldiği tartışılmaktadır.</w:t>
      </w:r>
    </w:p>
    <w:p>
      <w:pPr>
        <w:pStyle w:val="Heading2"/>
        <w:spacing w:after="170" w:before="320" w:line="360"/>
      </w:pPr>
      <w:r>
        <w:rPr>
          <w:rFonts w:ascii="Times New Roman" w:cs="Times New Roman" w:eastAsia="Times New Roman" w:hAnsi="Times New Roman"/>
          <w:b/>
          <w:bCs/>
          <w:sz w:val="24"/>
          <w:szCs w:val="24"/>
        </w:rPr>
        <w:t xml:space="preserve">2.1. Terminolojik belirsizliğin niteliği</w:t>
      </w:r>
    </w:p>
    <w:p>
      <w:pPr>
        <w:spacing w:after="160" w:line="360"/>
        <w:jc w:val="both"/>
      </w:pPr>
      <w:r>
        <w:rPr>
          <w:rFonts w:ascii="Times New Roman" w:cs="Times New Roman" w:eastAsia="Times New Roman" w:hAnsi="Times New Roman"/>
          <w:sz w:val="24"/>
          <w:szCs w:val="24"/>
        </w:rPr>
        <w:t xml:space="preserve">Kırbaş Akyürek ve diğ. (2020), yapı tasarımında canlı ve üretilmiş bileşenlerin bir araya gelmesini konu alan terminolojiyi, seksen yenilikçi örneği ve bu alanda profesyonel olarak çalışan yirmi uzmanın görüşlerini inceleyerek araştırmışlardır. Örneklerin tanımlanmasında kullanılan terimlerin dağılımı şöyledir: örneklerin %34’ü “biyo” önekiyle üretilmiş özelleştirilmiş terimlerle (biyobeton, biyotuğla gibi), %20’si “akıllı” niteliğiyle, %18’i “canlı”, %17’si ise “büyüyen” ve türevleriyle tanımlanmıştır; örneklerin %22,5’inde ayrıca sürdürülebilirlik vurgusu bulunmaktadır.</w:t>
      </w:r>
    </w:p>
    <w:p>
      <w:pPr>
        <w:spacing w:after="160" w:line="360"/>
        <w:jc w:val="both"/>
      </w:pPr>
      <w:r>
        <w:rPr>
          <w:rFonts w:ascii="Times New Roman" w:cs="Times New Roman" w:eastAsia="Times New Roman" w:hAnsi="Times New Roman"/>
          <w:sz w:val="24"/>
          <w:szCs w:val="24"/>
        </w:rPr>
        <w:t xml:space="preserve">Yazarların temel bulgusu, bu çeşitliliğe karşın alanyazında genel kabul görmüş bir şemsiye terimin bulunmamasıdır. Belirsizliğin nedenini iki yönlü olarak açıklamaktadırlar: bir yanda doğanın, doğal ögelerin, mekanizmaların ve süreçlerin kapsamlı niteliği, diğer yanda aynı disiplin ve tekniklerin farklı disiplinlerce farklı biçimlerde yorumlanması. Sonuç olarak terminoloji, yazarların ifadesiyle bu terim ve tanım çeşitliliğinin içinde sıkışıp kalmakta; bu durum olgunun anlaşılmasını ve üzerine yeni çalışmalar yürütülmesini güçleştirmektedir. Yazarlar ayrıca mimarlık söyleminde bu dönüşümü karşılayacak terimlerin — örneğin yapı tasarımına özgü bir karşılığın — henüz oluşmadığına dikkat çekmektedir.</w:t>
      </w:r>
    </w:p>
    <w:p>
      <w:pPr>
        <w:spacing w:after="160" w:line="360"/>
        <w:jc w:val="both"/>
      </w:pPr>
      <w:r>
        <w:rPr>
          <w:rFonts w:ascii="Times New Roman" w:cs="Times New Roman" w:eastAsia="Times New Roman" w:hAnsi="Times New Roman"/>
          <w:sz w:val="24"/>
          <w:szCs w:val="24"/>
        </w:rPr>
        <w:t xml:space="preserve">Bu tespit, Türkçe alanyazın açısından ayrıca önemlidir. Kavramların kaynak dildeki kullanımda dahi yerleşmemiş olması, Türkçeye aktarımda yaşanan karışıklığın yalnızca çeviri kaynaklı olmadığını; alanın kendi içindeki bir belirsizliği yansıttığını göstermektedir.</w:t>
      </w:r>
    </w:p>
    <w:p>
      <w:pPr>
        <w:pStyle w:val="Heading2"/>
        <w:spacing w:after="170" w:before="320" w:line="360"/>
      </w:pPr>
      <w:r>
        <w:rPr>
          <w:rFonts w:ascii="Times New Roman" w:cs="Times New Roman" w:eastAsia="Times New Roman" w:hAnsi="Times New Roman"/>
          <w:b/>
          <w:bCs/>
          <w:sz w:val="24"/>
          <w:szCs w:val="24"/>
        </w:rPr>
        <w:t xml:space="preserve">2.2. Biyomimikri neden yeterli bir çerçeve değildir?</w:t>
      </w:r>
    </w:p>
    <w:p>
      <w:pPr>
        <w:spacing w:after="160" w:line="360"/>
        <w:jc w:val="both"/>
      </w:pPr>
      <w:r>
        <w:rPr>
          <w:rFonts w:ascii="Times New Roman" w:cs="Times New Roman" w:eastAsia="Times New Roman" w:hAnsi="Times New Roman"/>
          <w:sz w:val="24"/>
          <w:szCs w:val="24"/>
        </w:rPr>
        <w:t xml:space="preserve">Biyotasarım tartışmasında en sık karşılaşılan eşitleme, kavramın biyomimikriyle bir tutulmasıdır. Kırbaş Akyürek ve diğ. (2020) bu eşitlemenin neden sürdürülemeyeceğini açık biçimde ortaya koymaktadır: biyomimikrinin temel amacı biyolojik süreçleri teknolojilere çevirmektir; biyolojik malzeme kullanımına işaret etmez. Dolayısıyla terim, popülerliğine ve kuramsal önemine karşın canlı ile üretilmiş bileşenlerin birleşimini kapsayan bir şemsiye terim olarak kullanılamaz.</w:t>
      </w:r>
    </w:p>
    <w:p>
      <w:pPr>
        <w:spacing w:after="160" w:line="360"/>
        <w:jc w:val="both"/>
      </w:pPr>
      <w:r>
        <w:rPr>
          <w:rFonts w:ascii="Times New Roman" w:cs="Times New Roman" w:eastAsia="Times New Roman" w:hAnsi="Times New Roman"/>
          <w:sz w:val="24"/>
          <w:szCs w:val="24"/>
        </w:rPr>
        <w:t xml:space="preserve">Yazarlar aynı gerekçeyle komşu kavramları da ayırt etmektedir. Biyoesinlenme, biyolojik olmayan bilim ve teknoloji alanındaki araştırmaların benzetimini de içermektedir. Biyomerkezcilik esas olarak doğal çevre ile insan arasındaki ilişkiye odaklanır. Biyofili, insanın doğayla bağ kurarak duygusal ve biyolojik gereksinimlerini karşılamayı amaçlar. Biyomimarlık ise doğanın hem canlı hem cansız ögelerinden esinlenmeyi kapsar. Yazarlara göre bu kavramların kapsamı, canlı ve üretilmiş bileşenler arasındaki güncel bağları belirlemek için fazla geniştir (Tablo 1).</w:t>
      </w:r>
    </w:p>
    <w:p>
      <w:pPr>
        <w:spacing w:after="160" w:line="360"/>
        <w:jc w:val="both"/>
      </w:pPr>
      <w:r>
        <w:rPr>
          <w:rFonts w:ascii="Times New Roman" w:cs="Times New Roman" w:eastAsia="Times New Roman" w:hAnsi="Times New Roman"/>
          <w:sz w:val="24"/>
          <w:szCs w:val="24"/>
        </w:rPr>
        <w:t xml:space="preserve">Bu ayrımlar içinde biyotasarım, yapı tasarımı açısından görece daha uygun bir terim olarak öne çıkmaktadır; ancak terimin kendisi de tüm tasarım disiplinlerini kapsayan geniş bir yaklaşıma işaret etmektedir. Myers (2018), biyoloji ile teknolojinin kaynaşmasını biyotasarım terimiyle açıklamakta ve bunun biyomimikri yaklaşımının ötesine geçen yeni bir kavram önerdiğini belirtmektedir.</w:t>
      </w:r>
    </w:p>
    <w:p>
      <w:pPr>
        <w:pStyle w:val="Heading2"/>
        <w:spacing w:after="170" w:before="320" w:line="360"/>
      </w:pPr>
      <w:r>
        <w:rPr>
          <w:rFonts w:ascii="Times New Roman" w:cs="Times New Roman" w:eastAsia="Times New Roman" w:hAnsi="Times New Roman"/>
          <w:b/>
          <w:bCs/>
          <w:sz w:val="24"/>
          <w:szCs w:val="24"/>
        </w:rPr>
        <w:t xml:space="preserve">2.3. Biyolojik tasarım ve biyotasarım: ayrımın kurulması</w:t>
      </w:r>
    </w:p>
    <w:p>
      <w:pPr>
        <w:spacing w:after="160" w:line="360"/>
        <w:jc w:val="both"/>
      </w:pPr>
      <w:r>
        <w:rPr>
          <w:rFonts w:ascii="Times New Roman" w:cs="Times New Roman" w:eastAsia="Times New Roman" w:hAnsi="Times New Roman"/>
          <w:sz w:val="24"/>
          <w:szCs w:val="24"/>
        </w:rPr>
        <w:t xml:space="preserve">Alanyazındaki en keskin kavramsal ayrımlardan birini Andréen ve Goidea (2022) kurmaktadır. Yazarlara göre biyotasarım, biyolojik malzemeleri ve/veya yaklaşımları yapılar gibi insan uygulamaları için kullanan tasarımı ifade eder. Biyolojik tasarım ise genotipleri fenotiplere bağlayan morfogenetik süreçlere; genetik koddaki bilgiyi mekânsal biçim olarak ifade eden süreç ve etmenlere işaret etmektedir.</w:t>
      </w:r>
    </w:p>
    <w:p>
      <w:pPr>
        <w:spacing w:after="160" w:line="360"/>
        <w:jc w:val="both"/>
      </w:pPr>
      <w:r>
        <w:rPr>
          <w:rFonts w:ascii="Times New Roman" w:cs="Times New Roman" w:eastAsia="Times New Roman" w:hAnsi="Times New Roman"/>
          <w:b w:val="false"/>
          <w:bCs w:val="false"/>
          <w:i w:val="false"/>
          <w:iCs w:val="false"/>
          <w:sz w:val="24"/>
          <w:szCs w:val="24"/>
        </w:rPr>
        <w:t xml:space="preserve">Bu ayrım kavramsal olarak belirleyicidir: biyotasarım </w:t>
      </w:r>
      <w:r>
        <w:rPr>
          <w:rFonts w:ascii="Times New Roman" w:cs="Times New Roman" w:eastAsia="Times New Roman" w:hAnsi="Times New Roman"/>
          <w:b/>
          <w:bCs/>
          <w:i w:val="false"/>
          <w:iCs w:val="false"/>
          <w:sz w:val="24"/>
          <w:szCs w:val="24"/>
        </w:rPr>
        <w:t xml:space="preserve">tasarımcının pratiğini</w:t>
      </w:r>
      <w:r>
        <w:rPr>
          <w:rFonts w:ascii="Times New Roman" w:cs="Times New Roman" w:eastAsia="Times New Roman" w:hAnsi="Times New Roman"/>
          <w:b w:val="false"/>
          <w:bCs w:val="false"/>
          <w:i w:val="false"/>
          <w:iCs w:val="false"/>
          <w:sz w:val="24"/>
          <w:szCs w:val="24"/>
        </w:rPr>
        <w:t xml:space="preserve">, biyolojik tasarım ise </w:t>
      </w:r>
      <w:r>
        <w:rPr>
          <w:rFonts w:ascii="Times New Roman" w:cs="Times New Roman" w:eastAsia="Times New Roman" w:hAnsi="Times New Roman"/>
          <w:b/>
          <w:bCs/>
          <w:i w:val="false"/>
          <w:iCs w:val="false"/>
          <w:sz w:val="24"/>
          <w:szCs w:val="24"/>
        </w:rPr>
        <w:t xml:space="preserve">doğanın kendi sürecini</w:t>
      </w:r>
      <w:r>
        <w:rPr>
          <w:rFonts w:ascii="Times New Roman" w:cs="Times New Roman" w:eastAsia="Times New Roman" w:hAnsi="Times New Roman"/>
          <w:b w:val="false"/>
          <w:bCs w:val="false"/>
          <w:i w:val="false"/>
          <w:iCs w:val="false"/>
          <w:sz w:val="24"/>
          <w:szCs w:val="24"/>
        </w:rPr>
        <w:t xml:space="preserve"> adlandırmaktadır. Yazarların çalışmalarına verdikleri başlığın da işaret ettiği gibi, ikincisi birincisi için bir model işlevi görür. Nitekim yazarlar bu iki alan arasındaki bağın hem doğrudan hem dolaylı olduğunu belirtmektedir. Doğrudandır; çünkü canlı organizmaların tasarıma dahil edilmesi, bu organizmaların yaşamını sürdüren süreçlerin göz önünde bulundurulmasını ve yaşadıkları yapılı çevrede bu süreçlere yer açılmasını gerektirir. Dolaylıdır; çünkü biyolojik ilkeler daha yüksek düzeyde karşılıklı bağlantı ve karmaşıklıkla çalışmayı olanaklı kıldığında, tasarımla başarılabileceklerin kapsamı genişler.</w:t>
      </w:r>
    </w:p>
    <w:p>
      <w:pPr>
        <w:spacing w:after="160" w:line="360"/>
        <w:jc w:val="both"/>
      </w:pPr>
      <w:r>
        <w:rPr>
          <w:rFonts w:ascii="Times New Roman" w:cs="Times New Roman" w:eastAsia="Times New Roman" w:hAnsi="Times New Roman"/>
          <w:sz w:val="24"/>
          <w:szCs w:val="24"/>
        </w:rPr>
        <w:t xml:space="preserve">Yazarlar bu modelden dört ilke türetmektedir: çeşitlilik; biçimin karmaşıklığı ve özgüllüğü; dirençlilik yoluyla dayanıklılık; geri besleme ve uyarlanma. İlkelerin kendi başlarına yeni olmadığını, modern inşaat sanayisinin doğuşundan önce mimarlığın uzun süre bu stratejilerle üretildiğini ve hem tarihsel hem güncel vernaküler mimarlığın bu stratejileri büyük ölçüde içerdiğini de belirtmektedirler. Üçüncü ilke, beşinci başlıkta ayrıntılandırılacağı üzere, biyomalzemelerle çalışmanın kuramsal gerekçesini oluşturmaktadır.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Bu çerçeve, biyotasarımı biyomimikriden ayıran asıl noktayı görünür kılmaktadır: ilişki bir </w:t>
      </w:r>
      <w:r>
        <w:rPr>
          <w:rFonts w:ascii="Times New Roman" w:cs="Times New Roman" w:eastAsia="Times New Roman" w:hAnsi="Times New Roman"/>
          <w:b/>
          <w:bCs/>
          <w:i w:val="false"/>
          <w:iCs w:val="false"/>
          <w:sz w:val="24"/>
          <w:szCs w:val="24"/>
        </w:rPr>
        <w:t xml:space="preserve">taklit</w:t>
      </w:r>
      <w:r>
        <w:rPr>
          <w:rFonts w:ascii="Times New Roman" w:cs="Times New Roman" w:eastAsia="Times New Roman" w:hAnsi="Times New Roman"/>
          <w:b w:val="false"/>
          <w:bCs w:val="false"/>
          <w:i w:val="false"/>
          <w:iCs w:val="false"/>
          <w:sz w:val="24"/>
          <w:szCs w:val="24"/>
        </w:rPr>
        <w:t xml:space="preserve"> ilişkisi değil, bir </w:t>
      </w:r>
      <w:r>
        <w:rPr>
          <w:rFonts w:ascii="Times New Roman" w:cs="Times New Roman" w:eastAsia="Times New Roman" w:hAnsi="Times New Roman"/>
          <w:b/>
          <w:bCs/>
          <w:i w:val="false"/>
          <w:iCs w:val="false"/>
          <w:sz w:val="24"/>
          <w:szCs w:val="24"/>
        </w:rPr>
        <w:t xml:space="preserve">ilke çıkarma</w:t>
      </w:r>
      <w:r>
        <w:rPr>
          <w:rFonts w:ascii="Times New Roman" w:cs="Times New Roman" w:eastAsia="Times New Roman" w:hAnsi="Times New Roman"/>
          <w:b w:val="false"/>
          <w:bCs w:val="false"/>
          <w:i w:val="false"/>
          <w:iCs w:val="false"/>
          <w:sz w:val="24"/>
          <w:szCs w:val="24"/>
        </w:rPr>
        <w:t xml:space="preserve"> ilişkisidir. Doğanın biçimleri kopyalanmaz; doğanın biçim üretme mantığı incelenerek tasarım süreci yeniden kurgulanır.</w:t>
      </w:r>
    </w:p>
    <w:p>
      <w:pPr>
        <w:pStyle w:val="Heading2"/>
        <w:spacing w:after="170" w:before="320" w:line="360"/>
      </w:pPr>
      <w:r>
        <w:rPr>
          <w:rFonts w:ascii="Times New Roman" w:cs="Times New Roman" w:eastAsia="Times New Roman" w:hAnsi="Times New Roman"/>
          <w:b/>
          <w:bCs/>
          <w:sz w:val="24"/>
          <w:szCs w:val="24"/>
        </w:rPr>
        <w:t xml:space="preserve">2.4. Biyoloji ile tasarımın kesişme biçimleri</w:t>
      </w:r>
    </w:p>
    <w:p>
      <w:pPr>
        <w:spacing w:after="160" w:line="360"/>
        <w:jc w:val="both"/>
      </w:pPr>
      <w:r>
        <w:rPr>
          <w:rFonts w:ascii="Times New Roman" w:cs="Times New Roman" w:eastAsia="Times New Roman" w:hAnsi="Times New Roman"/>
          <w:sz w:val="24"/>
          <w:szCs w:val="24"/>
        </w:rPr>
        <w:t xml:space="preserve">Biyotasarımın tek bir pratik olmadığı, kendi içinde farklılaşan yaklaşımlar barındırdığı da belirtilmelidir. Camere ve Karana (2018), biyoloji ile tasarımı birbiriyle verimlendiren girişimleri dört kategoride toplamaktadır: artırılmış biyoloji, biyotasarım kurgusu, dijital biyofabrikasyon ve büyüyen tasarım.</w:t>
      </w:r>
    </w:p>
    <w:p>
      <w:pPr>
        <w:spacing w:after="160" w:line="360"/>
        <w:jc w:val="both"/>
      </w:pPr>
      <w:r>
        <w:rPr>
          <w:rFonts w:ascii="Times New Roman" w:cs="Times New Roman" w:eastAsia="Times New Roman" w:hAnsi="Times New Roman"/>
          <w:b w:val="false"/>
          <w:bCs w:val="false"/>
          <w:i w:val="false"/>
          <w:iCs w:val="false"/>
          <w:sz w:val="24"/>
          <w:szCs w:val="24"/>
        </w:rPr>
        <w:t xml:space="preserve">Artırılmış biyolojide tasarımcılar, açlık, hastalık ve enerji kıtlığı gibi güncel toplumsal sorunlarla baş etmeye yardımcı olabilecek yeni biyolojik organizmalar tasarlamak üzere hücrelerin yeniden mühendisliğini amaçlar. Biyotasarım kurgusunda tasarımcılar spekülatif bir yaklaşımla, biyoteknolojik geleceklerin sonuçlarını bunlar gerçekleşmeden önce tartışmaya açar; tasarımın çıktısı bir senaryo ya da deneyimsel prototiptir. Dijital biyofabrikasyonda biyolojik araçlar ileri hesaplama teknolojileriyle birleştirilir ve tasarım süreci bu araçlardan belirgin biçimde etkilenir. Büyüyen tasarım ise diğerlerinden uygulamalı niteliğiyle ayrılır; ürün tasarımı için yeni malzemelerin geliştirilmesine odaklanır ve çıktısı çoğunlukla yakın gelecekte tüketim ürünlerinde kullanılabilecek niteliktedir. Yazarların vurguladığı ayırt edici nokta şudur: malzeme büyüten tasarımcılar sentetik biyolojinin sunduğu çözümleri aramaz ve </w:t>
      </w:r>
      <w:r>
        <w:rPr>
          <w:rFonts w:ascii="Times New Roman" w:cs="Times New Roman" w:eastAsia="Times New Roman" w:hAnsi="Times New Roman"/>
          <w:b/>
          <w:bCs/>
          <w:i w:val="false"/>
          <w:iCs w:val="false"/>
          <w:sz w:val="24"/>
          <w:szCs w:val="24"/>
        </w:rPr>
        <w:t xml:space="preserve">değiştirilmemiş biyolojik organizmalarla</w:t>
      </w:r>
      <w:r>
        <w:rPr>
          <w:rFonts w:ascii="Times New Roman" w:cs="Times New Roman" w:eastAsia="Times New Roman" w:hAnsi="Times New Roman"/>
          <w:b w:val="false"/>
          <w:bCs w:val="false"/>
          <w:i w:val="false"/>
          <w:iCs w:val="false"/>
          <w:sz w:val="24"/>
          <w:szCs w:val="24"/>
        </w:rPr>
        <w:t xml:space="preserve"> çalışır.</w:t>
      </w:r>
    </w:p>
    <w:p>
      <w:pPr>
        <w:spacing w:after="160" w:line="360"/>
        <w:jc w:val="both"/>
      </w:pPr>
      <w:r>
        <w:rPr>
          <w:rFonts w:ascii="Times New Roman" w:cs="Times New Roman" w:eastAsia="Times New Roman" w:hAnsi="Times New Roman"/>
          <w:sz w:val="24"/>
          <w:szCs w:val="24"/>
        </w:rPr>
        <w:t xml:space="preserve">Goidea ve diğ. (2022) ise alanı daha kapsayıcı bir ifadeyle, canlı maddeyle, canlı madde olarak ya da canlı madde için tasarlamak biçiminde tanımlamaktadır. Bu tanım, yukarıdaki dört kategorinin ortak paydasını — organizmanın tasarım sürecindeki konumunun değişkenliğini — tek bir cümlede toplamaktadır.</w:t>
      </w:r>
    </w:p>
    <w:p>
      <w:pPr>
        <w:pStyle w:val="Heading2"/>
        <w:spacing w:after="170" w:before="320" w:line="360"/>
      </w:pPr>
      <w:r>
        <w:rPr>
          <w:rFonts w:ascii="Times New Roman" w:cs="Times New Roman" w:eastAsia="Times New Roman" w:hAnsi="Times New Roman"/>
          <w:b/>
          <w:bCs/>
          <w:sz w:val="24"/>
          <w:szCs w:val="24"/>
        </w:rPr>
        <w:t xml:space="preserve">2.5. Tasarımcının rolünün dönüşümü</w:t>
      </w:r>
    </w:p>
    <w:p>
      <w:pPr>
        <w:spacing w:after="160" w:line="360"/>
        <w:jc w:val="both"/>
      </w:pPr>
      <w:r>
        <w:rPr>
          <w:rFonts w:ascii="Times New Roman" w:cs="Times New Roman" w:eastAsia="Times New Roman" w:hAnsi="Times New Roman"/>
          <w:sz w:val="24"/>
          <w:szCs w:val="24"/>
        </w:rPr>
        <w:t xml:space="preserve">Bu kavramsal çerçevenin tasarım pratiğindeki karşılığı, tasarımcının konumunun değişmesidir. Camere ve Karana (2018), geleneksel olarak tasarımcıların ürün kavramlarını somutlaştırmak için malzeme seçtiklerini; buna karşılık canlı organizmalarla üretilen malzemeler söz konusu olduğunda tasarımcıların giderek malzemenin erken geliştirme aşamalarına katıldığını belirtmekte ve bu geçişi malzeme seçiminden malzeme tasarımına doğru bir kayma olarak adlandırmaktadır. Bu kayma, bölümün temel iddiasının kavramsal zeminini oluşturmakta ve izleyen başlıklarda malzeme, döngüsellik ve mekân ölçeklerinde sınanmaktadır.</w:t>
      </w:r>
    </w:p>
    <w:p>
      <w:pPr>
        <w:keepNext/>
        <w:spacing w:after="140" w:before="400" w:line="240"/>
      </w:pPr>
      <w:r>
        <w:rPr>
          <w:rFonts w:ascii="Times New Roman" w:cs="Times New Roman" w:eastAsia="Times New Roman" w:hAnsi="Times New Roman"/>
          <w:b/>
          <w:bCs/>
          <w:sz w:val="22"/>
          <w:szCs w:val="22"/>
        </w:rPr>
        <w:t xml:space="preserve">Tablo 1. </w:t>
      </w:r>
      <w:r>
        <w:rPr>
          <w:rFonts w:ascii="Times New Roman" w:cs="Times New Roman" w:eastAsia="Times New Roman" w:hAnsi="Times New Roman"/>
          <w:sz w:val="22"/>
          <w:szCs w:val="22"/>
        </w:rPr>
        <w:t xml:space="preserve">Doğa ile tasarım arasındaki ilişkiyi tanımlayan kavramlar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3300"/>
        <w:gridCol w:w="2150"/>
        <w:gridCol w:w="1726"/>
      </w:tblGrid>
      <w:tr>
        <w:trPr>
          <w:tblHeader/>
        </w:trPr>
        <w:tc>
          <w:tcPr>
            <w:tcW w:type="dxa" w:w="185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Kavram</w:t>
            </w:r>
          </w:p>
        </w:tc>
        <w:tc>
          <w:tcPr>
            <w:tcW w:type="dxa" w:w="33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Doğayla kurduğu ilişki</w:t>
            </w:r>
          </w:p>
        </w:tc>
        <w:tc>
          <w:tcPr>
            <w:tcW w:type="dxa" w:w="215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Odağı</w:t>
            </w:r>
          </w:p>
        </w:tc>
        <w:tc>
          <w:tcPr>
            <w:tcW w:type="dxa" w:w="1726"/>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Kaynak</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Biyomimikri</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Biyolojik süreçleri teknolojilere çevirir; biyolojik malzeme kullanımına işaret etmez</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Süreç ve strateji aktarımı</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Biyoesinlenme</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Biyolojik olmayan bilim ve teknoloji araştırmalarının benzetimini de içerir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Geniş esin alanı</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Biyomerkezcilik</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Doğal çevre ile insan arasındaki ilişkiye odaklanır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Etik ve ilişkisel konum</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Biyofili</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İnsanın doğayla bağ kurarak duygusal ve biyolojik gereksinimlerini karşılamasını amaçlar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Kullanıcı ve mekân deneyimi</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Biyomimarlık</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Doğanın hem canlı hem cansız ögelerinden esinlenmeyi kapsar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Yapı ölçeği</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Kırbaş Akyürek ve diğ. (2020)</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Biyolojik tasarım</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Doğanın kendi süreci: genotipi fenotipe bağlayan morfogenetik süreçler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Model olarak doğa</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Andréen ve Goidea (2022)</w:t>
            </w:r>
          </w:p>
        </w:tc>
      </w:tr>
      <w:tr>
        <w:tc>
          <w:tcPr>
            <w:tcW w:type="dxa" w:w="18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Biyotasarım</w:t>
            </w:r>
          </w:p>
        </w:tc>
        <w:tc>
          <w:tcPr>
            <w:tcW w:type="dxa" w:w="33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Biyolojik malzeme ve/veya yaklaşımları insan uygulamaları için kullanır</w:t>
            </w:r>
          </w:p>
        </w:tc>
        <w:tc>
          <w:tcPr>
            <w:tcW w:type="dxa" w:w="215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Tasarımcının pratiği</w:t>
            </w:r>
          </w:p>
        </w:tc>
        <w:tc>
          <w:tcPr>
            <w:tcW w:type="dxa" w:w="17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Andréen ve Goidea (2022)</w:t>
            </w:r>
          </w:p>
        </w:tc>
      </w:tr>
    </w:tbl>
    <w:p>
      <w:pPr>
        <w:spacing w:after="340" w:before="130" w:line="240"/>
      </w:pPr>
      <w:r>
        <w:rPr>
          <w:rFonts w:ascii="Times New Roman" w:cs="Times New Roman" w:eastAsia="Times New Roman" w:hAnsi="Times New Roman"/>
          <w:i/>
          <w:iCs/>
          <w:sz w:val="18"/>
          <w:szCs w:val="18"/>
        </w:rPr>
        <w:t xml:space="preserve">Tablodaki kavram tanımları, belirtilen kaynakların kendi sentezlerine dayanmaktadır.</w:t>
      </w:r>
    </w:p>
    <w:p>
      <w:pPr>
        <w:pStyle w:val="Heading1"/>
        <w:spacing w:after="220" w:before="440" w:line="360"/>
      </w:pPr>
      <w:r>
        <w:rPr>
          <w:rFonts w:ascii="Times New Roman" w:cs="Times New Roman" w:eastAsia="Times New Roman" w:hAnsi="Times New Roman"/>
          <w:b/>
          <w:bCs/>
          <w:sz w:val="26"/>
          <w:szCs w:val="26"/>
        </w:rPr>
        <w:t xml:space="preserve">3. BİYOLOJİK TEMELLİ MALZEMELER VE MALZEMENİN YENİDEN DÜŞÜNÜLMESİ</w:t>
      </w:r>
    </w:p>
    <w:p>
      <w:pPr>
        <w:spacing w:after="160" w:line="360"/>
        <w:jc w:val="both"/>
      </w:pPr>
      <w:r>
        <w:rPr>
          <w:rFonts w:ascii="Times New Roman" w:cs="Times New Roman" w:eastAsia="Times New Roman" w:hAnsi="Times New Roman"/>
          <w:sz w:val="24"/>
          <w:szCs w:val="24"/>
        </w:rPr>
        <w:t xml:space="preserve">Önceki başlıkta biyotasarım bir tasarım yaklaşımı olarak ele alınmıştı. Bu başlıkta ise söz konusu yaklaşımın ürettiği malzemeler, yani nesne düzlemi incelenmektedir. Ayrım önemlidir: biyotasarım tasarımcının doğayla kurduğu ilişkiyi tanımlarken, biyomalzemeler bu ilişkinin maddi karşılığını oluşturur.</w:t>
      </w:r>
    </w:p>
    <w:p>
      <w:pPr>
        <w:pStyle w:val="Heading2"/>
        <w:spacing w:after="170" w:before="320" w:line="360"/>
      </w:pPr>
      <w:r>
        <w:rPr>
          <w:rFonts w:ascii="Times New Roman" w:cs="Times New Roman" w:eastAsia="Times New Roman" w:hAnsi="Times New Roman"/>
          <w:b/>
          <w:bCs/>
          <w:sz w:val="24"/>
          <w:szCs w:val="24"/>
        </w:rPr>
        <w:t xml:space="preserve">3.1. Üç farklı yaklaşım: biyoesinli, biyolojik temelli ve canlı malzemeler</w:t>
      </w:r>
    </w:p>
    <w:p>
      <w:pPr>
        <w:spacing w:after="160" w:line="360"/>
        <w:jc w:val="both"/>
      </w:pPr>
      <w:r>
        <w:rPr>
          <w:rFonts w:ascii="Times New Roman" w:cs="Times New Roman" w:eastAsia="Times New Roman" w:hAnsi="Times New Roman"/>
          <w:sz w:val="24"/>
          <w:szCs w:val="24"/>
        </w:rPr>
        <w:t xml:space="preserve">Doğa temelli malzemeler alanyazında sıklıkla tek bir başlık altında toplanmakta, bu da kavramsal bir belirsizlik üretmektedir. Chayaamor-Heil, Perricone, Gruber ve Guéna (2023), mimarlık ve inşaat alanındaki güncel araştırmaları derledikleri çalışmalarında bu alanı üç ayrı tasarım yaklaşımı olarak ele almaktadır: biyoesinli, biyolojik temelli ve canlı malzeme tasarımları.</w:t>
      </w:r>
    </w:p>
    <w:p>
      <w:pPr>
        <w:spacing w:after="160" w:line="360"/>
        <w:jc w:val="both"/>
      </w:pPr>
      <w:r>
        <w:rPr>
          <w:rFonts w:ascii="Times New Roman" w:cs="Times New Roman" w:eastAsia="Times New Roman" w:hAnsi="Times New Roman"/>
          <w:sz w:val="24"/>
          <w:szCs w:val="24"/>
        </w:rPr>
        <w:t xml:space="preserve">Bu üçlü ayrımın belirleyici ölçütü, doğanın tasarım sürecine hangi düzeyde dahil olduğudur. Biyoesinli malzemelerde doğa bir ilke ya da strateji kaynağıdır; malzemenin kendisinde biyolojik bir bileşen bulunmaz. Biyolojik temelli malzemelerde doğa bir girdi kaynağıdır; malzeme biyolojik kökenli hammaddelerden üretilir ancak kullanım anında canlı değildir. Canlı malzemelerde ise organizma malzemenin içinde varlığını sürdürür ve malzemenin davranışı bu canlılığa bağlı kalır. Ayrım, bir sonraki başlıkta ele alınacak döngüsellik tartışması açısından da belirleyicidir; çünkü üç yaklaşım, malzemenin ömür sonu senaryosu bakımından birbirinden farklı koşullar üretir (Tablo 2).</w:t>
      </w:r>
    </w:p>
    <w:p>
      <w:pPr>
        <w:pStyle w:val="Heading2"/>
        <w:spacing w:after="170" w:before="320" w:line="360"/>
      </w:pPr>
      <w:r>
        <w:rPr>
          <w:rFonts w:ascii="Times New Roman" w:cs="Times New Roman" w:eastAsia="Times New Roman" w:hAnsi="Times New Roman"/>
          <w:b/>
          <w:bCs/>
          <w:sz w:val="24"/>
          <w:szCs w:val="24"/>
        </w:rPr>
        <w:t xml:space="preserve">3.2. Biyolojik temelli malzemeler ve atık akımları</w:t>
      </w:r>
    </w:p>
    <w:p>
      <w:pPr>
        <w:spacing w:after="160" w:line="360"/>
        <w:jc w:val="both"/>
      </w:pPr>
      <w:r>
        <w:rPr>
          <w:rFonts w:ascii="Times New Roman" w:cs="Times New Roman" w:eastAsia="Times New Roman" w:hAnsi="Times New Roman"/>
          <w:sz w:val="24"/>
          <w:szCs w:val="24"/>
        </w:rPr>
        <w:t xml:space="preserve">Biyolojik temelli malzemeler, yapı alanyazınında en geniş yer tutan kategoridir. Bourbia, Kazeoui ve Belarbi (2023), yapı kabuğunda kullanılan biyolojik temelli malzemeleri derledikleri çalışmalarında kenevir, ahşap, hurma ağacı, mantar meşesi kabuğu, alfa otu ve samanı inceleyerek bu malzemelerin yenilenebilir olma, düşük gömülü enerjiye sahip olma ve ısıl düzenleme kapasitesi gibi ortak özelliklerine dikkat çekmektedir. Bu liste, biyolojik temelli malzemelerin önemli bir bölümünün aslında yeni değil, geleneksel yapı kültürüne ait malzemeler olduğunu göstermektedir. Nitekim Andréen ve Goidea (2022) da önerdikleri biyolojik tasarım ilkelerinin kendi başlarına yeni olmadığını, modern inşaat sanayisinin doğuşundan önce mimarlığın uzun süre bu stratejilerle üretildiğini ve hem tarihsel hem güncel vernaküler mimarlığın bu stratejileri büyük ölçüde içerdiğini belirtmektedir.</w:t>
      </w:r>
    </w:p>
    <w:p>
      <w:pPr>
        <w:spacing w:after="160" w:line="360"/>
        <w:jc w:val="both"/>
      </w:pPr>
      <w:r>
        <w:rPr>
          <w:rFonts w:ascii="Times New Roman" w:cs="Times New Roman" w:eastAsia="Times New Roman" w:hAnsi="Times New Roman"/>
          <w:sz w:val="24"/>
          <w:szCs w:val="24"/>
        </w:rPr>
        <w:t xml:space="preserve">Bu saptama, iç mimarlık açısından özellikle anlamlıdır. Tyagi ve Jain (2026), iç mekân tasarımında biyolojik temelli ve yenileyici malzemeler üzerine 104 yayını inceledikleri sistematik derlemede, bambu, kerpiç, saman ve kenevir gibi vernaküler biyolojik temelli malzemelerin düşük etkili iç mekân uygulamalarında merkezî konumunu koruduğunu; buna karşılık miselyum, bakteriyel selüloz ve alg gibi biyofabrike malzemelerin deneysel araştırmalara hâkim olduğunu ortaya koymaktadır. Yani alan, bir yanda köklü bir yapı kültürüne, diğer yanda henüz laboratuvar aşamasındaki bir araştırma gündemine yaslanmaktadır.</w:t>
      </w:r>
    </w:p>
    <w:p>
      <w:pPr>
        <w:spacing w:after="160" w:line="360"/>
        <w:jc w:val="both"/>
      </w:pPr>
      <w:r>
        <w:rPr>
          <w:rFonts w:ascii="Times New Roman" w:cs="Times New Roman" w:eastAsia="Times New Roman" w:hAnsi="Times New Roman"/>
          <w:sz w:val="24"/>
          <w:szCs w:val="24"/>
        </w:rPr>
        <w:t xml:space="preserve">Bu kategorinin ayırt edici bir başka özelliği, girdi olarak başka bir sürecin çıktısını kullanabilmesidir. Lee, Lee ve Lee (2022), son yıllarda değerlendirilemeyen biyokütlenin alternatif hammadde olarak kullanılabilirliğini artırmaya ve çevresel kirliliği azaltmaya yönelik çabaların, biyokütle hammaddelerine dayalı biyoproseslerle fosil kökenli eşdeğerlerinin yerini alabilecek biyolojik temelli ürünlerin üretimine yöneldiğini ortaya koymaktadır. Biyolojik temelli bir malzemenin hammaddesi, böylece bir kaynaktan çıkarılan madde olmak zorunda değildir; bir başka üretim sürecinin artığı da olabilir. Bu olanağın yapı malzemeleri alanındaki karşılığı ve sınırları dördüncü başlıkta ele alınmaktadır.</w:t>
      </w:r>
    </w:p>
    <w:p>
      <w:pPr>
        <w:pStyle w:val="Heading2"/>
        <w:spacing w:after="170" w:before="320" w:line="360"/>
      </w:pPr>
      <w:r>
        <w:rPr>
          <w:rFonts w:ascii="Times New Roman" w:cs="Times New Roman" w:eastAsia="Times New Roman" w:hAnsi="Times New Roman"/>
          <w:b/>
          <w:bCs/>
          <w:sz w:val="24"/>
          <w:szCs w:val="24"/>
        </w:rPr>
        <w:t xml:space="preserve">3.3. Canlı malzemeler ve biyofabrikasyon</w:t>
      </w:r>
    </w:p>
    <w:p>
      <w:pPr>
        <w:spacing w:after="160" w:line="360"/>
        <w:jc w:val="both"/>
      </w:pPr>
      <w:r>
        <w:rPr>
          <w:rFonts w:ascii="Times New Roman" w:cs="Times New Roman" w:eastAsia="Times New Roman" w:hAnsi="Times New Roman"/>
          <w:sz w:val="24"/>
          <w:szCs w:val="24"/>
        </w:rPr>
        <w:t xml:space="preserve">Canlı malzemeler, organizmanın üretim sürecine doğrudan katıldığı ve çoğu durumda malzemenin yapısında varlığını sürdürdüğü kategoridir. Karana, Blauwhoff, Hultink ve Camere (2018), bakteri, alg veya mantar tarafından üretilen malzemelerin ürün tasarımında giderek daha fazla yenilikçi biyolojik temelli seçenekler olarak kullanıldığını belirtmektedir.</w:t>
      </w:r>
    </w:p>
    <w:p>
      <w:pPr>
        <w:spacing w:after="160" w:line="360"/>
        <w:jc w:val="both"/>
      </w:pPr>
      <w:r>
        <w:rPr>
          <w:rFonts w:ascii="Times New Roman" w:cs="Times New Roman" w:eastAsia="Times New Roman" w:hAnsi="Times New Roman"/>
          <w:sz w:val="24"/>
          <w:szCs w:val="24"/>
        </w:rPr>
        <w:t xml:space="preserve">Chayaamor-Heil, Houette, Demirci ve Badarnah (2024), mimarlık bağlamında bu üç organizmayı — alg, bakteri ve mantar — ele aldıkları çalışmalarında her organizma için birer mimari vaka incelemesi seçmiş ve süreçte yer alan çok disiplinli uzmanlarla görüşmeler yürütmüşlerdir. Çalışmanın iç mimarlık açısından en dikkat çekici bulgusu şudur: canlı organizmalardan yeni malzeme ya da tasarım bileşeni geliştirilmesi, ölçek, çok katmanlılık ve gereksinimlerden kaynaklanan kısıtlar nedeniyle mimarlık ve inşaatta, tekstil, moda ve ürün tasarımına kıyasla daha güç gerçekleşmektedir. Bu saptama, canlı malzemelerin yapılı çevreye girişinde ölçeğin belirleyici bir eşik olduğunu göstermekte ve taşıyıcı olmayan, görece küçük ölçekli iç mekân bileşenlerinin neden öncelikli bir uygulama alanı oluşturabileceğine işaret etmektedir. Altıncı başlıkta bu işaret ayrıntılandırılmaktadır.</w:t>
      </w:r>
    </w:p>
    <w:p>
      <w:pPr>
        <w:pStyle w:val="Heading2"/>
        <w:spacing w:after="170" w:before="320" w:line="360"/>
      </w:pPr>
      <w:r>
        <w:rPr>
          <w:rFonts w:ascii="Times New Roman" w:cs="Times New Roman" w:eastAsia="Times New Roman" w:hAnsi="Times New Roman"/>
          <w:b/>
          <w:bCs/>
          <w:sz w:val="24"/>
          <w:szCs w:val="24"/>
        </w:rPr>
        <w:t xml:space="preserve">3.4. Malzemenin edilgen nesneden etkin bileşene dönüşmesi</w:t>
      </w:r>
    </w:p>
    <w:p>
      <w:pPr>
        <w:spacing w:after="160" w:line="360"/>
        <w:jc w:val="both"/>
      </w:pPr>
      <w:r>
        <w:rPr>
          <w:rFonts w:ascii="Times New Roman" w:cs="Times New Roman" w:eastAsia="Times New Roman" w:hAnsi="Times New Roman"/>
          <w:sz w:val="24"/>
          <w:szCs w:val="24"/>
        </w:rPr>
        <w:t xml:space="preserve">Yukarıda sıralanan malzemelerin ortak özelliği, tasarımcının denetimini sınırlayan davranışlar sergilemeleridir. Bu durum, tasarım pratiğinde malzemenin konumunu değiştirmektedir.</w:t>
      </w:r>
    </w:p>
    <w:p>
      <w:pPr>
        <w:spacing w:after="160" w:line="360"/>
        <w:jc w:val="both"/>
      </w:pPr>
      <w:r>
        <w:rPr>
          <w:rFonts w:ascii="Times New Roman" w:cs="Times New Roman" w:eastAsia="Times New Roman" w:hAnsi="Times New Roman"/>
          <w:sz w:val="24"/>
          <w:szCs w:val="24"/>
        </w:rPr>
        <w:t xml:space="preserve">Camere ve Karana (2018), sekiz deneyimli uygulamacıyla yürüttükleri görüşmelere dayanarak, canlı organizmalarla malzeme üretmenin tasarımcıların malzemeye ve sürece bakışını, benimsedikleri zihniyeti ve vizyonu değiştirdiğini; dahası “insan yapımı” ve “doğal” gibi yerleşik anlamları sorgulattığını belirtmektedir. Malzemenin edilgen bir girdiden etkin bir bileşene dönüşmesi, bu nedenle yalnızca teknik bir değişiklik değil, tasarımcının malzeme kavrayışını da kapsayan bir değişimdir.</w:t>
      </w:r>
    </w:p>
    <w:p>
      <w:pPr>
        <w:spacing w:after="160" w:line="360"/>
        <w:jc w:val="both"/>
      </w:pPr>
      <w:r>
        <w:rPr>
          <w:rFonts w:ascii="Times New Roman" w:cs="Times New Roman" w:eastAsia="Times New Roman" w:hAnsi="Times New Roman"/>
          <w:sz w:val="24"/>
          <w:szCs w:val="24"/>
        </w:rPr>
        <w:t xml:space="preserve">Rognoli ve Ayala García (2018), aynı dönüşümü malzeme aktivizmi kavramıyla ele almaktadır. Yazarlara göre malzeme deneyimimiz, çevremizi saran nesnelerin neredeyse tamamının endüstriyel seri üretimden gelmesi nedeniyle koşullanmış bir deneyimdir; malzeme geliştirme ise büyük ölçüde iki gücün — stratejik sektörlerdeki teknik sorunların çözümü ve kolayca ölçeklenebilir uygun maliyetli çözüm arayışının — denetimindedir. Malzeme aktivizmi, tasarımcıların düşük teknolojili, deneysel ve kendin yap yaklaşımlarla bu sürece yeniden dahil olmasını önermektedir. Yazarların kendin yap malzeme olarak adlandırdığı bu pratik, biyolojik temelli malzemelerin tasarım alanına girişinde kurumsal üretim dışındaki ikinci kanalı oluşturmaktadır.</w:t>
      </w:r>
    </w:p>
    <w:p>
      <w:pPr>
        <w:spacing w:after="160" w:line="360"/>
        <w:jc w:val="both"/>
      </w:pPr>
      <w:r>
        <w:rPr>
          <w:rFonts w:ascii="Times New Roman" w:cs="Times New Roman" w:eastAsia="Times New Roman" w:hAnsi="Times New Roman"/>
          <w:sz w:val="24"/>
          <w:szCs w:val="24"/>
        </w:rPr>
        <w:t xml:space="preserve">Ancak malzemenin etkinleşmesi yalnızca bir olanak değil, aynı zamanda bir belirsizlik kaynağıdır. Malzemenin zaman içindeki davranışı tasarım kararının bir parçası hâline geldiğinde, bu davranışın bilinmesi de bir gereklilik olarak ortaya çıkar. Beşinci başlık bu gerekliliği dirençlilik tartışması üzerinden ele almaktadır.</w:t>
      </w:r>
    </w:p>
    <w:p>
      <w:pPr>
        <w:keepNext/>
        <w:spacing w:after="140" w:before="400" w:line="240"/>
      </w:pPr>
      <w:r>
        <w:rPr>
          <w:rFonts w:ascii="Times New Roman" w:cs="Times New Roman" w:eastAsia="Times New Roman" w:hAnsi="Times New Roman"/>
          <w:b/>
          <w:bCs/>
          <w:sz w:val="22"/>
          <w:szCs w:val="22"/>
        </w:rPr>
        <w:t xml:space="preserve">Tablo 2. </w:t>
      </w:r>
      <w:r>
        <w:rPr>
          <w:rFonts w:ascii="Times New Roman" w:cs="Times New Roman" w:eastAsia="Times New Roman" w:hAnsi="Times New Roman"/>
          <w:sz w:val="22"/>
          <w:szCs w:val="22"/>
        </w:rPr>
        <w:t xml:space="preserve">Doğa temelli malzeme yaklaşımlarının karşılaştırması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1"/>
        <w:gridCol w:w="2375"/>
        <w:gridCol w:w="2375"/>
        <w:gridCol w:w="2375"/>
      </w:tblGrid>
      <w:tr>
        <w:trPr>
          <w:tblHeader/>
        </w:trPr>
        <w:tc>
          <w:tcPr>
            <w:tcW w:type="dxa" w:w="1901"/>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
            </w:r>
          </w:p>
        </w:tc>
        <w:tc>
          <w:tcPr>
            <w:tcW w:type="dxa" w:w="2375"/>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Biyoesinli</w:t>
            </w:r>
          </w:p>
        </w:tc>
        <w:tc>
          <w:tcPr>
            <w:tcW w:type="dxa" w:w="2375"/>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Biyolojik temelli</w:t>
            </w:r>
          </w:p>
        </w:tc>
        <w:tc>
          <w:tcPr>
            <w:tcW w:type="dxa" w:w="2375"/>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Canlı</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Doğanın rolü</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İlke ve strateji kaynağı</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Girdi kaynağı</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Üretime katılan organizma</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Malzemede biyolojik bileşen</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Yok</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Var, canlı değil</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Var, canlı</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Tasarımcının işi</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Biyolojik ilkeyi aktarmak</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Kaynağı seçmek ve işlemek</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Yaşam koşullarını sürdürmek</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Örnek malzemeler</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 (biçim ve strüktür çözümleri)</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Kenevir, ahşap, mantar meşesi kabuğu, saman, alfa otu¹</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Miselyum, bakteriyel selüloz, alg²</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İç mekânda görünüm</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Yüzey geometrisi, strüktür</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Vernaküler malzemeler, panel, yalıtım³</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Deneysel araştırma ağırlıklı³</w:t>
            </w:r>
          </w:p>
        </w:tc>
      </w:tr>
      <w:tr>
        <w:tc>
          <w:tcPr>
            <w:tcW w:type="dxa" w:w="1901"/>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Belirleyici kısıt</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Biyolojik analojinin bağlamdan koparılması</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Ömür sonu senaryosu ve bağlayıcı uyumluluğu⁴</w:t>
            </w:r>
          </w:p>
        </w:tc>
        <w:tc>
          <w:tcPr>
            <w:tcW w:type="dxa" w:w="2375"/>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Ölçek, çok katmanlılık, gereksinimler⁵</w:t>
            </w:r>
          </w:p>
        </w:tc>
      </w:tr>
    </w:tbl>
    <w:p>
      <w:pPr>
        <w:spacing w:after="340" w:before="130" w:line="240"/>
      </w:pPr>
      <w:r>
        <w:rPr>
          <w:rFonts w:ascii="Times New Roman" w:cs="Times New Roman" w:eastAsia="Times New Roman" w:hAnsi="Times New Roman"/>
          <w:i/>
          <w:iCs/>
          <w:sz w:val="18"/>
          <w:szCs w:val="18"/>
        </w:rPr>
        <w:t xml:space="preserve">Sınıflandırma çerçevesi: Chayaamor-Heil ve diğ. (2023). ¹ Bourbia ve diğ. (2023) · ² Karana ve diğ. (2018); Chayaamor-Heil ve diğ. (2024) · ³ Tyagi ve Jain (2026) · ⁴ Edalat (2026) · ⁵ Chayaamor-Heil ve diğ. (2024)</w:t>
      </w:r>
    </w:p>
    <w:p>
      <w:pPr>
        <w:pStyle w:val="Heading1"/>
        <w:spacing w:after="220" w:before="440" w:line="360"/>
      </w:pPr>
      <w:r>
        <w:rPr>
          <w:rFonts w:ascii="Times New Roman" w:cs="Times New Roman" w:eastAsia="Times New Roman" w:hAnsi="Times New Roman"/>
          <w:b/>
          <w:bCs/>
          <w:sz w:val="26"/>
          <w:szCs w:val="26"/>
        </w:rPr>
        <w:t xml:space="preserve">4. DÖNGÜSEL MALZEME SİSTEMLERİ VE BİYOTASARIM</w:t>
      </w:r>
    </w:p>
    <w:p>
      <w:pPr>
        <w:spacing w:after="160" w:line="360"/>
        <w:jc w:val="both"/>
      </w:pPr>
      <w:r>
        <w:rPr>
          <w:rFonts w:ascii="Times New Roman" w:cs="Times New Roman" w:eastAsia="Times New Roman" w:hAnsi="Times New Roman"/>
          <w:sz w:val="24"/>
          <w:szCs w:val="24"/>
        </w:rPr>
        <w:t xml:space="preserve">Önceki başlıkta biyolojik temelli malzemelerin sınıflandırması ve malzemenin tasarım sürecindeki konumu ele alınmıştı. Bu başlıkta söz konusu malzemelerin döngüsel ekonomi sistemleriyle ilişkisi incelenmekte; biyolojik kökenin tek başına döngüsellik güvencesi oluşturup oluşturmadığı tartışılmaktadır.</w:t>
      </w:r>
    </w:p>
    <w:p>
      <w:pPr>
        <w:pStyle w:val="Heading2"/>
        <w:spacing w:after="170" w:before="320" w:line="360"/>
      </w:pPr>
      <w:r>
        <w:rPr>
          <w:rFonts w:ascii="Times New Roman" w:cs="Times New Roman" w:eastAsia="Times New Roman" w:hAnsi="Times New Roman"/>
          <w:b/>
          <w:bCs/>
          <w:sz w:val="24"/>
          <w:szCs w:val="24"/>
        </w:rPr>
        <w:t xml:space="preserve">4.1. Doğrusal üretimin karşısında döngüsel bir üretim mantığı</w:t>
      </w:r>
    </w:p>
    <w:p>
      <w:pPr>
        <w:spacing w:after="160" w:line="360"/>
        <w:jc w:val="both"/>
      </w:pPr>
      <w:r>
        <w:rPr>
          <w:rFonts w:ascii="Times New Roman" w:cs="Times New Roman" w:eastAsia="Times New Roman" w:hAnsi="Times New Roman"/>
          <w:sz w:val="24"/>
          <w:szCs w:val="24"/>
        </w:rPr>
        <w:t xml:space="preserve">Girişte aktarılan veriler, yapı sektörünün kaynak kullanımı ve atık üretimi bakımından diğer tüm endüstriyel sektörler içinde en yüksek çevresel etkiyi yarattığını göstermektedir (Edalat, 2026). Bu tablo karşısında biyolojik üretim mantığı yapısal bir alternatif sunmaktadır. Andréen ve Goidea’nın (2022) belirttiği gibi biyolojik tasarım sistemi doğası gereği döngüseldir ve malzeme kullanımı için ikna edici bir perspektif oluşturur. Ancak bu yapısal uygunluk, biyolojik temelli malzemelerin fiilen döngüsel sistemlere eklemlendiği anlamına gelmemektedir. Bu başlığın tartışması, söz konusu boşluğun nerede doğduğu sorusu üzerine kurulmuştur.</w:t>
      </w:r>
    </w:p>
    <w:p>
      <w:pPr>
        <w:pStyle w:val="Heading2"/>
        <w:spacing w:after="170" w:before="320" w:line="360"/>
      </w:pPr>
      <w:r>
        <w:rPr>
          <w:rFonts w:ascii="Times New Roman" w:cs="Times New Roman" w:eastAsia="Times New Roman" w:hAnsi="Times New Roman"/>
          <w:b/>
          <w:bCs/>
          <w:sz w:val="24"/>
          <w:szCs w:val="24"/>
        </w:rPr>
        <w:t xml:space="preserve">4.2. Atık ve artıkların kaynağa dönüşmesi</w:t>
      </w:r>
    </w:p>
    <w:p>
      <w:pPr>
        <w:spacing w:after="160" w:line="360"/>
        <w:jc w:val="both"/>
      </w:pPr>
      <w:r>
        <w:rPr>
          <w:rFonts w:ascii="Times New Roman" w:cs="Times New Roman" w:eastAsia="Times New Roman" w:hAnsi="Times New Roman"/>
          <w:sz w:val="24"/>
          <w:szCs w:val="24"/>
        </w:rPr>
        <w:t xml:space="preserve">Biyolojik temelli üretimin döngüsellikle ilk kesişme noktası girdi tarafındadır. Edalat (2026), ahşap dışı biyolojik temelli yapı malzemelerinin çoğunlukla atıktan elde edildiğini ve tanecikli biçimlerde işlendiğini; buna karşılık ahşap esaslı malzemelerin tipik olarak kütlesel biçimde üretildiğini belirtmektedir. Ancak burada önemli bir boşluk bulunmaktadır: tarımsal atık dünya genelinde yaygın biçimde bulunmasına karşın inşaat sektöründeki kullanımı sınırlı kalmakta, bu atığın büyük bölümü biyoyakıt ve yem hammaddesi üretimine yönlendirilmektedir.</w:t>
      </w:r>
    </w:p>
    <w:p>
      <w:pPr>
        <w:spacing w:after="160" w:line="360"/>
        <w:jc w:val="both"/>
      </w:pPr>
      <w:r>
        <w:rPr>
          <w:rFonts w:ascii="Times New Roman" w:cs="Times New Roman" w:eastAsia="Times New Roman" w:hAnsi="Times New Roman"/>
          <w:sz w:val="24"/>
          <w:szCs w:val="24"/>
        </w:rPr>
        <w:t xml:space="preserve">Kaynakların coğrafi dağılımı da belirleyicidir. Edalat (2026), ormanların yeryüzü kara alanının yaklaşık üçte birini kapladığını, ancak bu örtünün neredeyse yarısının Rusya, Brezilya, Kanada ve Amerika Birleşik Devletleri’nde yoğunlaştığını; buna karşılık ahşap kaynaklarının Orta Doğu ve Kuzey Afrika gibi bölgelerde belirgin biçimde kıt olduğunu belirtmektedir. Dolayısıyla ahşabın erişilebilirliği bölgesel olarak kısıtlıyken, ahşap dışı tarımsal kaynaklar çok daha yaygındır. Bu dağılım, ahşap kaynakları sınırlı coğrafyalarda tarımsal artıklara dayalı malzemelerin stratejik önemini artırmaktadır.</w:t>
      </w:r>
    </w:p>
    <w:p>
      <w:pPr>
        <w:pStyle w:val="Heading2"/>
        <w:spacing w:after="170" w:before="320" w:line="360"/>
      </w:pPr>
      <w:r>
        <w:rPr>
          <w:rFonts w:ascii="Times New Roman" w:cs="Times New Roman" w:eastAsia="Times New Roman" w:hAnsi="Times New Roman"/>
          <w:b/>
          <w:bCs/>
          <w:sz w:val="24"/>
          <w:szCs w:val="24"/>
        </w:rPr>
        <w:t xml:space="preserve">4.3. Döngüsellik erken aşamada kararlaşır</w:t>
      </w:r>
    </w:p>
    <w:p>
      <w:pPr>
        <w:spacing w:after="160" w:line="360"/>
        <w:jc w:val="both"/>
      </w:pPr>
      <w:r>
        <w:rPr>
          <w:rFonts w:ascii="Times New Roman" w:cs="Times New Roman" w:eastAsia="Times New Roman" w:hAnsi="Times New Roman"/>
          <w:sz w:val="24"/>
          <w:szCs w:val="24"/>
        </w:rPr>
        <w:t xml:space="preserve">Edalat (2026), biyolojik temelli yapı malzemelerinin döngüsel ekonomi modelinin tüm aşamalarını — erken aşamalar olarak tedarik, malzeme tasarımı ve üretim; ömür sonu aşamaları olarak toplama ve geri dönüşüm — yarı sistematik bir derlemeyle incelemiş ve bu aşamalar boyunca yirmi iki engel ve araştırma boşluğu tanımlamıştır. Yazara göre hammadde tedariki görece az sorun barındırmakta, üretim ve dağıtım aşamaları kalıcı boşluklar göstermekte, döngüselliğin daha ileri aşamalarında ise önemli engeller sürmektedir.</w:t>
      </w:r>
    </w:p>
    <w:p>
      <w:pPr>
        <w:spacing w:after="160" w:line="360"/>
        <w:jc w:val="both"/>
      </w:pPr>
      <w:r>
        <w:rPr>
          <w:rFonts w:ascii="Times New Roman" w:cs="Times New Roman" w:eastAsia="Times New Roman" w:hAnsi="Times New Roman"/>
          <w:b w:val="false"/>
          <w:bCs w:val="false"/>
          <w:i w:val="false"/>
          <w:iCs w:val="false"/>
          <w:sz w:val="24"/>
          <w:szCs w:val="24"/>
        </w:rPr>
        <w:t xml:space="preserve">Bu saptamanın tasarım açısından sonucu belirleyicidir. Edalat’a (2026) göre söz konusu sınırlılıklar esas olarak </w:t>
      </w:r>
      <w:r>
        <w:rPr>
          <w:rFonts w:ascii="Times New Roman" w:cs="Times New Roman" w:eastAsia="Times New Roman" w:hAnsi="Times New Roman"/>
          <w:b/>
          <w:bCs/>
          <w:i w:val="false"/>
          <w:iCs w:val="false"/>
          <w:sz w:val="24"/>
          <w:szCs w:val="24"/>
        </w:rPr>
        <w:t xml:space="preserve">tasarım aşamasında döngüsel düşüncenin bulunmamasından</w:t>
      </w:r>
      <w:r>
        <w:rPr>
          <w:rFonts w:ascii="Times New Roman" w:cs="Times New Roman" w:eastAsia="Times New Roman" w:hAnsi="Times New Roman"/>
          <w:b w:val="false"/>
          <w:bCs w:val="false"/>
          <w:i w:val="false"/>
          <w:iCs w:val="false"/>
          <w:sz w:val="24"/>
          <w:szCs w:val="24"/>
        </w:rPr>
        <w:t xml:space="preserve"> kaynaklanmaktadır. Yazar bunu somut bir örnekle açıklamaktadır: malzeme tedariki ve erişilebilirliği, sökülebilirlik için tasarım ve bağlayıcı türü — doğal, sentetik ya da hiç kullanılmamış olması — geri dönüştürülebilirlik üzerinde belirleyici bir etkiye sahiptir; buna karşın bu etkenler tasarımda ve araştırmada nadiren göz önünde bulundurulmaktadır.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Bu, bölümün temel savlarından birini kaynaklı biçimde ortaya koymaktadır: </w:t>
      </w:r>
      <w:r>
        <w:rPr>
          <w:rFonts w:ascii="Times New Roman" w:cs="Times New Roman" w:eastAsia="Times New Roman" w:hAnsi="Times New Roman"/>
          <w:b/>
          <w:bCs/>
          <w:i w:val="false"/>
          <w:iCs w:val="false"/>
          <w:sz w:val="24"/>
          <w:szCs w:val="24"/>
        </w:rPr>
        <w:t xml:space="preserve">bir malzemenin döngüselliği biyolojik kökeninde değil, bileşiminde ve birleşiminde kararlaşır.</w:t>
      </w:r>
      <w:r>
        <w:rPr>
          <w:rFonts w:ascii="Times New Roman" w:cs="Times New Roman" w:eastAsia="Times New Roman" w:hAnsi="Times New Roman"/>
          <w:b w:val="false"/>
          <w:bCs w:val="false"/>
          <w:i w:val="false"/>
          <w:iCs w:val="false"/>
          <w:sz w:val="24"/>
          <w:szCs w:val="24"/>
        </w:rPr>
        <w:t xml:space="preserve"> Nitekim Edalat (2026) miselyumu, biyobozunurluğu, kendi kendine bağlanma özelliği ve tarımsal atıkla uyumluluğu nedeniyle güçlü bir kapalı döngü potansiyeli taşıyan bir örnek olarak öne çıkarmaktadır. Miselyumun ayırt edici yanı, bağlayıcı sorununu dışarıdan bir madde eklemeden çözmesidir.</w:t>
      </w:r>
    </w:p>
    <w:p>
      <w:pPr>
        <w:spacing w:after="160" w:line="360"/>
        <w:jc w:val="both"/>
      </w:pPr>
      <w:r>
        <w:rPr>
          <w:rFonts w:ascii="Times New Roman" w:cs="Times New Roman" w:eastAsia="Times New Roman" w:hAnsi="Times New Roman"/>
          <w:sz w:val="24"/>
          <w:szCs w:val="24"/>
        </w:rPr>
        <w:t xml:space="preserve">Edalat (2026) bu boşlukları gidermek üzere döngüsel malzeme tasarımı ve seçimi için altı ölçütlü bir çerçeve önermektedir (Tablo 3). Yazar ayrıca sökülebilirlik için tasarımın bu çerçevenin temel bir bileşeni olarak bütünleştirilmesini önemle tavsiye etmektedir.</w:t>
      </w:r>
    </w:p>
    <w:p>
      <w:pPr>
        <w:keepNext/>
        <w:spacing w:after="140" w:before="400" w:line="240"/>
      </w:pPr>
      <w:r>
        <w:rPr>
          <w:rFonts w:ascii="Times New Roman" w:cs="Times New Roman" w:eastAsia="Times New Roman" w:hAnsi="Times New Roman"/>
          <w:b/>
          <w:bCs/>
          <w:sz w:val="22"/>
          <w:szCs w:val="22"/>
        </w:rPr>
        <w:t xml:space="preserve">Tablo 3. </w:t>
      </w:r>
      <w:r>
        <w:rPr>
          <w:rFonts w:ascii="Times New Roman" w:cs="Times New Roman" w:eastAsia="Times New Roman" w:hAnsi="Times New Roman"/>
          <w:sz w:val="22"/>
          <w:szCs w:val="22"/>
        </w:rPr>
        <w:t xml:space="preserve">Döngüsel biyolojik temelli yapı malzemeleri için tasarım ve seçim ölçütleri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26"/>
      </w:tblGrid>
      <w:tr>
        <w:trPr>
          <w:tblHeader/>
        </w:trPr>
        <w:tc>
          <w:tcPr>
            <w:tcW w:type="dxa" w:w="7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
            </w:r>
          </w:p>
        </w:tc>
        <w:tc>
          <w:tcPr>
            <w:tcW w:type="dxa" w:w="39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Ölçüt</w:t>
            </w:r>
          </w:p>
        </w:tc>
        <w:tc>
          <w:tcPr>
            <w:tcW w:type="dxa" w:w="4426"/>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Değerlendirdiği soru</w:t>
            </w:r>
          </w:p>
        </w:tc>
      </w:tr>
      <w:tr>
        <w:tc>
          <w:tcPr>
            <w:tcW w:type="dxa" w:w="7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A</w:t>
            </w:r>
          </w:p>
        </w:tc>
        <w:tc>
          <w:tcPr>
            <w:tcW w:type="dxa" w:w="39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Genel sürdürülebilirlik yönleri</w:t>
            </w:r>
          </w:p>
        </w:tc>
        <w:tc>
          <w:tcPr>
            <w:tcW w:type="dxa" w:w="44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 genel sürdürülebilirlik ölçütlerini karşılıyor mu?</w:t>
            </w:r>
          </w:p>
        </w:tc>
      </w:tr>
      <w:tr>
        <w:tc>
          <w:tcPr>
            <w:tcW w:type="dxa" w:w="7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w:t>
            </w:r>
          </w:p>
        </w:tc>
        <w:tc>
          <w:tcPr>
            <w:tcW w:type="dxa" w:w="39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Atık kökenli ya da yenilenebilir tedarik</w:t>
            </w:r>
          </w:p>
        </w:tc>
        <w:tc>
          <w:tcPr>
            <w:tcW w:type="dxa" w:w="44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Girdi bir atık akımından mı, yenilenebilir bir kaynaktan mı geliyor?</w:t>
            </w:r>
          </w:p>
        </w:tc>
      </w:tr>
      <w:tr>
        <w:tc>
          <w:tcPr>
            <w:tcW w:type="dxa" w:w="7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C</w:t>
            </w:r>
          </w:p>
        </w:tc>
        <w:tc>
          <w:tcPr>
            <w:tcW w:type="dxa" w:w="39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Sera gazı azaltımı ve düşük karbon niteliği</w:t>
            </w:r>
          </w:p>
        </w:tc>
        <w:tc>
          <w:tcPr>
            <w:tcW w:type="dxa" w:w="44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 salım azaltımına katkı sağlıyor mu?</w:t>
            </w:r>
          </w:p>
        </w:tc>
      </w:tr>
      <w:tr>
        <w:tc>
          <w:tcPr>
            <w:tcW w:type="dxa" w:w="7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w:t>
            </w:r>
          </w:p>
        </w:tc>
        <w:tc>
          <w:tcPr>
            <w:tcW w:type="dxa" w:w="39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Geri dönüştürülebilirlik, biyobozunurluk ve ömür sonu</w:t>
            </w:r>
          </w:p>
        </w:tc>
        <w:tc>
          <w:tcPr>
            <w:tcW w:type="dxa" w:w="44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Ömür sonunda ne oluyor?</w:t>
            </w:r>
          </w:p>
        </w:tc>
      </w:tr>
      <w:tr>
        <w:tc>
          <w:tcPr>
            <w:tcW w:type="dxa" w:w="7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E</w:t>
            </w:r>
          </w:p>
        </w:tc>
        <w:tc>
          <w:tcPr>
            <w:tcW w:type="dxa" w:w="39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Coğrafi erişilebilirlik ve tedarik zinciri güvenliği</w:t>
            </w:r>
          </w:p>
        </w:tc>
        <w:tc>
          <w:tcPr>
            <w:tcW w:type="dxa" w:w="44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Kaynak bölgesel olarak erişilebilir mi?</w:t>
            </w:r>
          </w:p>
        </w:tc>
      </w:tr>
      <w:tr>
        <w:tc>
          <w:tcPr>
            <w:tcW w:type="dxa" w:w="7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F</w:t>
            </w:r>
          </w:p>
        </w:tc>
        <w:tc>
          <w:tcPr>
            <w:tcW w:type="dxa" w:w="39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Özel ya da bağlama özgü nitelikler</w:t>
            </w:r>
          </w:p>
        </w:tc>
        <w:tc>
          <w:tcPr>
            <w:tcW w:type="dxa" w:w="44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 bağlama özgü işlevsel nitelikler taşıyor mu?</w:t>
            </w:r>
          </w:p>
        </w:tc>
      </w:tr>
    </w:tbl>
    <w:p>
      <w:pPr>
        <w:spacing w:after="340" w:before="130" w:line="240"/>
      </w:pPr>
      <w:r>
        <w:rPr>
          <w:rFonts w:ascii="Times New Roman" w:cs="Times New Roman" w:eastAsia="Times New Roman" w:hAnsi="Times New Roman"/>
          <w:i/>
          <w:iCs/>
          <w:sz w:val="18"/>
          <w:szCs w:val="18"/>
        </w:rPr>
        <w:t xml:space="preserve">Kaynak: Edalat (2026). Yazar, bu ölçütleri yirmi çalışma üzerinde “dikkate alınmamış”, “kısmen dikkate alınmış” ve “tümüyle dikkate alınmış” biçiminde üç düzeyli olarak değerlendirmiştir. Çerçeveye sökülebilirlik için tasarımın temel bir bileşen olarak bütünleştirilmesi önerilmektedir.</w:t>
      </w:r>
    </w:p>
    <w:p>
      <w:pPr>
        <w:pStyle w:val="Heading2"/>
        <w:spacing w:after="170" w:before="320" w:line="360"/>
      </w:pPr>
      <w:r>
        <w:rPr>
          <w:rFonts w:ascii="Times New Roman" w:cs="Times New Roman" w:eastAsia="Times New Roman" w:hAnsi="Times New Roman"/>
          <w:b/>
          <w:bCs/>
          <w:sz w:val="24"/>
          <w:szCs w:val="24"/>
        </w:rPr>
        <w:t xml:space="preserve">4.4. Biyolojik köken döngüsellik güvencesi midir?</w:t>
      </w:r>
    </w:p>
    <w:p>
      <w:pPr>
        <w:spacing w:after="160" w:line="360"/>
        <w:jc w:val="both"/>
      </w:pPr>
      <w:r>
        <w:rPr>
          <w:rFonts w:ascii="Times New Roman" w:cs="Times New Roman" w:eastAsia="Times New Roman" w:hAnsi="Times New Roman"/>
          <w:b w:val="false"/>
          <w:bCs w:val="false"/>
          <w:i w:val="false"/>
          <w:iCs w:val="false"/>
          <w:sz w:val="24"/>
          <w:szCs w:val="24"/>
        </w:rPr>
        <w:t xml:space="preserve">Bu başlığın sorusuna alanyazın olumsuz yanıt vermektedir. Edalat (2026), biyolojik temelli yapı malzemelerinin yenilenebilir, yenileyici ve düşük etkili nitelikleri nedeniyle döngüsel biyoekonominin ilkeleriyle yakından örtüşmesine karşın, döngüsel ekonomi sistemlerine eklemlenmelerinin </w:t>
      </w:r>
      <w:r>
        <w:rPr>
          <w:rFonts w:ascii="Times New Roman" w:cs="Times New Roman" w:eastAsia="Times New Roman" w:hAnsi="Times New Roman"/>
          <w:b/>
          <w:bCs/>
          <w:i w:val="false"/>
          <w:iCs w:val="false"/>
          <w:sz w:val="24"/>
          <w:szCs w:val="24"/>
        </w:rPr>
        <w:t xml:space="preserve">kavramsal olarak parçalı ve uygulamada tutarsız</w:t>
      </w:r>
      <w:r>
        <w:rPr>
          <w:rFonts w:ascii="Times New Roman" w:cs="Times New Roman" w:eastAsia="Times New Roman" w:hAnsi="Times New Roman"/>
          <w:b w:val="false"/>
          <w:bCs w:val="false"/>
          <w:i w:val="false"/>
          <w:iCs w:val="false"/>
          <w:sz w:val="24"/>
          <w:szCs w:val="24"/>
        </w:rPr>
        <w:t xml:space="preserve"> kaldığını belirtmektedir. Yazara göre yapı malzemesi alanındaki mevcut döngüsel yaklaşımlar çoğunlukla tutarlılıktan yoksundur ve döngüsel ekonominin temel hedeflerinden sapmaktadır. Bu değerlendirme, girişte aktarılan iki uyarıyla birlikte okunmalıdır: çevresel avantaj iddialarının her biri için önemli istisnalar bulunması (O’Rourke ve Seepersad, 2015) ve biyokompozitlerin uzun süreli dayanıklılığına ilişkin bilginin sınırlılığı (Chang ve diğ., 2020). Döngüsellik iddiası, ömür sonu davranışının bilinmediği bir malzeme için temelsiz kalır.</w:t>
      </w:r>
    </w:p>
    <w:p>
      <w:pPr>
        <w:spacing w:after="160" w:line="360"/>
        <w:jc w:val="both"/>
      </w:pPr>
      <w:r>
        <w:rPr>
          <w:rFonts w:ascii="Times New Roman" w:cs="Times New Roman" w:eastAsia="Times New Roman" w:hAnsi="Times New Roman"/>
          <w:sz w:val="24"/>
          <w:szCs w:val="24"/>
        </w:rPr>
        <w:t xml:space="preserve">Edalat’ın (2026) kaynak çeşitliliğine ilişkin önerisi de bu eleştirel çerçevenin parçasıdır. Yazar, ahşap ile ahşap dışı biyolojik temelli malzemelerin dengeli biçimde kullanılmasını önemle tavsiye etmektedir: ahşaba aşırı bağımlılık ormansızlaşma ve biyoçeşitlilik kaybı riski taşırken, yalnızca ahşap dışı malzemelere dayanmak ölçeklenebilirlikten yoksundur. Ahşap yapısal bütünlük ve standartlaşma sunarken, ahşap dışı malzemeler ısıl, akustik ve ekolojik katkılar sağlamaktadır; yazara göre bu tamamlayıcı güçlerin bütünleştirilmesi döngüselliğe daha dirençli ve tutarlı bir yol sunmaktadır.</w:t>
      </w:r>
    </w:p>
    <w:p>
      <w:pPr>
        <w:pStyle w:val="Heading2"/>
        <w:spacing w:after="170" w:before="320" w:line="360"/>
      </w:pPr>
      <w:r>
        <w:rPr>
          <w:rFonts w:ascii="Times New Roman" w:cs="Times New Roman" w:eastAsia="Times New Roman" w:hAnsi="Times New Roman"/>
          <w:b/>
          <w:bCs/>
          <w:sz w:val="24"/>
          <w:szCs w:val="24"/>
        </w:rPr>
        <w:t xml:space="preserve">4.5. Sistemden mekâna</w:t>
      </w:r>
    </w:p>
    <w:p>
      <w:pPr>
        <w:spacing w:after="160" w:line="360"/>
        <w:jc w:val="both"/>
      </w:pPr>
      <w:r>
        <w:rPr>
          <w:rFonts w:ascii="Times New Roman" w:cs="Times New Roman" w:eastAsia="Times New Roman" w:hAnsi="Times New Roman"/>
          <w:sz w:val="24"/>
          <w:szCs w:val="24"/>
        </w:rPr>
        <w:t xml:space="preserve">Edalat’ın (2026) saptamalarından ikisi izleyen başlıklara doğrudan köprü kurmaktadır. Birincisi, ahşap dışı biyolojik temelli malzemelerin sınırlı mekanik dayanımları nedeniyle taşıyıcı yapı elemanlarında nadiren kullanılmasıdır; bu durum bir eksiklik olarak okunabileceği gibi, söz konusu malzemelerin öncelikli uygulama alanının taşıyıcı olmayan bileşenler olduğuna dair bir işaret olarak da değerlendirilebilir. İkincisi, yazarın gelecek araştırma yönleri arasında kullanım, onarım ve yeniden kullanım aşamalarının yeterince araştırılmamış ve büyük ölçüde bağlama bağlı olduğunu; kullanım ömrünü uzatma stratejileri ile kullanıcı kaynaklı bakım ve onarılabilirlik pratiklerinin öncelikli alanlar oluşturduğunu belirtmesidir. Her iki saptama da tartışmayı malzeme ölçeğinden mekân ölçeğine taşımaktadır. Edalat’ın (2026) kendi ifadesiyle, kuramsal sürdürülebilirlikten uygulamalı döngüselliğe ilerlemek yalnızca daha iyi malzemeler değil, aynı zamanda daha iyi sistemler ve çerçeveler gerektirmektedir.</w:t>
      </w:r>
    </w:p>
    <w:p>
      <w:pPr>
        <w:pStyle w:val="Heading1"/>
        <w:spacing w:after="220" w:before="440" w:line="360"/>
      </w:pPr>
      <w:r>
        <w:rPr>
          <w:rFonts w:ascii="Times New Roman" w:cs="Times New Roman" w:eastAsia="Times New Roman" w:hAnsi="Times New Roman"/>
          <w:b/>
          <w:bCs/>
          <w:sz w:val="26"/>
          <w:szCs w:val="26"/>
        </w:rPr>
        <w:t xml:space="preserve">5. ADAPTASYON, DEĞİŞKENLİK VE DİRENÇLİLİK</w:t>
      </w:r>
    </w:p>
    <w:p>
      <w:pPr>
        <w:spacing w:after="160" w:line="360"/>
        <w:jc w:val="both"/>
      </w:pPr>
      <w:r>
        <w:rPr>
          <w:rFonts w:ascii="Times New Roman" w:cs="Times New Roman" w:eastAsia="Times New Roman" w:hAnsi="Times New Roman"/>
          <w:sz w:val="24"/>
          <w:szCs w:val="24"/>
        </w:rPr>
        <w:t xml:space="preserve">Önceki başlıkta döngüselliğin biyolojik kökenle güvence altına alınamayacağı ortaya konmuştu. Bu başlıkta tartışma bir adım ileri taşınarak, biyolojik temelli malzemelerin tasarım sürecine taşıdığı üç özellik — adaptasyon, değişkenlik ve zamansallık — dirençlilik kavramı üzerinden ele alınmaktadır.</w:t>
      </w:r>
    </w:p>
    <w:p>
      <w:pPr>
        <w:pStyle w:val="Heading2"/>
        <w:spacing w:after="170" w:before="320" w:line="360"/>
      </w:pPr>
      <w:r>
        <w:rPr>
          <w:rFonts w:ascii="Times New Roman" w:cs="Times New Roman" w:eastAsia="Times New Roman" w:hAnsi="Times New Roman"/>
          <w:b/>
          <w:bCs/>
          <w:sz w:val="24"/>
          <w:szCs w:val="24"/>
        </w:rPr>
        <w:t xml:space="preserve">5.1. Dirençliliğin iki tanımı</w:t>
      </w:r>
    </w:p>
    <w:p>
      <w:pPr>
        <w:spacing w:after="160" w:line="360"/>
        <w:jc w:val="both"/>
      </w:pPr>
      <w:r>
        <w:rPr>
          <w:rFonts w:ascii="Times New Roman" w:cs="Times New Roman" w:eastAsia="Times New Roman" w:hAnsi="Times New Roman"/>
          <w:sz w:val="24"/>
          <w:szCs w:val="24"/>
        </w:rPr>
        <w:t xml:space="preserve">Dirençlilik kavramı yapılı çevre alanyazınında birbirinden önemli ölçüde farklı iki anlamda kullanılmaktadır. Heymans, Breadsell, Morrison, Byrne ve Eon (2019), ekolojik kentsel planlama ve tasarım alanyazınını 57 makale üzerinden sistematik olarak inceledikleri çalışmalarında bu iki tanımı ayırt etmektedir. Eski tanım, bir sistemin bozulmanın ardından dengeye dönme yeteneğine işaret eder ve yazarlara göre sistemlerin verimliliğine ve öngörülebilirliğine odaklanması bakımından modernist paradigmayla tutarlıdır. Daha yeni tanım ise denge dışı karmaşık uyarlanabilir sistemlerle ilişkilidir ve dirençliliği, bir sistemin temel yapısını ve işlevini sürdürürken değişimi soğurma ve değişime uyarlanma yeteneği olarak vurgular. Yazarlar, dinamik, karmaşık ve uyarlanabilir sistemler açısından geçerli olanın bu ikinci tanım olduğunu belirtmektedir.</w:t>
      </w:r>
    </w:p>
    <w:p>
      <w:pPr>
        <w:spacing w:after="160" w:line="360"/>
        <w:jc w:val="both"/>
      </w:pPr>
      <w:r>
        <w:rPr>
          <w:rFonts w:ascii="Times New Roman" w:cs="Times New Roman" w:eastAsia="Times New Roman" w:hAnsi="Times New Roman"/>
          <w:sz w:val="24"/>
          <w:szCs w:val="24"/>
        </w:rPr>
        <w:t xml:space="preserve">Andréen ve Goidea (2022) aynı ayrımı malzeme ölçeğinde kurmaktadır. Yazarlara göre mühendislik dirençliliği olarak adlandırılan birinci tanım daha çok doğrusal sistemler ile değişime direnmenin ve mevcut yapıları korumanın amaçlandığı bağlamlar için geçerlidir; karmaşık uyarlanabilir sistemlerde dirençlilik ise bozulmaları soğurma ve değişim geçirirken yeniden örgütlenerek esasen aynı işlevi, yapıyı, kimliği ve geri besleme ilişkilerini koruma yeteneği olarak tanımlanmaktadır. Bu çerçevede uyarlanabilir sistemler değişimi bir tehdit değil, bozulmanın ardından yenilenme, rejenerasyon ve yeniden örgütlenme için bir olanak olarak kullanır.</w:t>
      </w:r>
    </w:p>
    <w:p>
      <w:pPr>
        <w:spacing w:after="160" w:line="360"/>
        <w:jc w:val="both"/>
      </w:pPr>
      <w:r>
        <w:rPr>
          <w:rFonts w:ascii="Times New Roman" w:cs="Times New Roman" w:eastAsia="Times New Roman" w:hAnsi="Times New Roman"/>
          <w:sz w:val="24"/>
          <w:szCs w:val="24"/>
        </w:rPr>
        <w:t xml:space="preserve">Ayrımın tasarım açısından sonucu şudur: Heymans ve diğ.’nin (2019) belirttiği gibi, sistemler öngörülemez olduğunda sistemin sürdürülebilirliği onun dirençlilik kapasitesine bağlı hâle gelir. Yazarlar bunun planlamacı ve tasarımcılar için, idealleştirilmiş bir sürdürülebilir mekânsal biçim geliştirmekten, sistemin uyarlanma kapasitesinden doğan dirençliliğini kurmak üzere nasıl örgütlenebileceğini düşünmeye geçmek anlamına geldiğini vurgulamaktadır. Sürdürülebilirlik bir biçim hedefi olmaktan çıkıp bir örgütlenme sorusuna dönüşmektedir.</w:t>
      </w:r>
    </w:p>
    <w:p>
      <w:pPr>
        <w:pStyle w:val="Heading2"/>
        <w:spacing w:after="170" w:before="320" w:line="360"/>
      </w:pPr>
      <w:r>
        <w:rPr>
          <w:rFonts w:ascii="Times New Roman" w:cs="Times New Roman" w:eastAsia="Times New Roman" w:hAnsi="Times New Roman"/>
          <w:b/>
          <w:bCs/>
          <w:sz w:val="24"/>
          <w:szCs w:val="24"/>
        </w:rPr>
        <w:t xml:space="preserve">5.2. Dirençlilik yoluyla dayanıklılık</w:t>
      </w:r>
    </w:p>
    <w:p>
      <w:pPr>
        <w:spacing w:after="160" w:line="360"/>
        <w:jc w:val="both"/>
      </w:pPr>
      <w:r>
        <w:rPr>
          <w:rFonts w:ascii="Times New Roman" w:cs="Times New Roman" w:eastAsia="Times New Roman" w:hAnsi="Times New Roman"/>
          <w:sz w:val="24"/>
          <w:szCs w:val="24"/>
        </w:rPr>
        <w:t xml:space="preserve">Andréen ve Goidea (2022), biyolojik tasarım ilkeleri arasında saydıkları dirençlilik yoluyla dayanıklılık ilkesini modern mimarlık kültürünün kalıcı ve durağan malzeme ve biçimlere olan eğilimiyle karşıtlık içinde kurmaktadır. Yazarlara göre bu eğilim, tek tek hücrelerin ölümlü olmasına karşın bütünsel biçimin sürdüğü biyolojik bedenlerin işleyişine aykırıdır; biyolojik tasarım sistemi ise doğası gereği döngüseldir ve malzeme kullanımı için ikna edici bir perspektif sunmaktadır.</w:t>
      </w:r>
    </w:p>
    <w:p>
      <w:pPr>
        <w:spacing w:after="160" w:line="360"/>
        <w:jc w:val="both"/>
      </w:pPr>
      <w:r>
        <w:rPr>
          <w:rFonts w:ascii="Times New Roman" w:cs="Times New Roman" w:eastAsia="Times New Roman" w:hAnsi="Times New Roman"/>
          <w:sz w:val="24"/>
          <w:szCs w:val="24"/>
        </w:rPr>
        <w:t xml:space="preserve">Yazarlar buradan güncel sürdürülebilirlik söylemine yönelik açık bir eleştiri türetmektedir: ekolojik ve iklimsel bir acil durum döneminde, sürdürülebilirlik niteliğini başlangıçtaki kaynak tüketiminin uzun bir süreye yayıldığı varsayımından elde eden yapılar inşa etmek savunulabilir değildir. Bu eleştiri, toplumun, kentlerin ve doğanın teknolojik gelişme, nüfus artışı, göç ve iklim değişikliği nedeniyle giderek hızlanan bir tempoda değiştiği koşullarda özellikle geçerlidir.</w:t>
      </w:r>
    </w:p>
    <w:p>
      <w:pPr>
        <w:spacing w:after="160" w:line="360"/>
        <w:jc w:val="both"/>
      </w:pPr>
      <w:r>
        <w:rPr>
          <w:rFonts w:ascii="Times New Roman" w:cs="Times New Roman" w:eastAsia="Times New Roman" w:hAnsi="Times New Roman"/>
          <w:b w:val="false"/>
          <w:bCs w:val="false"/>
          <w:i w:val="false"/>
          <w:iCs w:val="false"/>
          <w:sz w:val="24"/>
          <w:szCs w:val="24"/>
        </w:rPr>
        <w:t xml:space="preserve">Bu akıl yürütmenin biyomalzemeler açısından sonucu, alanyazındaki en keskin saptamalardan biridir: biyomalzemeler endüstriyel olarak mühendislik ürünü malzemelere kıyasla daha az dayanıklılık sergiliyorlarsa, aynı zamanda daha esnek, daha dinamik ve daha geri dönüştürülebilirdir; sürekli yeniden biçimlendirme ve bakım ilkeleri üzerine kurulu bir yapı ise doğası gereği uyarlanabilirdir (Andréen ve Goidea, 2022). </w:t>
      </w:r>
      <w:r>
        <w:rPr>
          <w:rFonts w:ascii="Times New Roman" w:cs="Times New Roman" w:eastAsia="Times New Roman" w:hAnsi="Times New Roman"/>
          <w:b/>
          <w:bCs/>
          <w:i w:val="false"/>
          <w:iCs w:val="false"/>
          <w:sz w:val="24"/>
          <w:szCs w:val="24"/>
        </w:rPr>
        <w:t xml:space="preserve">Dayanıklılık, bu çerçevede malzemenin bozulmaması değil, sistemin değişim karşısında sürekliliğini koruyabilmesi anlamına gelmektedir.</w:t>
      </w:r>
    </w:p>
    <w:p>
      <w:pPr>
        <w:spacing w:after="160" w:line="360"/>
        <w:jc w:val="both"/>
      </w:pPr>
      <w:r>
        <w:rPr>
          <w:rFonts w:ascii="Times New Roman" w:cs="Times New Roman" w:eastAsia="Times New Roman" w:hAnsi="Times New Roman"/>
          <w:sz w:val="24"/>
          <w:szCs w:val="24"/>
        </w:rPr>
        <w:t xml:space="preserve">Yazarlar bu ilkenin örneğini dünyanın çeşitli yerlerinde hâlâ varlığını sürdüren vernaküler toprak köylerinde bulmaktadır. Kil esaslı bu yapılar kullanılabilir durumda kalmak için sürekli bakım gerektirir; bakım sürdürüldüğünde yapılar dirençliliğini korur ve bakım gereksinimi düşük düzeyde kalır. Sürdürülmediğinde ise yapılar yavaşça doğal bir hâle dönerek peyzaja geri karışır ya da yeni yapılar için hammaddeye dönüşür. Malzemeler kimyasal olarak ya da ısıyla işlenmemiş olduğundan yapılı çevre tümüyle tersinirdir; ekleme ve değişiklikler az çabayla yapılabilir, enerji kullanımı ve taşıma asgari düzeydedir. Yazarlar ayrıca, bakım yükünün geçmişte vernaküler malzemelerden endüstriyel malzemelere yönelişin başlıca itici güçlerinden biri olduğunu ve robotik, üç boyutlu baskı, benzetim ve biyomalzeme bilimindeki gelişmelerin bu yükü azaltma potansiyeli taşıdığını belirtmektedir.</w:t>
      </w:r>
    </w:p>
    <w:p>
      <w:pPr>
        <w:pStyle w:val="Heading2"/>
        <w:spacing w:after="170" w:before="320" w:line="360"/>
      </w:pPr>
      <w:r>
        <w:rPr>
          <w:rFonts w:ascii="Times New Roman" w:cs="Times New Roman" w:eastAsia="Times New Roman" w:hAnsi="Times New Roman"/>
          <w:b/>
          <w:bCs/>
          <w:sz w:val="24"/>
          <w:szCs w:val="24"/>
        </w:rPr>
        <w:t xml:space="preserve">5.3. Değişkenlik: kusur mu, kapasite mi?</w:t>
      </w:r>
    </w:p>
    <w:p>
      <w:pPr>
        <w:spacing w:after="160" w:line="360"/>
        <w:jc w:val="both"/>
      </w:pPr>
      <w:r>
        <w:rPr>
          <w:rFonts w:ascii="Times New Roman" w:cs="Times New Roman" w:eastAsia="Times New Roman" w:hAnsi="Times New Roman"/>
          <w:sz w:val="24"/>
          <w:szCs w:val="24"/>
        </w:rPr>
        <w:t xml:space="preserve">Goidea, Floudas ve Andréen (2022), biyofabrikasyonun yapı üretiminde kullanılmasının en umut verici yönlerinden birinin adaptasyon ve değişkenlik potansiyeli olduğunu belirtmektedir. Yazarlara göre miselyum biyokompozitlerde farklı mantar türleri, hem üretim süreci hem de mimari nesnenin performansı bakımından farklı sonuçlara yol açar; tür seçiminde biyolojik açıdan büyüme hızı, dallanma örüntüleri, genetik kararlılık ve rekabet gücü gibi etkenler, mimari açıdan ise çekme ve basma dayanımı, lif yapışkanlığı, ısı iletkenliği, su iticilik, görünüm ve dayanıklılık gibi etkenler devreye girmektedir.</w:t>
      </w:r>
    </w:p>
    <w:p>
      <w:pPr>
        <w:spacing w:after="160" w:line="360"/>
        <w:jc w:val="both"/>
      </w:pPr>
      <w:r>
        <w:rPr>
          <w:rFonts w:ascii="Times New Roman" w:cs="Times New Roman" w:eastAsia="Times New Roman" w:hAnsi="Times New Roman"/>
          <w:sz w:val="24"/>
          <w:szCs w:val="24"/>
        </w:rPr>
        <w:t xml:space="preserve">Değişkenlik bu çerçevede bir kusur değil, tasarımın çalıştığı parametre kümesine dönüşmektedir. Yazarlar bunun tasarım pratiğindeki karşılığını şöyle tanımlamaktadır: mimarlar biçim çizmek yerine, ancak bir bağlama yerleştirildiğinde anlam kazanan süreçleri tanımlayabilir; bu bağlama karşılık veren biçim çok ölçekli olarak yerele uyarlanır ve içsel ile dışsal mantığında tutarlılığı korurken ilkesel olarak sınırsız değişkenlik sergileyebilir.</w:t>
      </w:r>
    </w:p>
    <w:p>
      <w:pPr>
        <w:spacing w:after="160" w:line="360"/>
        <w:jc w:val="both"/>
      </w:pPr>
      <w:r>
        <w:rPr>
          <w:rFonts w:ascii="Times New Roman" w:cs="Times New Roman" w:eastAsia="Times New Roman" w:hAnsi="Times New Roman"/>
          <w:b w:val="false"/>
          <w:bCs w:val="false"/>
          <w:i w:val="false"/>
          <w:iCs w:val="false"/>
          <w:sz w:val="24"/>
          <w:szCs w:val="24"/>
        </w:rPr>
        <w:t xml:space="preserve">Ancak değişkenliğin yalnızca bir olanak olmadığı da belirtilmelidir. Chang, Mohanty ve Misra (2020), biyokompozitlerin mekanik performansını geliştirmeye yönelik çalışmaların çokluğuna karşın, bu malzemelerin </w:t>
      </w:r>
      <w:r>
        <w:rPr>
          <w:rFonts w:ascii="Times New Roman" w:cs="Times New Roman" w:eastAsia="Times New Roman" w:hAnsi="Times New Roman"/>
          <w:b/>
          <w:bCs/>
          <w:i w:val="false"/>
          <w:iCs w:val="false"/>
          <w:sz w:val="24"/>
          <w:szCs w:val="24"/>
        </w:rPr>
        <w:t xml:space="preserve">uzun süreli dayanıklılık performansına ilişkin bilimsel bilginin erişilebilir alanyazında oldukça sınırlı kaldığını</w:t>
      </w:r>
      <w:r>
        <w:rPr>
          <w:rFonts w:ascii="Times New Roman" w:cs="Times New Roman" w:eastAsia="Times New Roman" w:hAnsi="Times New Roman"/>
          <w:b w:val="false"/>
          <w:bCs w:val="false"/>
          <w:i w:val="false"/>
          <w:iCs w:val="false"/>
          <w:sz w:val="24"/>
          <w:szCs w:val="24"/>
        </w:rPr>
        <w:t xml:space="preserve"> ortaya koymakta; farklı yaşlanma mekanizmalarının ve hizmet koşullarının etkilerine yönelik çalışmalara ihtiyaç duyulduğunu belirtmektedir. Dolayısıyla değişkenliği bir kapasiteye dönüştürmek, malzemenin zaman içindeki davranışının bilinmesini gerektirir; bu bilgi henüz büyük ölçüde eksiktir.</w:t>
      </w:r>
    </w:p>
    <w:p>
      <w:pPr>
        <w:pStyle w:val="Heading2"/>
        <w:spacing w:after="170" w:before="320" w:line="360"/>
      </w:pPr>
      <w:r>
        <w:rPr>
          <w:rFonts w:ascii="Times New Roman" w:cs="Times New Roman" w:eastAsia="Times New Roman" w:hAnsi="Times New Roman"/>
          <w:b/>
          <w:bCs/>
          <w:sz w:val="24"/>
          <w:szCs w:val="24"/>
        </w:rPr>
        <w:t xml:space="preserve">5.4. Zamansallık: üretim ile kullanımın koşutluğu</w:t>
      </w:r>
    </w:p>
    <w:p>
      <w:pPr>
        <w:spacing w:after="160" w:line="360"/>
        <w:jc w:val="both"/>
      </w:pPr>
      <w:r>
        <w:rPr>
          <w:rFonts w:ascii="Times New Roman" w:cs="Times New Roman" w:eastAsia="Times New Roman" w:hAnsi="Times New Roman"/>
          <w:sz w:val="24"/>
          <w:szCs w:val="24"/>
        </w:rPr>
        <w:t xml:space="preserve">Biyolojik temelli üretimin zamansal örgütlenmesi de dirençlilik tartışmasının bir parçasıdır. Andréen ve Goidea (2022), biyofabrikasyonun zaman çizelgesinin — miselyum esaslı malzemelerde günler ile haftalar aralığında — diğer yapı malzemelerine kıyasla bir dezavantaj oluşturabileceğini, ancak beton yapıların da tam kürlenme için sıklıkla benzer süreler gerektirdiğini hatırlatmaktadır. Yazarlara göre belirleyici olan süre değil, üretim ile kullanım arasındaki ilişkinin kurgulanma biçimidir: inşa ile iskân ilişkisi doğrusal değil koşut olarak yeniden düşünüldüğünde ivedilik anlamını yitirir ve yapının iskânı, yapının büyümesi ve yeniden yapılmasıyla sürekli biçimde birlikte var olur.</w:t>
      </w:r>
    </w:p>
    <w:p>
      <w:pPr>
        <w:spacing w:after="160" w:line="360"/>
        <w:jc w:val="both"/>
      </w:pPr>
      <w:r>
        <w:rPr>
          <w:rFonts w:ascii="Times New Roman" w:cs="Times New Roman" w:eastAsia="Times New Roman" w:hAnsi="Times New Roman"/>
          <w:b w:val="false"/>
          <w:bCs w:val="false"/>
          <w:i w:val="false"/>
          <w:iCs w:val="false"/>
          <w:sz w:val="24"/>
          <w:szCs w:val="24"/>
        </w:rPr>
        <w:t xml:space="preserve">Yazarlar bu kurgunun yapı kültüründe karşılığı bulunduğunu iki örnekle göstermektedir. İran’daki Esfahak köyü, neredeyse tümüyle yerel kil bakımından zengin topraktan; kazı, kerpiç duvar ve tonoz birleşimiyle inşa edilmiş bir ile üç katlı bir yerleşmedir. İsveçli sanatçı Lars Vilks’in </w:t>
      </w:r>
      <w:r>
        <w:rPr>
          <w:rFonts w:ascii="Times New Roman" w:cs="Times New Roman" w:eastAsia="Times New Roman" w:hAnsi="Times New Roman"/>
          <w:b w:val="false"/>
          <w:bCs w:val="false"/>
          <w:i/>
          <w:iCs/>
          <w:sz w:val="24"/>
          <w:szCs w:val="24"/>
        </w:rPr>
        <w:t xml:space="preserve">Nimis</w:t>
      </w:r>
      <w:r>
        <w:rPr>
          <w:rFonts w:ascii="Times New Roman" w:cs="Times New Roman" w:eastAsia="Times New Roman" w:hAnsi="Times New Roman"/>
          <w:b w:val="false"/>
          <w:bCs w:val="false"/>
          <w:i w:val="false"/>
          <w:iCs w:val="false"/>
          <w:sz w:val="24"/>
          <w:szCs w:val="24"/>
        </w:rPr>
        <w:t xml:space="preserve"> adlı yapıtı ise 1980’den sanatçının 2021’deki ölümüne kadar sürekli inşa hâlinde kalmış; sürüklenmiş odun ve çividen üretilmiş, bütüncül bir plana veya belirlenmiş bir biçime dayanmayan, yeni taşıyıcı ögelerin zaman ve mekânda yerel algılama ve karar verme süreçleriyle eklendiği bir yapıdır. Bu yavaş ve etkileşimli sürecin iki belirgin avantajı vardır: hammaddenin yerel güneş ve yağıştan üretilebilmesi ve uyarlanabilirlik ile değişime olanak tanınması.</w:t>
      </w:r>
    </w:p>
    <w:p>
      <w:pPr>
        <w:spacing w:after="160" w:line="360"/>
        <w:jc w:val="both"/>
      </w:pPr>
      <w:r>
        <w:rPr>
          <w:rFonts w:ascii="Times New Roman" w:cs="Times New Roman" w:eastAsia="Times New Roman" w:hAnsi="Times New Roman"/>
          <w:sz w:val="24"/>
          <w:szCs w:val="24"/>
        </w:rPr>
        <w:t xml:space="preserve">Aynı çalışma, endüstriyel standartlaşmanın nedenine ilişkin açıklayıcı bir nedensellik zinciri de kurmaktadır. İskân ile inşa birbirinden ayrıldığında, yapının kullanımını azami kılmak için inşa aşamasının olabildiğince kısa olması gerekir; bu senaryoda geniş bir alandan gelen kaynakların sınırlı bir odakta yoğun biçimde kullanılmasına olanak tanıdığı için merkezî bir sistem büyük yarar sağlar. Burada ölçek ekonomileri belirleyici hâle gelir ve malzemelerin standartlaşması bunu izler. Buna karşılık daha organik bir büyüme modeli olanaklı kılındığında malzeme tedariki yerel olarak çözülebilir; kil ve toprak gibi malzemeler artık yapı parçalarından veya kazıdan elde edilebilir, biyolojik hammaddeler ise yapının üzerinde ya da yakınında yetiştirilerek yerel atık ve kompostla birlikte kullanılabilir.</w:t>
      </w:r>
    </w:p>
    <w:p>
      <w:pPr>
        <w:pStyle w:val="Heading2"/>
        <w:spacing w:after="170" w:before="320" w:line="360"/>
      </w:pPr>
      <w:r>
        <w:rPr>
          <w:rFonts w:ascii="Times New Roman" w:cs="Times New Roman" w:eastAsia="Times New Roman" w:hAnsi="Times New Roman"/>
          <w:b/>
          <w:bCs/>
          <w:sz w:val="24"/>
          <w:szCs w:val="24"/>
        </w:rPr>
        <w:t xml:space="preserve">5.5. Yedeklilik ve ölçekler arası bağımlılık</w:t>
      </w:r>
    </w:p>
    <w:p>
      <w:pPr>
        <w:spacing w:after="160" w:line="360"/>
        <w:jc w:val="both"/>
      </w:pPr>
      <w:r>
        <w:rPr>
          <w:rFonts w:ascii="Times New Roman" w:cs="Times New Roman" w:eastAsia="Times New Roman" w:hAnsi="Times New Roman"/>
          <w:sz w:val="24"/>
          <w:szCs w:val="24"/>
        </w:rPr>
        <w:t xml:space="preserve">Dirençlilik tartışmasının yapısal karşılığı yedeklilik kavramında belirginleşir. Andréen ve Goidea (2022), ekolojik sistemlerin büyük ölçüde yedekliliğe ve etkileşime dayandığını belirtmekte ve yedekliliği, bir sistemdeki işlev örtüşmesinin hayati işlevlerin sürmesine ve daha önce yedek konumundaki ögelerin yeni işlevler üstlenmesine olanak tanıyarak sistemin değişmesine izin verme derecesi olarak tanımlamaktadır.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Yazarlar bu ilkeyi örümcek ağları üzerinden örneklendirmektedir: özellikle üç boyutlu karışık ağlar her yönde yüksek sağlamlık ve dirençlilik gösterir; %100 gerinimde bile ağın bütünlüğü ve işlevselliği korunur, çünkü karmaşık örgü içindeki lif yedekliliği, bütünsel çöküşü önleyerek art arda kopmaya olanak tanır. Aynı ilkenin mimari karşılığı olarak </w:t>
      </w:r>
      <w:r>
        <w:rPr>
          <w:rFonts w:ascii="Times New Roman" w:cs="Times New Roman" w:eastAsia="Times New Roman" w:hAnsi="Times New Roman"/>
          <w:b w:val="false"/>
          <w:bCs w:val="false"/>
          <w:i/>
          <w:iCs/>
          <w:sz w:val="24"/>
          <w:szCs w:val="24"/>
        </w:rPr>
        <w:t xml:space="preserve">Nimis</w:t>
      </w:r>
      <w:r>
        <w:rPr>
          <w:rFonts w:ascii="Times New Roman" w:cs="Times New Roman" w:eastAsia="Times New Roman" w:hAnsi="Times New Roman"/>
          <w:b w:val="false"/>
          <w:bCs w:val="false"/>
          <w:i w:val="false"/>
          <w:iCs w:val="false"/>
          <w:sz w:val="24"/>
          <w:szCs w:val="24"/>
        </w:rPr>
        <w:t xml:space="preserve"> yapıtı anılmaktadır: hem sürecinde hem strüktüründe yedekliliğe dayanarak bütünlüğünü koruyan uç bir mimarlık biçimi. Yedeklilik bu çerçevede fazlalık değil, yerel bir bozulmanın sistemin tamamına yayılmasını engelleyen bir örgütlenme biçimidir.</w:t>
      </w:r>
    </w:p>
    <w:p>
      <w:pPr>
        <w:spacing w:after="160" w:line="360"/>
        <w:jc w:val="both"/>
      </w:pPr>
      <w:r>
        <w:rPr>
          <w:rFonts w:ascii="Times New Roman" w:cs="Times New Roman" w:eastAsia="Times New Roman" w:hAnsi="Times New Roman"/>
          <w:sz w:val="24"/>
          <w:szCs w:val="24"/>
        </w:rPr>
        <w:t xml:space="preserve">Goidea ve diğ. (2022) ise önerdikleri ölçekler arası (transkalar) yaklaşımın merkezine değişken ölçekler, sistemler ve malzemeler arasındaki karşılıklı bağımlılığı yerleştirmektedir. Yazarlara göre bu bağımlılık doğrusal olmayan etkileşimler ve hızla artan karmaşıklık üretir; biyolojik sistemlerde kural olan bu koşullar, biçimsel ve işlevsel karmaşıklığın katlanarak artması nedeniyle geleneksel mühendislik yaklaşımlarına katı bir sınır koymaktadır. Yazarlara göre doğa ve biyolojik süreçler, karmaşık ve birbirine bağlı sorunlara daha uygun, temelden farklı bir tasarım mantığına dayanmakta ve bu mantık söz konusu karmaşıklık tavanını aşmayı olanaklı kılmaktadır. Bu nokta, dirençliliğin yalnızca malzeme ölçeğinde ele alınamayacağını; bileşen, sistem ve mekân ölçeklerinin birlikte değerlendirilmesi gerektiğini göstermektedir.</w:t>
      </w:r>
    </w:p>
    <w:p>
      <w:pPr>
        <w:spacing w:after="160" w:line="360"/>
        <w:jc w:val="both"/>
      </w:pPr>
      <w:r>
        <w:rPr>
          <w:rFonts w:ascii="Times New Roman" w:cs="Times New Roman" w:eastAsia="Times New Roman" w:hAnsi="Times New Roman"/>
          <w:sz w:val="24"/>
          <w:szCs w:val="24"/>
        </w:rPr>
        <w:t xml:space="preserve">Bu değerlendirmeler, döngüsellik ile dirençliliğin eş anlamlı olmadığını, ancak uyarlanabilirlik, modülerlik, tersinirlik, kaynak çeşitliliği ve onarılabilirlik gibi ortak tasarım özellikleri üzerinden birbirini destekleyen iki yaklaşım olarak değerlendirilebileceğini göstermektedir.</w:t>
      </w:r>
    </w:p>
    <w:p>
      <w:pPr>
        <w:pStyle w:val="Heading1"/>
        <w:spacing w:after="220" w:before="440" w:line="360"/>
      </w:pPr>
      <w:r>
        <w:rPr>
          <w:rFonts w:ascii="Times New Roman" w:cs="Times New Roman" w:eastAsia="Times New Roman" w:hAnsi="Times New Roman"/>
          <w:b/>
          <w:bCs/>
          <w:sz w:val="26"/>
          <w:szCs w:val="26"/>
        </w:rPr>
        <w:t xml:space="preserve">6. BİYOTASARIM VE İÇ MİMARLIKTA MEKÂNSAL DÖNÜŞÜM</w:t>
      </w:r>
    </w:p>
    <w:p>
      <w:pPr>
        <w:spacing w:after="160" w:line="360"/>
        <w:jc w:val="both"/>
      </w:pPr>
      <w:r>
        <w:rPr>
          <w:rFonts w:ascii="Times New Roman" w:cs="Times New Roman" w:eastAsia="Times New Roman" w:hAnsi="Times New Roman"/>
          <w:sz w:val="24"/>
          <w:szCs w:val="24"/>
        </w:rPr>
        <w:t xml:space="preserve">Önceki başlıklarda biyolojik temelli malzemelerin sınıflandırması, döngüsellikle ilişkisi ve dirençlilik kapasitesi malzeme ölçeğinde ele alınmıştı. Bu başlıkta tartışma mekân ölçeğine taşınmakta; söz konusu malzemelerin iç mimarlık pratiğinde hangi konumu aldığı ve bu konumun tasarım kararlarını nasıl değiştirdiği incelenmektedir.</w:t>
      </w:r>
    </w:p>
    <w:p>
      <w:pPr>
        <w:pStyle w:val="Heading2"/>
        <w:spacing w:after="170" w:before="320" w:line="360"/>
      </w:pPr>
      <w:r>
        <w:rPr>
          <w:rFonts w:ascii="Times New Roman" w:cs="Times New Roman" w:eastAsia="Times New Roman" w:hAnsi="Times New Roman"/>
          <w:b/>
          <w:bCs/>
          <w:sz w:val="24"/>
          <w:szCs w:val="24"/>
        </w:rPr>
        <w:t xml:space="preserve">6.1. İç mekân neden öncelikli uygulama alanıdır?</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malzemelerin yapılı çevredeki yeri, alanyazında sanıldığından daha belirgin biçimde tanımlanmıştır. Edalat (2026), inşaat sektöründe ahşap dışı biyolojik temelli yapı malzemelerinin </w:t>
      </w:r>
      <w:r>
        <w:rPr>
          <w:rFonts w:ascii="Times New Roman" w:cs="Times New Roman" w:eastAsia="Times New Roman" w:hAnsi="Times New Roman"/>
          <w:b/>
          <w:bCs/>
          <w:i w:val="false"/>
          <w:iCs w:val="false"/>
          <w:sz w:val="24"/>
          <w:szCs w:val="24"/>
        </w:rPr>
        <w:t xml:space="preserve">iç ve dış yüzey kaplamaları, ısıl ve akustik yalıtım ile mobilya üretimi</w:t>
      </w:r>
      <w:r>
        <w:rPr>
          <w:rFonts w:ascii="Times New Roman" w:cs="Times New Roman" w:eastAsia="Times New Roman" w:hAnsi="Times New Roman"/>
          <w:b w:val="false"/>
          <w:bCs w:val="false"/>
          <w:i w:val="false"/>
          <w:iCs w:val="false"/>
          <w:sz w:val="24"/>
          <w:szCs w:val="24"/>
        </w:rPr>
        <w:t xml:space="preserve"> gibi uygulamalarda kullanıldığını; buna karşılık ahşap esaslı malzemelerin ağırlıklı olarak yapısal bileşenlerde yer aldığını belirtmektedir. Aynı çalışma, ahşap dışı malzemelerin </w:t>
      </w:r>
      <w:r>
        <w:rPr>
          <w:rFonts w:ascii="Times New Roman" w:cs="Times New Roman" w:eastAsia="Times New Roman" w:hAnsi="Times New Roman"/>
          <w:b/>
          <w:bCs/>
          <w:i w:val="false"/>
          <w:iCs w:val="false"/>
          <w:sz w:val="24"/>
          <w:szCs w:val="24"/>
        </w:rPr>
        <w:t xml:space="preserve">sınırlı mekanik dayanımları nedeniyle taşıyıcı yapı elemanlarında nadiren kullanıldığını</w:t>
      </w:r>
      <w:r>
        <w:rPr>
          <w:rFonts w:ascii="Times New Roman" w:cs="Times New Roman" w:eastAsia="Times New Roman" w:hAnsi="Times New Roman"/>
          <w:b w:val="false"/>
          <w:bCs w:val="false"/>
          <w:i w:val="false"/>
          <w:iCs w:val="false"/>
          <w:sz w:val="24"/>
          <w:szCs w:val="24"/>
        </w:rPr>
        <w:t xml:space="preserve"> ortaya koymaktadır.</w:t>
      </w:r>
    </w:p>
    <w:p>
      <w:pPr>
        <w:spacing w:after="160" w:line="360"/>
        <w:jc w:val="both"/>
      </w:pPr>
      <w:r>
        <w:rPr>
          <w:rFonts w:ascii="Times New Roman" w:cs="Times New Roman" w:eastAsia="Times New Roman" w:hAnsi="Times New Roman"/>
          <w:sz w:val="24"/>
          <w:szCs w:val="24"/>
        </w:rPr>
        <w:t xml:space="preserve">Bu iki saptama bir arada okunduğunda ortaya belirgin bir sonuç çıkmaktadır: ahşap dışı biyolojik temelli malzemelerin uygulama alanı zaten büyük ölçüde iç mekândır. Bu durum bir sınırlılık olarak değil, bir konumlanma olarak değerlendirilebilir. Taşıyıcı olmayan bileşenler, söz konusu malzemelerin yapısal risk eşiğinin görece düşük olduğu; dolayısıyla denenebilir oldukları alanı oluşturmaktadır.</w:t>
      </w:r>
    </w:p>
    <w:p>
      <w:pPr>
        <w:spacing w:after="160" w:line="360"/>
        <w:jc w:val="both"/>
      </w:pPr>
      <w:r>
        <w:rPr>
          <w:rFonts w:ascii="Times New Roman" w:cs="Times New Roman" w:eastAsia="Times New Roman" w:hAnsi="Times New Roman"/>
          <w:sz w:val="24"/>
          <w:szCs w:val="24"/>
        </w:rPr>
        <w:t xml:space="preserve">Üçüncü başlıkta aktarılan ölçek kısıtı da aynı sonucu desteklemektedir. Chayaamor-Heil ve diğ.’nin (2024) canlı organizmalarla malzeme geliştirmenin mimarlıkta ürün ve tekstil tasarımına kıyasla daha güç gerçekleştiğine ilişkin saptaması, iç mekân bileşenlerinin bu geçişteki konumunu da belirlemektedir: ölçek ve katmanlılık bakımından mimari bütünle ürün ölçeği arasında yer aldıkları için iç mekân bileşenleri, geçişin yapılabileceği aradaki eşiği oluşturmaktadır.</w:t>
      </w:r>
    </w:p>
    <w:p>
      <w:pPr>
        <w:pStyle w:val="Heading2"/>
        <w:spacing w:after="170" w:before="320" w:line="360"/>
      </w:pPr>
      <w:r>
        <w:rPr>
          <w:rFonts w:ascii="Times New Roman" w:cs="Times New Roman" w:eastAsia="Times New Roman" w:hAnsi="Times New Roman"/>
          <w:b/>
          <w:bCs/>
          <w:sz w:val="24"/>
          <w:szCs w:val="24"/>
        </w:rPr>
        <w:t xml:space="preserve">6.2. İkame tuzağı: malzemeyi neyin yerine koyuyoruz?</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malzemelerin iç mekâna girişinde en yaygın yaklaşım, bu malzemelerin yerleşik malzemelerin yerine konmasıdır. Karana, Blauwhoff, Hultink ve Camere (2018) bu eğilimi doğrudan saptamaktadır: büyütülmüş malzemeler bugüne kadar çoğunlukla </w:t>
      </w:r>
      <w:r>
        <w:rPr>
          <w:rFonts w:ascii="Times New Roman" w:cs="Times New Roman" w:eastAsia="Times New Roman" w:hAnsi="Times New Roman"/>
          <w:b/>
          <w:bCs/>
          <w:i w:val="false"/>
          <w:iCs w:val="false"/>
          <w:sz w:val="24"/>
          <w:szCs w:val="24"/>
        </w:rPr>
        <w:t xml:space="preserve">geleneksel malzemelerin yerine geçen uygulamalarda</w:t>
      </w:r>
      <w:r>
        <w:rPr>
          <w:rFonts w:ascii="Times New Roman" w:cs="Times New Roman" w:eastAsia="Times New Roman" w:hAnsi="Times New Roman"/>
          <w:b w:val="false"/>
          <w:bCs w:val="false"/>
          <w:i w:val="false"/>
          <w:iCs w:val="false"/>
          <w:sz w:val="24"/>
          <w:szCs w:val="24"/>
        </w:rPr>
        <w:t xml:space="preserve"> kullanılmıştır.</w:t>
      </w:r>
    </w:p>
    <w:p>
      <w:pPr>
        <w:spacing w:after="160" w:line="360"/>
        <w:jc w:val="both"/>
      </w:pPr>
      <w:r>
        <w:rPr>
          <w:rFonts w:ascii="Times New Roman" w:cs="Times New Roman" w:eastAsia="Times New Roman" w:hAnsi="Times New Roman"/>
          <w:b w:val="false"/>
          <w:bCs w:val="false"/>
          <w:i w:val="false"/>
          <w:iCs w:val="false"/>
          <w:sz w:val="24"/>
          <w:szCs w:val="24"/>
        </w:rPr>
        <w:t xml:space="preserve">Yazarlara göre bu durum, malzemenin kendi niteliklerinin değerlendirilmeden kaldığı anlamına gelir. Malzeme Odaklı Tasarım yöntemi tam da bu nedenle önerilmektedir: yöntem, geliştirilmekte olan bir malzeme için özgün uygulama fikirleri bulmak üzere, malzemenin </w:t>
      </w:r>
      <w:r>
        <w:rPr>
          <w:rFonts w:ascii="Times New Roman" w:cs="Times New Roman" w:eastAsia="Times New Roman" w:hAnsi="Times New Roman"/>
          <w:b/>
          <w:bCs/>
          <w:i w:val="false"/>
          <w:iCs w:val="false"/>
          <w:sz w:val="24"/>
          <w:szCs w:val="24"/>
        </w:rPr>
        <w:t xml:space="preserve">kendine özgü teknik ve deneyimsel niteliklerinin</w:t>
      </w:r>
      <w:r>
        <w:rPr>
          <w:rFonts w:ascii="Times New Roman" w:cs="Times New Roman" w:eastAsia="Times New Roman" w:hAnsi="Times New Roman"/>
          <w:b w:val="false"/>
          <w:bCs w:val="false"/>
          <w:i w:val="false"/>
          <w:iCs w:val="false"/>
          <w:sz w:val="24"/>
          <w:szCs w:val="24"/>
        </w:rPr>
        <w:t xml:space="preserve"> uygun ve yaratıcı biçimde öne çıkarılmasını ve birbirine bağlanmasını sağlar (Karana, Barati, Rognoli ve Zeeuw van der Laan, 2015).</w:t>
      </w:r>
    </w:p>
    <w:p>
      <w:pPr>
        <w:spacing w:after="160" w:line="360"/>
        <w:jc w:val="both"/>
      </w:pPr>
      <w:r>
        <w:rPr>
          <w:rFonts w:ascii="Times New Roman" w:cs="Times New Roman" w:eastAsia="Times New Roman" w:hAnsi="Times New Roman"/>
          <w:b w:val="false"/>
          <w:bCs w:val="false"/>
          <w:i w:val="false"/>
          <w:iCs w:val="false"/>
          <w:sz w:val="24"/>
          <w:szCs w:val="24"/>
        </w:rPr>
        <w:t xml:space="preserve">Bu saptama, bölümün daha önce kurulan savıyla birleşmektedir. Camere ve Karana’nın (2018) malzeme seçiminden malzeme tasarımına doğru bir kayma olarak adlandırdığı dönüşüm, iç mimarlık ölçeğinde somut bir ölçüt üretmektedir: </w:t>
      </w:r>
      <w:r>
        <w:rPr>
          <w:rFonts w:ascii="Times New Roman" w:cs="Times New Roman" w:eastAsia="Times New Roman" w:hAnsi="Times New Roman"/>
          <w:b/>
          <w:bCs/>
          <w:i w:val="false"/>
          <w:iCs w:val="false"/>
          <w:sz w:val="24"/>
          <w:szCs w:val="24"/>
        </w:rPr>
        <w:t xml:space="preserve">bir miselyum panelini alçıpanın yerine koymak, biyolojik temelli bir malzemeyi kullanmak ama onu bir biyotasarım nesnesi olarak kullanmamaktır.</w:t>
      </w:r>
    </w:p>
    <w:p>
      <w:pPr>
        <w:pStyle w:val="Heading2"/>
        <w:spacing w:after="170" w:before="320" w:line="360"/>
      </w:pPr>
      <w:r>
        <w:rPr>
          <w:rFonts w:ascii="Times New Roman" w:cs="Times New Roman" w:eastAsia="Times New Roman" w:hAnsi="Times New Roman"/>
          <w:b/>
          <w:bCs/>
          <w:sz w:val="24"/>
          <w:szCs w:val="24"/>
        </w:rPr>
        <w:t xml:space="preserve">6.3. Bağlayıcı ve ömür sonu: iç mekân ölçeğinde bir örnek</w:t>
      </w:r>
    </w:p>
    <w:p>
      <w:pPr>
        <w:spacing w:after="160" w:line="360"/>
        <w:jc w:val="both"/>
      </w:pPr>
      <w:r>
        <w:rPr>
          <w:rFonts w:ascii="Times New Roman" w:cs="Times New Roman" w:eastAsia="Times New Roman" w:hAnsi="Times New Roman"/>
          <w:b w:val="false"/>
          <w:bCs w:val="false"/>
          <w:i w:val="false"/>
          <w:iCs w:val="false"/>
          <w:sz w:val="24"/>
          <w:szCs w:val="24"/>
        </w:rPr>
        <w:t xml:space="preserve">Döngüselliğin malzemenin kökeninde değil bileşim ve birleşiminde kararlaştığı savı, iç mekân ölçeğinde somut biçimde gözlenebilmektedir. Edalat (2026), yirmi çalışmayı altı ölçüt üzerinden değerlendirdiği incelemesinde, kahve atığı ile üre-formaldehit reçinesi kullanılarak üretilen ve ısıl ile akustik performansı sınanan bir </w:t>
      </w:r>
      <w:r>
        <w:rPr>
          <w:rFonts w:ascii="Times New Roman" w:cs="Times New Roman" w:eastAsia="Times New Roman" w:hAnsi="Times New Roman"/>
          <w:b/>
          <w:bCs/>
          <w:i w:val="false"/>
          <w:iCs w:val="false"/>
          <w:sz w:val="24"/>
          <w:szCs w:val="24"/>
        </w:rPr>
        <w:t xml:space="preserve">iç mekân duvar paneli</w:t>
      </w:r>
      <w:r>
        <w:rPr>
          <w:rFonts w:ascii="Times New Roman" w:cs="Times New Roman" w:eastAsia="Times New Roman" w:hAnsi="Times New Roman"/>
          <w:b w:val="false"/>
          <w:bCs w:val="false"/>
          <w:i w:val="false"/>
          <w:iCs w:val="false"/>
          <w:sz w:val="24"/>
          <w:szCs w:val="24"/>
        </w:rPr>
        <w:t xml:space="preserve"> çalışmasını ele almaktadır.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Değerlendirmenin sonucu dikkat çekicidir. Atık kökenli tedarik ölçütü bakımından çalışma tam puan almakta; kahve atığı, kahve tüketiminin dünya genelinde yaygın bir yan ürünü olduğu ve döngüsel ekonomi hedefleriyle uyumlu bir tercih oluşturduğu için olumlu değerlendirilmektedir. Buna karşılık </w:t>
      </w:r>
      <w:r>
        <w:rPr>
          <w:rFonts w:ascii="Times New Roman" w:cs="Times New Roman" w:eastAsia="Times New Roman" w:hAnsi="Times New Roman"/>
          <w:b/>
          <w:bCs/>
          <w:i w:val="false"/>
          <w:iCs w:val="false"/>
          <w:sz w:val="24"/>
          <w:szCs w:val="24"/>
        </w:rPr>
        <w:t xml:space="preserve">geri dönüştürülebilirlik, biyobozunurluk ve ömür sonu ölçütü hiç dikkate alınmamış</w:t>
      </w:r>
      <w:r>
        <w:rPr>
          <w:rFonts w:ascii="Times New Roman" w:cs="Times New Roman" w:eastAsia="Times New Roman" w:hAnsi="Times New Roman"/>
          <w:b w:val="false"/>
          <w:bCs w:val="false"/>
          <w:i w:val="false"/>
          <w:iCs w:val="false"/>
          <w:sz w:val="24"/>
          <w:szCs w:val="24"/>
        </w:rPr>
        <w:t xml:space="preserve"> olarak puanlanmaktadır. Edalat (2026), çalışmanın malzemenin inşaat ölçeğindeki arzına ilişkin nicel veri sunmadığını ve alternatifleri değerlendirip karşılaştırmadığını; bu nedenle seçimin sistematik olmaktan çok fırsatçı göründüğünü belirtmektedir.</w:t>
      </w:r>
    </w:p>
    <w:p>
      <w:pPr>
        <w:spacing w:after="160" w:line="360"/>
        <w:jc w:val="both"/>
      </w:pPr>
      <w:r>
        <w:rPr>
          <w:rFonts w:ascii="Times New Roman" w:cs="Times New Roman" w:eastAsia="Times New Roman" w:hAnsi="Times New Roman"/>
          <w:sz w:val="24"/>
          <w:szCs w:val="24"/>
        </w:rPr>
        <w:t xml:space="preserve">Örnek, bölümün savını iç mimarlığın kendi nesnesi üzerinden göstermektedir: bir duvar paneli atıktan üretilmiş olabilir; ancak sentetik bir reçineyle bağlandığında ve ömür sonu senaryosu kurgulanmadığında döngüsel bir bileşen hâline gelmez.</w:t>
      </w:r>
    </w:p>
    <w:p>
      <w:pPr>
        <w:pStyle w:val="Heading2"/>
        <w:spacing w:after="170" w:before="320" w:line="360"/>
      </w:pPr>
      <w:r>
        <w:rPr>
          <w:rFonts w:ascii="Times New Roman" w:cs="Times New Roman" w:eastAsia="Times New Roman" w:hAnsi="Times New Roman"/>
          <w:b/>
          <w:bCs/>
          <w:sz w:val="24"/>
          <w:szCs w:val="24"/>
        </w:rPr>
        <w:t xml:space="preserve">6.4. Malzemeden mekânsal sisteme: ölçekler arası geçiş</w:t>
      </w:r>
    </w:p>
    <w:p>
      <w:pPr>
        <w:spacing w:after="160" w:line="360"/>
        <w:jc w:val="both"/>
      </w:pPr>
      <w:r>
        <w:rPr>
          <w:rFonts w:ascii="Times New Roman" w:cs="Times New Roman" w:eastAsia="Times New Roman" w:hAnsi="Times New Roman"/>
          <w:sz w:val="24"/>
          <w:szCs w:val="24"/>
        </w:rPr>
        <w:t xml:space="preserve">Biyolojik temelli malzemelerin mekânsal karşılığı, tek bir bileşen ölçeğinde değil ölçekler arası bir ilişkide kurulur. Goidea, Floudas ve Andréen (2022), önerdikleri ölçekler arası yaklaşımın merkezine değişken ölçekler, sistemler ve malzemeler arasındaki karşılıklı bağımlılığı yerleştirmektedir. Bu ilişkinin iç mekândaki karşılığı, bileşenin bağımsız bir nesne değil, sökülüp yeniden kurulabilen bir sistemin parçası olarak tasarlanmasıdır. Andréen ve Goidea’nın (2022) belirttiği gibi, malzemeler kimyasal olarak ya da ısıyla işlenmemiş olduğunda yapılı çevre tümüyle tersinir hâle gelir ve ekleme ile değişiklikler az çabayla yapılabilir.</w:t>
      </w:r>
    </w:p>
    <w:p>
      <w:pPr>
        <w:spacing w:after="160" w:line="360"/>
        <w:jc w:val="both"/>
      </w:pPr>
      <w:r>
        <w:rPr>
          <w:rFonts w:ascii="Times New Roman" w:cs="Times New Roman" w:eastAsia="Times New Roman" w:hAnsi="Times New Roman"/>
          <w:b w:val="false"/>
          <w:bCs w:val="false"/>
          <w:i w:val="false"/>
          <w:iCs w:val="false"/>
          <w:sz w:val="24"/>
          <w:szCs w:val="24"/>
        </w:rPr>
        <w:t xml:space="preserve">İç mekânın bu tartışmadaki özgül konumu, Edalat’ın (2026) gelecek araştırma yönleri arasında saydığı boşlukla da örtüşmektedir. Yazara göre döngüsel ekonominin </w:t>
      </w:r>
      <w:r>
        <w:rPr>
          <w:rFonts w:ascii="Times New Roman" w:cs="Times New Roman" w:eastAsia="Times New Roman" w:hAnsi="Times New Roman"/>
          <w:b/>
          <w:bCs/>
          <w:i w:val="false"/>
          <w:iCs w:val="false"/>
          <w:sz w:val="24"/>
          <w:szCs w:val="24"/>
        </w:rPr>
        <w:t xml:space="preserve">kullanım, onarım ve yeniden kullanım</w:t>
      </w:r>
      <w:r>
        <w:rPr>
          <w:rFonts w:ascii="Times New Roman" w:cs="Times New Roman" w:eastAsia="Times New Roman" w:hAnsi="Times New Roman"/>
          <w:b w:val="false"/>
          <w:bCs w:val="false"/>
          <w:i w:val="false"/>
          <w:iCs w:val="false"/>
          <w:sz w:val="24"/>
          <w:szCs w:val="24"/>
        </w:rPr>
        <w:t xml:space="preserve"> aşamaları yeterince araştırılmamış ve büyük ölçüde bağlama bağlıdır; kullanım ömrünü uzatma stratejileri ile kullanıcı kaynaklı bakım ve onarılabilirlik pratikleri öncelikli alanlar oluşturmaktadır. Bu aşamaların tamamı, kullanıcının malzemeyle doğrudan temas ettiği ölçekte, yani iç mekânda gerçekleşmektedir.</w:t>
      </w:r>
    </w:p>
    <w:p>
      <w:pPr>
        <w:pStyle w:val="Heading2"/>
        <w:spacing w:after="170" w:before="320" w:line="360"/>
      </w:pPr>
      <w:r>
        <w:rPr>
          <w:rFonts w:ascii="Times New Roman" w:cs="Times New Roman" w:eastAsia="Times New Roman" w:hAnsi="Times New Roman"/>
          <w:b/>
          <w:bCs/>
          <w:sz w:val="24"/>
          <w:szCs w:val="24"/>
        </w:rPr>
        <w:t xml:space="preserve">6.5. Belirsizlik, deneyim ve kabul</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malzemelerin iç mekâna girişi yalnızca teknik bir mesele değildir. Karana ve diğ. (2018), miselyum esaslı bir malzemeyle yürütülen tasarım sürecinde tasarımcının üç belirsizlik kaynağıyla baş etmek durumunda kaldığını ortaya koymaktadır: </w:t>
      </w:r>
      <w:r>
        <w:rPr>
          <w:rFonts w:ascii="Times New Roman" w:cs="Times New Roman" w:eastAsia="Times New Roman" w:hAnsi="Times New Roman"/>
          <w:b/>
          <w:bCs/>
          <w:i w:val="false"/>
          <w:iCs w:val="false"/>
          <w:sz w:val="24"/>
          <w:szCs w:val="24"/>
        </w:rPr>
        <w:t xml:space="preserve">mikroorganizmanın failliği, malzemenin kendine özgü zamansallığı ve malzemenin toplum tarafından kabulü.</w:t>
      </w:r>
    </w:p>
    <w:p>
      <w:pPr>
        <w:spacing w:after="160" w:line="360"/>
        <w:jc w:val="both"/>
      </w:pPr>
      <w:r>
        <w:rPr>
          <w:rFonts w:ascii="Times New Roman" w:cs="Times New Roman" w:eastAsia="Times New Roman" w:hAnsi="Times New Roman"/>
          <w:sz w:val="24"/>
          <w:szCs w:val="24"/>
        </w:rPr>
        <w:t xml:space="preserve">Üçüncüsü iç mimarlık açısından özellikle belirleyicidir. Rognoli ve Ayala García’nın (2018) belirttiği gibi malzeme deneyimimiz, çevremizi saran nesnelerin neredeyse tamamının endüstriyel seri üretimden gelmesi nedeniyle koşullanmış bir deneyimdir. Bu koşullanma, tekdüzeliği kalite ile, değişkenliği ise kusur ile özdeşleştiren bir beklenti üretir. Oysa biyolojik temelli malzemelerde değişkenlik malzemenin kimliğinin parçasıdır. İç mekân, kullanıcının malzemeye dokunduğu, yaşlanmasını izlediği ve onunla gündelik ilişki kurduğu ölçek olduğu için, bu beklentinin dönüşeceği ya da direneceği yer de burasıdır.</w:t>
      </w:r>
    </w:p>
    <w:p>
      <w:pPr>
        <w:pStyle w:val="Heading2"/>
        <w:spacing w:after="170" w:before="320" w:line="360"/>
      </w:pPr>
      <w:r>
        <w:rPr>
          <w:rFonts w:ascii="Times New Roman" w:cs="Times New Roman" w:eastAsia="Times New Roman" w:hAnsi="Times New Roman"/>
          <w:b/>
          <w:bCs/>
          <w:sz w:val="24"/>
          <w:szCs w:val="24"/>
        </w:rPr>
        <w:t xml:space="preserve">6.6. Bir örnek: atık yumurta kabuğundan biyokompozit</w:t>
      </w:r>
    </w:p>
    <w:p>
      <w:pPr>
        <w:spacing w:after="160" w:line="360"/>
        <w:jc w:val="both"/>
      </w:pPr>
      <w:r>
        <w:rPr>
          <w:rFonts w:ascii="Times New Roman" w:cs="Times New Roman" w:eastAsia="Times New Roman" w:hAnsi="Times New Roman"/>
          <w:sz w:val="24"/>
          <w:szCs w:val="24"/>
        </w:rPr>
        <w:t xml:space="preserve">Yukarıda tartışılan ilişkiler, atık yumurta kabuğu ile doğal polimer esaslı bir bağlayıcı sistemden geliştirilen bir biyokompozit üzerinden somutlaştırılabilir (Ünal, 2025). Söz konusu çalışmada malzeme, bir ürün önerisi olarak değil, tasarım aracı olarak ele alınmıştır: atık bir akımın malzemeye dönüştürülmesi, Malzeme Odaklı Tasarım yöntemiyle teknik ve deneyimsel niteliklerinin birlikte değerlendirilmesi, malzeme değişkenliğinin modüler bir sisteme aktarılması ve bu sistemin sökülüp yeniden kurulabilir bir iç mekân kurgusu olarak geliştirilmesi izlenmiştir.</w:t>
      </w:r>
    </w:p>
    <w:p>
      <w:pPr>
        <w:spacing w:after="160" w:line="360"/>
        <w:jc w:val="both"/>
      </w:pPr>
      <w:r>
        <w:rPr>
          <w:rFonts w:ascii="Times New Roman" w:cs="Times New Roman" w:eastAsia="Times New Roman" w:hAnsi="Times New Roman"/>
          <w:sz w:val="24"/>
          <w:szCs w:val="24"/>
        </w:rPr>
        <w:t xml:space="preserve">Çalışmanın bu başlık açısından anlamı, yukarıda sıralanan üç ilişkiyi tek bir örnekte birleştirmesidir: malzeme bir ikame olarak değil kendi niteliklerinden yola çıkılarak konumlandırılmış; bağlayıcı sistemi ömür sonu senaryosu gözetilerek seçilmiş; ve bileşen tekil bir nesne olarak değil, yeniden kurgulanabilir bir mekânsal sistemin parçası olarak tasarlanmıştır. Malzemenin teknik performans değerleri ve dirençlilik çözümlemesi bu bölümün kapsamı dışındadır; ilgili bulgular için adı geçen çalışmaya bakılabilir.</w:t>
      </w:r>
    </w:p>
    <w:p>
      <w:pPr>
        <w:pStyle w:val="Heading1"/>
        <w:spacing w:after="220" w:before="440" w:line="360"/>
      </w:pPr>
      <w:r>
        <w:rPr>
          <w:rFonts w:ascii="Times New Roman" w:cs="Times New Roman" w:eastAsia="Times New Roman" w:hAnsi="Times New Roman"/>
          <w:b/>
          <w:bCs/>
          <w:sz w:val="26"/>
          <w:szCs w:val="26"/>
        </w:rPr>
        <w:t xml:space="preserve">7. İÇ MİMARLIKTA BİYOMALZEME SEÇİMİ: POTANSİYELLER, SINIRLILIKLAR VE BİR DEĞERLENDİRME ÇERÇEVESİ</w:t>
      </w:r>
    </w:p>
    <w:p>
      <w:pPr>
        <w:spacing w:after="160" w:line="360"/>
        <w:jc w:val="both"/>
      </w:pPr>
      <w:r>
        <w:rPr>
          <w:rFonts w:ascii="Times New Roman" w:cs="Times New Roman" w:eastAsia="Times New Roman" w:hAnsi="Times New Roman"/>
          <w:sz w:val="24"/>
          <w:szCs w:val="24"/>
        </w:rPr>
        <w:t xml:space="preserve">Önceki başlıklarda biyolojik temelli malzemelerin kavramsal çerçevesi, döngüsellikle ilişkisi, dirençlilik kapasitesi ve iç mekândaki konumu ele alınmıştı. Bu başlıkta tartışma değerlendirme düzlemine taşınmakta; söz konusu malzemelerin iç mimarlıkta hangi ölçütlerle değerlendirilebileceği sorusu ele alınmaktadır.</w:t>
      </w:r>
    </w:p>
    <w:p>
      <w:pPr>
        <w:pStyle w:val="Heading2"/>
        <w:spacing w:after="170" w:before="320" w:line="360"/>
      </w:pPr>
      <w:r>
        <w:rPr>
          <w:rFonts w:ascii="Times New Roman" w:cs="Times New Roman" w:eastAsia="Times New Roman" w:hAnsi="Times New Roman"/>
          <w:b/>
          <w:bCs/>
          <w:sz w:val="24"/>
          <w:szCs w:val="24"/>
        </w:rPr>
        <w:t xml:space="preserve">7.1. Potansiyeller ve sınırlılıklar birlikte okunmalıdır</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malzemelere ilişkin alanyazın, aynı malzeme grubu için hem güçlü potansiyeller hem de kalıcı sınırlılıklar bildirmektedir. Bu iki tarafın ayrı ayrı sıralanması yanıltıcıdır; çünkü çoğu durumda potansiyel ile sınırlılık </w:t>
      </w:r>
      <w:r>
        <w:rPr>
          <w:rFonts w:ascii="Times New Roman" w:cs="Times New Roman" w:eastAsia="Times New Roman" w:hAnsi="Times New Roman"/>
          <w:b/>
          <w:bCs/>
          <w:i w:val="false"/>
          <w:iCs w:val="false"/>
          <w:sz w:val="24"/>
          <w:szCs w:val="24"/>
        </w:rPr>
        <w:t xml:space="preserve">aynı özelliğin iki yüzüdür.</w:t>
      </w:r>
      <w:r>
        <w:rPr>
          <w:rFonts w:ascii="Times New Roman" w:cs="Times New Roman" w:eastAsia="Times New Roman" w:hAnsi="Times New Roman"/>
          <w:b w:val="false"/>
          <w:bCs w:val="false"/>
          <w:i w:val="false"/>
          <w:iCs w:val="false"/>
          <w:sz w:val="24"/>
          <w:szCs w:val="24"/>
        </w:rPr>
        <w:t xml:space="preserve"> Tablo 4, alanyazında bildirilen başlıca potansiyel ve sınırlılıkları karşılıklı olarak göstermektedir.</w:t>
      </w:r>
    </w:p>
    <w:p>
      <w:pPr>
        <w:keepNext/>
        <w:spacing w:after="140" w:before="400" w:line="240"/>
      </w:pPr>
      <w:r>
        <w:rPr>
          <w:rFonts w:ascii="Times New Roman" w:cs="Times New Roman" w:eastAsia="Times New Roman" w:hAnsi="Times New Roman"/>
          <w:b/>
          <w:bCs/>
          <w:sz w:val="22"/>
          <w:szCs w:val="22"/>
        </w:rPr>
        <w:t xml:space="preserve">Tablo 4. </w:t>
      </w:r>
      <w:r>
        <w:rPr>
          <w:rFonts w:ascii="Times New Roman" w:cs="Times New Roman" w:eastAsia="Times New Roman" w:hAnsi="Times New Roman"/>
          <w:sz w:val="22"/>
          <w:szCs w:val="22"/>
        </w:rPr>
        <w:t xml:space="preserve">Biyolojik temelli malzemelerin potansiyelleri ve sınırlılıkları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863"/>
        <w:gridCol w:w="3863"/>
      </w:tblGrid>
      <w:tr>
        <w:trPr>
          <w:tblHeader/>
        </w:trPr>
        <w:tc>
          <w:tcPr>
            <w:tcW w:type="dxa" w:w="13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Boyut</w:t>
            </w:r>
          </w:p>
        </w:tc>
        <w:tc>
          <w:tcPr>
            <w:tcW w:type="dxa" w:w="3863"/>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Potansiyel</w:t>
            </w:r>
          </w:p>
        </w:tc>
        <w:tc>
          <w:tcPr>
            <w:tcW w:type="dxa" w:w="3863"/>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Sınırlılık</w:t>
            </w:r>
          </w:p>
        </w:tc>
      </w:tr>
      <w:tr>
        <w:tc>
          <w:tcPr>
            <w:tcW w:type="dxa" w:w="13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Kaynak</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Atık akımlarının hammadde aşamasında üst değerlendirmeye dönüşmesi¹</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Kısıtlı hammadde kaynakları; bitkisel malzeme maliyetlerinin ülkeden ülkeye değişkenliği¹</w:t>
            </w:r>
          </w:p>
        </w:tc>
      </w:tr>
      <w:tr>
        <w:tc>
          <w:tcPr>
            <w:tcW w:type="dxa" w:w="13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Üretim</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Yenilenebilirlik ve düşük gömülü enerji²</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Yüksek maliyetler; merkezsiz ve parçalı tedarik zincirleri¹</w:t>
            </w:r>
          </w:p>
        </w:tc>
      </w:tr>
      <w:tr>
        <w:tc>
          <w:tcPr>
            <w:tcW w:type="dxa" w:w="13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Performans</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Isıl düzenleme kapasitesi²; mineral yalıtkanlarla karşılaştırılabilir ısıl performans¹</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Sınırlı mekanik dayanım¹; zayıf yangın dayanımı¹; nem duyarlılığı ve zararlılara karşı kırılganlık¹; uzun süreli dayanıklılık bilgisinin sınırlılığı³</w:t>
            </w:r>
          </w:p>
        </w:tc>
      </w:tr>
      <w:tr>
        <w:tc>
          <w:tcPr>
            <w:tcW w:type="dxa" w:w="13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Standart</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Bambuda yapısal standartların oluşması (ISO 22156, ISO 19624)¹</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Çoğu ahşap dışı malzemede standart kod, kamusal farkındalık ve uzman yüklenici ağı eksikliği; yetersiz düzenleyici çerçeveler¹</w:t>
            </w:r>
          </w:p>
        </w:tc>
      </w:tr>
      <w:tr>
        <w:tc>
          <w:tcPr>
            <w:tcW w:type="dxa" w:w="13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Pazar</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Biyolojik temelli yalıtkanların Avrupa Birliği pazarındaki payının %1,6 olması (mineral yünler %22)¹</w:t>
            </w:r>
          </w:p>
        </w:tc>
      </w:tr>
      <w:tr>
        <w:tc>
          <w:tcPr>
            <w:tcW w:type="dxa" w:w="13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Döngüsellik</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Miselyumun biyobozunurluk, kendi kendine bağlanma ve tarımsal atıkla uyumluluk yoluyla kapalı döngü potansiyeli¹</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Ömür sonu planlaması, toplama altyapısı ve bağlayıcı uyumluluğundaki boşluklar; ön üretimli olmayan biçimlerin geri kazanım güçlüğü¹</w:t>
            </w:r>
          </w:p>
        </w:tc>
      </w:tr>
      <w:tr>
        <w:tc>
          <w:tcPr>
            <w:tcW w:type="dxa" w:w="13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Ekoloji</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Ahşap ile ahşap dışı malzemelerin birlikte kullanımının daha dirençli bir yol sunması¹</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Ahşaba aşırı bağımlılıkta ormansızlaşma ve biyoçeşitlilik kaybı riski¹</w:t>
            </w:r>
          </w:p>
        </w:tc>
      </w:tr>
      <w:tr>
        <w:tc>
          <w:tcPr>
            <w:tcW w:type="dxa" w:w="13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Deneyim</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Malzemenin kendine özgü teknik ve deneyimsel niteliklerinin tasarıma girdi oluşturması⁴</w:t>
            </w:r>
          </w:p>
        </w:tc>
        <w:tc>
          <w:tcPr>
            <w:tcW w:type="dxa" w:w="38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Malzemenin toplum tarafından kabulüne ilişkin belirsizlik⁵; endüstriyel seri üretimle koşullanmış tekdüzelik beklentisi⁶</w:t>
            </w:r>
          </w:p>
        </w:tc>
      </w:tr>
    </w:tbl>
    <w:p>
      <w:pPr>
        <w:spacing w:after="340" w:before="130" w:line="240"/>
      </w:pPr>
      <w:r>
        <w:rPr>
          <w:rFonts w:ascii="Times New Roman" w:cs="Times New Roman" w:eastAsia="Times New Roman" w:hAnsi="Times New Roman"/>
          <w:i/>
          <w:iCs/>
          <w:sz w:val="18"/>
          <w:szCs w:val="18"/>
        </w:rPr>
        <w:t xml:space="preserve">¹ Edalat (2026) · ² Bourbia ve diğ. (2023) · ³ Chang ve diğ. (2020) · ⁴ Karana ve diğ. (2015) · ⁵ Karana ve diğ. (2018) · ⁶ Rognoli ve Ayala García (2018)</w:t>
      </w:r>
    </w:p>
    <w:p>
      <w:pPr>
        <w:pStyle w:val="Heading2"/>
        <w:spacing w:after="170" w:before="320" w:line="360"/>
      </w:pPr>
      <w:r>
        <w:rPr>
          <w:rFonts w:ascii="Times New Roman" w:cs="Times New Roman" w:eastAsia="Times New Roman" w:hAnsi="Times New Roman"/>
          <w:b/>
          <w:bCs/>
          <w:sz w:val="24"/>
          <w:szCs w:val="24"/>
        </w:rPr>
        <w:t xml:space="preserve">7.2. Üç gerilim</w:t>
      </w:r>
    </w:p>
    <w:p>
      <w:pPr>
        <w:spacing w:after="160" w:line="360"/>
        <w:jc w:val="both"/>
      </w:pPr>
      <w:r>
        <w:rPr>
          <w:rFonts w:ascii="Times New Roman" w:cs="Times New Roman" w:eastAsia="Times New Roman" w:hAnsi="Times New Roman"/>
          <w:sz w:val="24"/>
          <w:szCs w:val="24"/>
        </w:rPr>
        <w:t xml:space="preserve">Tablo 4’teki karşıtlıklar, iç mimarlık açısından üç temel gerilimde toplanabilir.</w:t>
      </w:r>
    </w:p>
    <w:p>
      <w:pPr>
        <w:pStyle w:val="Heading3"/>
        <w:spacing w:after="140" w:before="260" w:line="360"/>
      </w:pPr>
      <w:r>
        <w:rPr>
          <w:rFonts w:ascii="Times New Roman" w:cs="Times New Roman" w:eastAsia="Times New Roman" w:hAnsi="Times New Roman"/>
          <w:b/>
          <w:bCs/>
          <w:i/>
          <w:iCs/>
          <w:sz w:val="24"/>
          <w:szCs w:val="24"/>
        </w:rPr>
        <w:t xml:space="preserve">7.2.1. Değişkenlik ile standartlaşma</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malzemelerin tasarım açısından en değerli niteliği olan değişkenlik, kurumsal kabul açısından en büyük engelini oluşturmaktadır. Edalat (2026), ahşap dışı biyolojik temelli malzemelerin çoğunun </w:t>
      </w:r>
      <w:r>
        <w:rPr>
          <w:rFonts w:ascii="Times New Roman" w:cs="Times New Roman" w:eastAsia="Times New Roman" w:hAnsi="Times New Roman"/>
          <w:b/>
          <w:bCs/>
          <w:i w:val="false"/>
          <w:iCs w:val="false"/>
          <w:sz w:val="24"/>
          <w:szCs w:val="24"/>
        </w:rPr>
        <w:t xml:space="preserve">standartlaşmış kodlardan, yaygın kamusal farkındalıktan ve uzmanlaşmış yüklenici ağından yoksun olduğunu</w:t>
      </w:r>
      <w:r>
        <w:rPr>
          <w:rFonts w:ascii="Times New Roman" w:cs="Times New Roman" w:eastAsia="Times New Roman" w:hAnsi="Times New Roman"/>
          <w:b w:val="false"/>
          <w:bCs w:val="false"/>
          <w:i w:val="false"/>
          <w:iCs w:val="false"/>
          <w:sz w:val="24"/>
          <w:szCs w:val="24"/>
        </w:rPr>
        <w:t xml:space="preserve">; bunun da ölçeklenebilirliklerini ve küresel benimsenmelerini sınırladığını belirtmektedir. Yazara göre bu alanda tek belirgin istisna, ahşapla pek çok benzerlik taşıyan ve ISO 22156 ile ISO 19624 gibi yapısal standartların getirilmesiyle uluslararası tanınırlık kazanan bambudur.</w:t>
      </w:r>
    </w:p>
    <w:p>
      <w:pPr>
        <w:spacing w:after="160" w:line="360"/>
        <w:jc w:val="both"/>
      </w:pPr>
      <w:r>
        <w:rPr>
          <w:rFonts w:ascii="Times New Roman" w:cs="Times New Roman" w:eastAsia="Times New Roman" w:hAnsi="Times New Roman"/>
          <w:sz w:val="24"/>
          <w:szCs w:val="24"/>
        </w:rPr>
        <w:t xml:space="preserve">Karşılaştırma öğreticidir. Edalat (2026), ahşap ve mühendislik ürünü ahşap ürünlerinin olgun bir döngüsel altyapıdan yararlandığını; ahşabın kodlar, aşinalık ve nitelikli işgücüyle desteklenen yerleşik konumunun, ahşap dışı malzemelere kıyasla daha fazla yeniden kullanım, geri dönüşüm ve üst değerlendirmeye olanak tanıdığını ortaya koymaktadır. Döngüsellik yalnızca malzemenin niteliğine değil, onu çevreleyen kurumsal altyapıya da bağlıdır.</w:t>
      </w:r>
    </w:p>
    <w:p>
      <w:pPr>
        <w:pStyle w:val="Heading3"/>
        <w:spacing w:after="140" w:before="260" w:line="360"/>
      </w:pPr>
      <w:r>
        <w:rPr>
          <w:rFonts w:ascii="Times New Roman" w:cs="Times New Roman" w:eastAsia="Times New Roman" w:hAnsi="Times New Roman"/>
          <w:b/>
          <w:bCs/>
          <w:i/>
          <w:iCs/>
          <w:sz w:val="24"/>
          <w:szCs w:val="24"/>
        </w:rPr>
        <w:t xml:space="preserve">7.2.2. Yerellik ile ölçeklenebilirlik</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üretimin yerel kaynaklara dayanabilmesi önemli bir avantajdır; ancak bu avantaj pazar ölçeğinde bir dezavantaja dönüşebilmektedir. Edalat (2026), kapsamlı derleme çalışmalarından yaptığı sentezde üretim ve dağıtım aşamalarında kalıcı güçlükler saptamaktadır: yüksek maliyetler, sınırlı pazar payı, </w:t>
      </w:r>
      <w:r>
        <w:rPr>
          <w:rFonts w:ascii="Times New Roman" w:cs="Times New Roman" w:eastAsia="Times New Roman" w:hAnsi="Times New Roman"/>
          <w:b/>
          <w:bCs/>
          <w:i w:val="false"/>
          <w:iCs w:val="false"/>
          <w:sz w:val="24"/>
          <w:szCs w:val="24"/>
        </w:rPr>
        <w:t xml:space="preserve">merkezsiz ve parçalı tedarik zincirleri</w:t>
      </w:r>
      <w:r>
        <w:rPr>
          <w:rFonts w:ascii="Times New Roman" w:cs="Times New Roman" w:eastAsia="Times New Roman" w:hAnsi="Times New Roman"/>
          <w:b w:val="false"/>
          <w:bCs w:val="false"/>
          <w:i w:val="false"/>
          <w:iCs w:val="false"/>
          <w:sz w:val="24"/>
          <w:szCs w:val="24"/>
        </w:rPr>
        <w:t xml:space="preserve">, kısıtlı hammadde kaynakları, yetersiz bilgi, düşük pazar şeffaflığı, yetersiz düzenleyici çerçeveler ve uzmanlaşmış işgücü kıtlığı. Yazara göre biyolojik temelli malzemelerin inşaat sektöründeki uygulaması dağınık ve tutarsız kalmakta; bu da pazarın heterojen ve gelişmemiş niteliğini ortaya koymaktadır.</w:t>
      </w:r>
    </w:p>
    <w:p>
      <w:pPr>
        <w:spacing w:after="160" w:line="360"/>
        <w:jc w:val="both"/>
      </w:pPr>
      <w:r>
        <w:rPr>
          <w:rFonts w:ascii="Times New Roman" w:cs="Times New Roman" w:eastAsia="Times New Roman" w:hAnsi="Times New Roman"/>
          <w:sz w:val="24"/>
          <w:szCs w:val="24"/>
        </w:rPr>
        <w:t xml:space="preserve">Aynı gerilim kaynak çeşitliliği önerisinde de görünmektedir: ahşaba aşırı bağımlılık ormansızlaşma ve biyoçeşitlilik kaybı riski taşırken, yalnızca ahşap dışı malzemelere dayanmak ölçeklenebilirlikten yoksundur (Edalat, 2026).</w:t>
      </w:r>
    </w:p>
    <w:p>
      <w:pPr>
        <w:pStyle w:val="Heading3"/>
        <w:spacing w:after="140" w:before="260" w:line="360"/>
      </w:pPr>
      <w:r>
        <w:rPr>
          <w:rFonts w:ascii="Times New Roman" w:cs="Times New Roman" w:eastAsia="Times New Roman" w:hAnsi="Times New Roman"/>
          <w:b/>
          <w:bCs/>
          <w:i/>
          <w:iCs/>
          <w:sz w:val="24"/>
          <w:szCs w:val="24"/>
        </w:rPr>
        <w:t xml:space="preserve">7.2.3. Biyolojik dönüşebilirlik ile dayanıklılık</w:t>
      </w:r>
    </w:p>
    <w:p>
      <w:pPr>
        <w:spacing w:after="160" w:line="360"/>
        <w:jc w:val="both"/>
      </w:pPr>
      <w:r>
        <w:rPr>
          <w:rFonts w:ascii="Times New Roman" w:cs="Times New Roman" w:eastAsia="Times New Roman" w:hAnsi="Times New Roman"/>
          <w:b w:val="false"/>
          <w:bCs w:val="false"/>
          <w:i w:val="false"/>
          <w:iCs w:val="false"/>
          <w:sz w:val="24"/>
          <w:szCs w:val="24"/>
        </w:rPr>
        <w:t xml:space="preserve">Üçüncü gerilim, bölümün temel savını en açık biçimde sınayan gerilimdir. Edalat (2026), koyun yünü ve kenevir yünü gibi ham biyolojik yalıtkanların geri dönüştürülebilirlik, çevresel yarar ve mineral esaslı geleneksel yalıtkanlarla karşılaştırılabilir ısıl performans nedeniyle ilgi gördüğünü aktarmakta; buna karşılık her ikisinin de </w:t>
      </w:r>
      <w:r>
        <w:rPr>
          <w:rFonts w:ascii="Times New Roman" w:cs="Times New Roman" w:eastAsia="Times New Roman" w:hAnsi="Times New Roman"/>
          <w:b/>
          <w:bCs/>
          <w:i w:val="false"/>
          <w:iCs w:val="false"/>
          <w:sz w:val="24"/>
          <w:szCs w:val="24"/>
        </w:rPr>
        <w:t xml:space="preserve">zayıf yangın dayanımı ve belirgin biçimde yüksek maliyet</w:t>
      </w:r>
      <w:r>
        <w:rPr>
          <w:rFonts w:ascii="Times New Roman" w:cs="Times New Roman" w:eastAsia="Times New Roman" w:hAnsi="Times New Roman"/>
          <w:b w:val="false"/>
          <w:bCs w:val="false"/>
          <w:i w:val="false"/>
          <w:iCs w:val="false"/>
          <w:sz w:val="24"/>
          <w:szCs w:val="24"/>
        </w:rPr>
        <w:t xml:space="preserve"> gibi kalıcı güçlüklerle karşılaştığını belirtmektedir. Yazara göre bu etkenler biyolojik temelli yalıtkanların Avrupa Birliği pazarındaki yayılımını sınırlamış; söz konusu malzemeler bu pazarda yalnızca %1,6 paya ulaşırken mineral yünler %22 paya sahip olmuştur.</w:t>
      </w:r>
    </w:p>
    <w:p>
      <w:pPr>
        <w:spacing w:after="160" w:line="360"/>
        <w:jc w:val="both"/>
      </w:pPr>
      <w:r>
        <w:rPr>
          <w:rFonts w:ascii="Times New Roman" w:cs="Times New Roman" w:eastAsia="Times New Roman" w:hAnsi="Times New Roman"/>
          <w:b w:val="false"/>
          <w:bCs w:val="false"/>
          <w:i w:val="false"/>
          <w:iCs w:val="false"/>
          <w:sz w:val="24"/>
          <w:szCs w:val="24"/>
        </w:rPr>
        <w:t xml:space="preserve">Ancak aynı karşılaştırmanın en çarpıcı yönü başka bir noktadadır. Edalat (2026), koyun ve kenevir yününden farklı olarak mineral yünlerin </w:t>
      </w:r>
      <w:r>
        <w:rPr>
          <w:rFonts w:ascii="Times New Roman" w:cs="Times New Roman" w:eastAsia="Times New Roman" w:hAnsi="Times New Roman"/>
          <w:b/>
          <w:bCs/>
          <w:i w:val="false"/>
          <w:iCs w:val="false"/>
          <w:sz w:val="24"/>
          <w:szCs w:val="24"/>
        </w:rPr>
        <w:t xml:space="preserve">tümüyle ve sınırsız biçimde yeni ürünlere geri dönüştürülebildiğini</w:t>
      </w:r>
      <w:r>
        <w:rPr>
          <w:rFonts w:ascii="Times New Roman" w:cs="Times New Roman" w:eastAsia="Times New Roman" w:hAnsi="Times New Roman"/>
          <w:b w:val="false"/>
          <w:bCs w:val="false"/>
          <w:i w:val="false"/>
          <w:iCs w:val="false"/>
          <w:sz w:val="24"/>
          <w:szCs w:val="24"/>
        </w:rPr>
        <w:t xml:space="preserve"> ve bu nedenle kapalı döngü uygulamalarıyla daha etkili biçimde örtüştüğünü aktarmaktadır. Yani bu özgül karşılaştırmada, biyolojik kökenli olmayan bir malzeme, biyolojik kökenli alternatifinden daha döngüsel davranmaktadır.</w:t>
      </w:r>
    </w:p>
    <w:p>
      <w:pPr>
        <w:spacing w:after="160" w:line="360"/>
        <w:jc w:val="both"/>
      </w:pPr>
      <w:r>
        <w:rPr>
          <w:rFonts w:ascii="Times New Roman" w:cs="Times New Roman" w:eastAsia="Times New Roman" w:hAnsi="Times New Roman"/>
          <w:sz w:val="24"/>
          <w:szCs w:val="24"/>
        </w:rPr>
        <w:t xml:space="preserve">Benzer bir durum saman balyasında da gözlenmektedir. Edalat (2026), samanın tümüyle biyobozunur olmasına karşın zamanla kademeli bozunmaya açık olduğunu; bunun da ham malzemenin geri kazanımına ilişkin kaygılar doğurduğunu ve özellikle ön üretimli olmayan biçimlerin geri kazanımını güçleştirdiğini belirtmektedir. Biyobozunurluk, kendi başına döngüsellik üretmemekte; aksine geri kazanımı zorlaştırabilmektedir.</w:t>
      </w:r>
    </w:p>
    <w:p>
      <w:pPr>
        <w:pStyle w:val="Heading2"/>
        <w:spacing w:after="170" w:before="320" w:line="360"/>
      </w:pPr>
      <w:r>
        <w:rPr>
          <w:rFonts w:ascii="Times New Roman" w:cs="Times New Roman" w:eastAsia="Times New Roman" w:hAnsi="Times New Roman"/>
          <w:b/>
          <w:bCs/>
          <w:sz w:val="24"/>
          <w:szCs w:val="24"/>
        </w:rPr>
        <w:t xml:space="preserve">7.3. Alanyazının kendi teşhisi: neyin eksik olduğu</w:t>
      </w:r>
    </w:p>
    <w:p>
      <w:pPr>
        <w:spacing w:after="160" w:line="360"/>
        <w:jc w:val="both"/>
      </w:pPr>
      <w:r>
        <w:rPr>
          <w:rFonts w:ascii="Times New Roman" w:cs="Times New Roman" w:eastAsia="Times New Roman" w:hAnsi="Times New Roman"/>
          <w:b w:val="false"/>
          <w:bCs w:val="false"/>
          <w:i w:val="false"/>
          <w:iCs w:val="false"/>
          <w:sz w:val="24"/>
          <w:szCs w:val="24"/>
        </w:rPr>
        <w:t xml:space="preserve">Bu sınırlılıkların kaynağına ilişkin en keskin saptama yine aynı çalışmadan gelmektedir. Edalat (2026), söz konusu güçlüklerin çoğunun </w:t>
      </w:r>
      <w:r>
        <w:rPr>
          <w:rFonts w:ascii="Times New Roman" w:cs="Times New Roman" w:eastAsia="Times New Roman" w:hAnsi="Times New Roman"/>
          <w:b/>
          <w:bCs/>
          <w:i w:val="false"/>
          <w:iCs w:val="false"/>
          <w:sz w:val="24"/>
          <w:szCs w:val="24"/>
        </w:rPr>
        <w:t xml:space="preserve">tasarım aşamasında</w:t>
      </w:r>
      <w:r>
        <w:rPr>
          <w:rFonts w:ascii="Times New Roman" w:cs="Times New Roman" w:eastAsia="Times New Roman" w:hAnsi="Times New Roman"/>
          <w:b w:val="false"/>
          <w:bCs w:val="false"/>
          <w:i w:val="false"/>
          <w:iCs w:val="false"/>
          <w:sz w:val="24"/>
          <w:szCs w:val="24"/>
        </w:rPr>
        <w:t xml:space="preserve"> doğduğunu; döngüsel ekonomiye ilişkin temel değerlendirmelerin bu aşamada sıklıkla göz ardı edildiğini belirtmektedir. Yazara göre bunun başlıca nedeni, malzeme tasarımcılarının </w:t>
      </w:r>
      <w:r>
        <w:rPr>
          <w:rFonts w:ascii="Times New Roman" w:cs="Times New Roman" w:eastAsia="Times New Roman" w:hAnsi="Times New Roman"/>
          <w:b/>
          <w:bCs/>
          <w:i w:val="false"/>
          <w:iCs w:val="false"/>
          <w:sz w:val="24"/>
          <w:szCs w:val="24"/>
        </w:rPr>
        <w:t xml:space="preserve">yaşam döngüsü değerlendirmesine ve sera gazı azaltımına orantısız biçimde odaklanmasıdır.</w:t>
      </w:r>
      <w:r>
        <w:rPr>
          <w:rFonts w:ascii="Times New Roman" w:cs="Times New Roman" w:eastAsia="Times New Roman" w:hAnsi="Times New Roman"/>
          <w:b w:val="false"/>
          <w:bCs w:val="false"/>
          <w:i w:val="false"/>
          <w:iCs w:val="false"/>
          <w:sz w:val="24"/>
          <w:szCs w:val="24"/>
        </w:rPr>
        <w:t xml:space="preserve"> Karbon azaltımı kritik olmakla birlikte, bu dar vurgu </w:t>
      </w:r>
      <w:r>
        <w:rPr>
          <w:rFonts w:ascii="Times New Roman" w:cs="Times New Roman" w:eastAsia="Times New Roman" w:hAnsi="Times New Roman"/>
          <w:b/>
          <w:bCs/>
          <w:i w:val="false"/>
          <w:iCs w:val="false"/>
          <w:sz w:val="24"/>
          <w:szCs w:val="24"/>
        </w:rPr>
        <w:t xml:space="preserve">tedarik zinciri dirençliliği ve malzeme döngüselliği</w:t>
      </w:r>
      <w:r>
        <w:rPr>
          <w:rFonts w:ascii="Times New Roman" w:cs="Times New Roman" w:eastAsia="Times New Roman" w:hAnsi="Times New Roman"/>
          <w:b w:val="false"/>
          <w:bCs w:val="false"/>
          <w:i w:val="false"/>
          <w:iCs w:val="false"/>
          <w:sz w:val="24"/>
          <w:szCs w:val="24"/>
        </w:rPr>
        <w:t xml:space="preserve"> gibi en az onun kadar hayati yönleri sıklıkla ihmal etmektedir. Edalat’a göre bu dengesizlik döngüsel ekonomi tartışmasında önemli bir boşluğa işaret etmekte ve malzeme tasarımı için daha bütünleşik, çerçeve temelli bir yaklaşımı gerekli kılmaktadır.</w:t>
      </w:r>
    </w:p>
    <w:p>
      <w:pPr>
        <w:spacing w:after="160" w:line="360"/>
        <w:jc w:val="both"/>
      </w:pPr>
      <w:r>
        <w:rPr>
          <w:rFonts w:ascii="Times New Roman" w:cs="Times New Roman" w:eastAsia="Times New Roman" w:hAnsi="Times New Roman"/>
          <w:sz w:val="24"/>
          <w:szCs w:val="24"/>
        </w:rPr>
        <w:t xml:space="preserve">Bu teşhis, izleyen alt başlıkta önerilen çerçevenin gerekçesini oluşturmaktadır: eksik olan, yeni bir ölçüt listesi değil; mevcut ölçüt listelerinin kapsamadığı boyutlardır.</w:t>
      </w:r>
    </w:p>
    <w:p>
      <w:pPr>
        <w:pStyle w:val="Heading2"/>
        <w:spacing w:after="170" w:before="320" w:line="360"/>
      </w:pPr>
      <w:r>
        <w:rPr>
          <w:rFonts w:ascii="Times New Roman" w:cs="Times New Roman" w:eastAsia="Times New Roman" w:hAnsi="Times New Roman"/>
          <w:b/>
          <w:bCs/>
          <w:sz w:val="24"/>
          <w:szCs w:val="24"/>
        </w:rPr>
        <w:t xml:space="preserve">7.4. İki katmanlı bir değerlendirme çerçevesi önerisi</w:t>
      </w:r>
    </w:p>
    <w:p>
      <w:pPr>
        <w:spacing w:after="160" w:line="360"/>
        <w:jc w:val="both"/>
      </w:pPr>
      <w:r>
        <w:rPr>
          <w:rFonts w:ascii="Times New Roman" w:cs="Times New Roman" w:eastAsia="Times New Roman" w:hAnsi="Times New Roman"/>
          <w:b w:val="false"/>
          <w:bCs w:val="false"/>
          <w:i w:val="false"/>
          <w:iCs w:val="false"/>
          <w:sz w:val="24"/>
          <w:szCs w:val="24"/>
        </w:rPr>
        <w:t xml:space="preserve">Edalat (2026), döngüsel biyolojik temelli yapı malzemeleri için altı ölçütlü bir tasarım ve seçim çerçevesi önermiştir (bkz. Tablo 3). Söz konusu çerçeve malzeme düzeyinde kapsamlıdır; ancak iki boyutu içermemektedir: malzemenin </w:t>
      </w:r>
      <w:r>
        <w:rPr>
          <w:rFonts w:ascii="Times New Roman" w:cs="Times New Roman" w:eastAsia="Times New Roman" w:hAnsi="Times New Roman"/>
          <w:b/>
          <w:bCs/>
          <w:i w:val="false"/>
          <w:iCs w:val="false"/>
          <w:sz w:val="24"/>
          <w:szCs w:val="24"/>
        </w:rPr>
        <w:t xml:space="preserve">deneyimsel performansı</w:t>
      </w:r>
      <w:r>
        <w:rPr>
          <w:rFonts w:ascii="Times New Roman" w:cs="Times New Roman" w:eastAsia="Times New Roman" w:hAnsi="Times New Roman"/>
          <w:b w:val="false"/>
          <w:bCs w:val="false"/>
          <w:i w:val="false"/>
          <w:iCs w:val="false"/>
          <w:sz w:val="24"/>
          <w:szCs w:val="24"/>
        </w:rPr>
        <w:t xml:space="preserve"> ve sistemin </w:t>
      </w:r>
      <w:r>
        <w:rPr>
          <w:rFonts w:ascii="Times New Roman" w:cs="Times New Roman" w:eastAsia="Times New Roman" w:hAnsi="Times New Roman"/>
          <w:b/>
          <w:bCs/>
          <w:i w:val="false"/>
          <w:iCs w:val="false"/>
          <w:sz w:val="24"/>
          <w:szCs w:val="24"/>
        </w:rPr>
        <w:t xml:space="preserve">dirençlilik kapasitesi.</w:t>
      </w:r>
    </w:p>
    <w:p>
      <w:pPr>
        <w:spacing w:after="160" w:line="360"/>
        <w:jc w:val="both"/>
      </w:pPr>
      <w:r>
        <w:rPr>
          <w:rFonts w:ascii="Times New Roman" w:cs="Times New Roman" w:eastAsia="Times New Roman" w:hAnsi="Times New Roman"/>
          <w:sz w:val="24"/>
          <w:szCs w:val="24"/>
        </w:rPr>
        <w:t xml:space="preserve">Bu iki boyutun eklenmesi keyfî bir genişletme değildir. Birincisi, Edalat’ın (2026) kendi teşhisi dirençliliği açıkça ihmal edilen bir yön olarak adlandırmaktadır. İkincisi, iç mimarlık malzemenin kullanıcıyla doğrudan temas ettiği ölçek olduğu için deneyimsel değerlendirme bu bağlamda ikincil değil, kurucu bir ölçüttür.</w:t>
      </w:r>
    </w:p>
    <w:p>
      <w:pPr>
        <w:spacing w:after="160" w:line="360"/>
        <w:jc w:val="both"/>
      </w:pPr>
      <w:r>
        <w:rPr>
          <w:rFonts w:ascii="Times New Roman" w:cs="Times New Roman" w:eastAsia="Times New Roman" w:hAnsi="Times New Roman"/>
          <w:sz w:val="24"/>
          <w:szCs w:val="24"/>
        </w:rPr>
        <w:t xml:space="preserve">Buna göre Tablo 5, iki katmanlı bir değerlendirme çerçevesi önermektedir. Birinci katman Edalat’ın (2026) altı ölçütünü malzeme düzeyinde olduğu gibi korumakta; ikinci katman ise iç mekân ölçeğine özgü iki boyut eklemektedir. Çerçevenin özgün katkısı bu ikinci katmandır.</w:t>
      </w:r>
    </w:p>
    <w:p>
      <w:pPr>
        <w:keepNext/>
        <w:spacing w:after="140" w:before="400" w:line="240"/>
      </w:pPr>
      <w:r>
        <w:rPr>
          <w:rFonts w:ascii="Times New Roman" w:cs="Times New Roman" w:eastAsia="Times New Roman" w:hAnsi="Times New Roman"/>
          <w:b/>
          <w:bCs/>
          <w:sz w:val="22"/>
          <w:szCs w:val="22"/>
        </w:rPr>
        <w:t xml:space="preserve">Tablo 5. </w:t>
      </w:r>
      <w:r>
        <w:rPr>
          <w:rFonts w:ascii="Times New Roman" w:cs="Times New Roman" w:eastAsia="Times New Roman" w:hAnsi="Times New Roman"/>
          <w:sz w:val="22"/>
          <w:szCs w:val="22"/>
        </w:rPr>
        <w:t xml:space="preserve">İç mekân ölçeği için önerilen iki katmanlı değerlendirme çerçevesi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126"/>
        <w:gridCol w:w="2100"/>
      </w:tblGrid>
      <w:tr>
        <w:trPr>
          <w:tblHeader/>
        </w:trPr>
        <w:tc>
          <w:tcPr>
            <w:tcW w:type="dxa" w:w="7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
            </w:r>
          </w:p>
        </w:tc>
        <w:tc>
          <w:tcPr>
            <w:tcW w:type="dxa" w:w="21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Boyut</w:t>
            </w:r>
          </w:p>
        </w:tc>
        <w:tc>
          <w:tcPr>
            <w:tcW w:type="dxa" w:w="4126"/>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Tasarımcının sorusu</w:t>
            </w:r>
          </w:p>
        </w:tc>
        <w:tc>
          <w:tcPr>
            <w:tcW w:type="dxa" w:w="21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Kuramsal dayanak</w:t>
            </w:r>
          </w:p>
        </w:tc>
      </w:tr>
      <w:tr>
        <w:tc>
          <w:tcPr>
            <w:tcW w:type="dxa" w:w="7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A–F</w:t>
            </w:r>
          </w:p>
        </w:tc>
        <w:tc>
          <w:tcPr>
            <w:tcW w:type="dxa" w:w="21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 düzeyi (birinci katman)</w:t>
            </w:r>
          </w:p>
        </w:tc>
        <w:tc>
          <w:tcPr>
            <w:tcW w:type="dxa" w:w="41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Edalat’ın (2026) altı ölçütü olduğu gibi korunmuştur: genel sürdürülebilirlik; atık kökenli ya da yenilenebilir tedarik; sera gazı azaltımı; geri dönüştürülebilirlik, biyobozunurluk ve ömür sonu; coğrafi erişilebilirlik ve tedarik zinciri güvenliği; bağlama özgü nitelikler (bkz. Tablo 3).</w:t>
            </w:r>
          </w:p>
        </w:tc>
        <w:tc>
          <w:tcPr>
            <w:tcW w:type="dxa" w:w="21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Edalat (2026)</w:t>
            </w:r>
          </w:p>
        </w:tc>
      </w:tr>
      <w:tr>
        <w:tc>
          <w:tcPr>
            <w:tcW w:type="dxa" w:w="7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G</w:t>
            </w:r>
          </w:p>
        </w:tc>
        <w:tc>
          <w:tcPr>
            <w:tcW w:type="dxa" w:w="21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Deneyimsel performans (ikinci katman)</w:t>
            </w:r>
          </w:p>
        </w:tc>
        <w:tc>
          <w:tcPr>
            <w:tcW w:type="dxa" w:w="41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 kullanıcıda hangi duyusal ve anlamsal deneyimi oluşturuyor? Yaşlandığında nasıl davranıyor? Değişkenliği kabul görüyor mu?</w:t>
            </w:r>
          </w:p>
        </w:tc>
        <w:tc>
          <w:tcPr>
            <w:tcW w:type="dxa" w:w="21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Karana ve diğ. (2015); Karana ve diğ. (2018); Rognoli ve Ayala García (2018)</w:t>
            </w:r>
          </w:p>
        </w:tc>
      </w:tr>
      <w:tr>
        <w:tc>
          <w:tcPr>
            <w:tcW w:type="dxa" w:w="7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H</w:t>
            </w:r>
          </w:p>
        </w:tc>
        <w:tc>
          <w:tcPr>
            <w:tcW w:type="dxa" w:w="21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Dirençlilik kapasitesi (ikinci katman)</w:t>
            </w:r>
          </w:p>
        </w:tc>
        <w:tc>
          <w:tcPr>
            <w:tcW w:type="dxa" w:w="412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Bileşen değişime, bakıma, onarıma ve yeniden kullanıma ne ölçüde uyum sağlıyor? Yerel bir bozulma sistemin tamamını etkiliyor mu?</w:t>
            </w:r>
          </w:p>
        </w:tc>
        <w:tc>
          <w:tcPr>
            <w:tcW w:type="dxa" w:w="21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Andréen ve Goidea (2022); Heymans ve diğ. (2019); Goidea ve diğ. (2022); Edalat (2026)</w:t>
            </w:r>
          </w:p>
        </w:tc>
      </w:tr>
    </w:tbl>
    <w:p>
      <w:pPr>
        <w:spacing w:after="340" w:before="130" w:line="240"/>
      </w:pPr>
      <w:r>
        <w:rPr>
          <w:rFonts w:ascii="Times New Roman" w:cs="Times New Roman" w:eastAsia="Times New Roman" w:hAnsi="Times New Roman"/>
          <w:i/>
          <w:iCs/>
          <w:sz w:val="18"/>
          <w:szCs w:val="18"/>
        </w:rPr>
        <w:t xml:space="preserve">İkinci katman bu bölümün önerisidir; birinci katman olduğu gibi aktarılmıştır.</w:t>
      </w:r>
    </w:p>
    <w:p>
      <w:pPr>
        <w:spacing w:after="160" w:line="360"/>
        <w:jc w:val="both"/>
      </w:pPr>
      <w:r>
        <w:rPr>
          <w:rFonts w:ascii="Times New Roman" w:cs="Times New Roman" w:eastAsia="Times New Roman" w:hAnsi="Times New Roman"/>
          <w:sz w:val="24"/>
          <w:szCs w:val="24"/>
        </w:rPr>
        <w:t xml:space="preserve">Çerçevenin kullanım mantığı sıralı değil, eşzamanlıdır: bir bileşenin yalnızca birinci katmanı karşılaması, iç mekân bağlamında yeterli bir değerlendirme sağlamaz. Nitekim altıncı başlıkta aktarılan kahve atıklı duvar paneli örneği, atık kökenli tedarik ölçütünü tümüyle karşılamasına karşın ömür sonu ölçütünü hiç karşılamayan bir bileşenin döngüsel sayılamayacağını göstermektedir.</w:t>
      </w:r>
    </w:p>
    <w:p>
      <w:pPr>
        <w:pStyle w:val="Heading1"/>
        <w:spacing w:after="220" w:before="440" w:line="360"/>
      </w:pPr>
      <w:r>
        <w:rPr>
          <w:rFonts w:ascii="Times New Roman" w:cs="Times New Roman" w:eastAsia="Times New Roman" w:hAnsi="Times New Roman"/>
          <w:b/>
          <w:bCs/>
          <w:sz w:val="26"/>
          <w:szCs w:val="26"/>
        </w:rPr>
        <w:t xml:space="preserve">8. SONUÇ</w:t>
      </w:r>
    </w:p>
    <w:p>
      <w:pPr>
        <w:spacing w:after="160" w:line="360"/>
        <w:jc w:val="both"/>
      </w:pPr>
      <w:r>
        <w:rPr>
          <w:rFonts w:ascii="Times New Roman" w:cs="Times New Roman" w:eastAsia="Times New Roman" w:hAnsi="Times New Roman"/>
          <w:sz w:val="24"/>
          <w:szCs w:val="24"/>
        </w:rPr>
        <w:t xml:space="preserve">Bu bölüm, iç mimarlıkta biyolojik temelli malzeme seçiminin sürdürülebilirlikten döngüselliğe ve döngüsellikten dirençliliğe geçişi sağlayan bir tasarım yaklaşımı olarak nasıl kavramsallaştırılabileceği sorusunu ele almıştır. Yürütülen tartışma, bu üç kavramın birbirinin yerine geçen eşanlamlılar değil, birbirini kapsayan ve birbirine ölçüt ekleyen üç ayrı düzlem oluşturduğunu göstermektedir (Tablo 6).</w:t>
      </w:r>
    </w:p>
    <w:p>
      <w:pPr>
        <w:spacing w:after="160" w:line="360"/>
        <w:jc w:val="both"/>
      </w:pPr>
      <w:r>
        <w:rPr>
          <w:rFonts w:ascii="Times New Roman" w:cs="Times New Roman" w:eastAsia="Times New Roman" w:hAnsi="Times New Roman"/>
          <w:sz w:val="24"/>
          <w:szCs w:val="24"/>
        </w:rPr>
        <w:t xml:space="preserve">Birinci düzlemde sürdürülebilirlik malzemenin çevresel etkisini azaltmayı hedefler; ancak biyolojik köken ne sürdürülebilirliğin ne döngüselliğin kendiliğinden güvencesidir. İkinci düzlemde döngüsellik malzemenin yaşam döngüsünü ve ömür sonu senaryosunu karar sürecine dahil eder; bu düzlemin en belirleyici bulgusu, döngüselliğin malzemenin biyolojik kökeninde değil bileşiminde ve birleşiminde kararlaştığıdır. Üçüncü düzlemde dirençlilik değerlendirmeye zamanı ve değişimi ekler; dayanıklılık bu çerçevede malzemenin bozulmaması değil, sistemin değişim karşısında sürekliliğini koruyabilmesi anlamına gelir.</w:t>
      </w:r>
    </w:p>
    <w:p>
      <w:pPr>
        <w:keepNext/>
        <w:spacing w:after="140" w:before="400" w:line="240"/>
      </w:pPr>
      <w:r>
        <w:rPr>
          <w:rFonts w:ascii="Times New Roman" w:cs="Times New Roman" w:eastAsia="Times New Roman" w:hAnsi="Times New Roman"/>
          <w:b/>
          <w:bCs/>
          <w:sz w:val="22"/>
          <w:szCs w:val="22"/>
        </w:rPr>
        <w:t xml:space="preserve">Tablo 6. </w:t>
      </w:r>
      <w:r>
        <w:rPr>
          <w:rFonts w:ascii="Times New Roman" w:cs="Times New Roman" w:eastAsia="Times New Roman" w:hAnsi="Times New Roman"/>
          <w:sz w:val="22"/>
          <w:szCs w:val="22"/>
        </w:rPr>
        <w:t xml:space="preserve">Sürdürülebilirlik, döngüsellik ve dirençlilik: üç değerlendirme düzlemi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563"/>
        <w:gridCol w:w="2563"/>
      </w:tblGrid>
      <w:tr>
        <w:trPr>
          <w:tblHeader/>
        </w:trPr>
        <w:tc>
          <w:tcPr>
            <w:tcW w:type="dxa" w:w="15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Düzlem</w:t>
            </w:r>
          </w:p>
        </w:tc>
        <w:tc>
          <w:tcPr>
            <w:tcW w:type="dxa" w:w="2400"/>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Sorduğu soru</w:t>
            </w:r>
          </w:p>
        </w:tc>
        <w:tc>
          <w:tcPr>
            <w:tcW w:type="dxa" w:w="2563"/>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Karar sürecine eklediği ölçüt</w:t>
            </w:r>
          </w:p>
        </w:tc>
        <w:tc>
          <w:tcPr>
            <w:tcW w:type="dxa" w:w="2563"/>
            <w:shd w:fill="ECECEC"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Tek başına yetersiz kaldığı nokta</w:t>
            </w:r>
          </w:p>
        </w:tc>
      </w:tr>
      <w:tr>
        <w:tc>
          <w:tcPr>
            <w:tcW w:type="dxa" w:w="15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Sürdürülebilirlik</w:t>
            </w:r>
          </w:p>
        </w:tc>
        <w:tc>
          <w:tcPr>
            <w:tcW w:type="dxa" w:w="24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Malzemenin çevresel etkisi nedir?</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Kaynak, salım ve enerji ölçütleri</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Biyolojik köken çevresel avantajı güvence altına almaz; her avantaj için önemli istisnalar bulunur¹</w:t>
            </w:r>
          </w:p>
        </w:tc>
      </w:tr>
      <w:tr>
        <w:tc>
          <w:tcPr>
            <w:tcW w:type="dxa" w:w="15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Döngüsellik</w:t>
            </w:r>
          </w:p>
        </w:tc>
        <w:tc>
          <w:tcPr>
            <w:tcW w:type="dxa" w:w="24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 ömrünün sonunda ne oluyor?</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Bileşim, birleşim, bağlayıcı türü, sökülebilirlik ve ömür sonu senaryosu</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Biyobozunurluk kendi başına döngüsellik üretmez; kurumsal altyapı ve ömür sonu planlaması olmadan iddia temelsiz kalır²</w:t>
            </w:r>
          </w:p>
        </w:tc>
      </w:tr>
      <w:tr>
        <w:tc>
          <w:tcPr>
            <w:tcW w:type="dxa" w:w="150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Dirençlilik</w:t>
            </w:r>
          </w:p>
        </w:tc>
        <w:tc>
          <w:tcPr>
            <w:tcW w:type="dxa" w:w="24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Sistem değişim karşısında sürekliliğini koruyabiliyor mu?</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Uyarlanabilirlik, bakım, onarım, yedeklilik ve ölçekler arası bağımlılık</w:t>
            </w:r>
          </w:p>
        </w:tc>
        <w:tc>
          <w:tcPr>
            <w:tcW w:type="dxa" w:w="2563"/>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Uzun süreli davranışa ilişkin bilgi büyük ölçüde eksik olduğundan değerlendirme kuramsal düzeyde kalır³</w:t>
            </w:r>
          </w:p>
        </w:tc>
      </w:tr>
    </w:tbl>
    <w:p>
      <w:pPr>
        <w:spacing w:after="340" w:before="130" w:line="240"/>
      </w:pPr>
      <w:r>
        <w:rPr>
          <w:rFonts w:ascii="Times New Roman" w:cs="Times New Roman" w:eastAsia="Times New Roman" w:hAnsi="Times New Roman"/>
          <w:i/>
          <w:iCs/>
          <w:sz w:val="18"/>
          <w:szCs w:val="18"/>
        </w:rPr>
        <w:t xml:space="preserve">¹ O’Rourke ve Seepersad (2015) · ² Edalat (2026) · ³ Chang ve diğ. (2020); Andréen ve Goidea (2022); Heymans ve diğ. (2019)</w:t>
      </w:r>
    </w:p>
    <w:p>
      <w:pPr>
        <w:spacing w:after="160" w:line="360"/>
        <w:jc w:val="both"/>
      </w:pPr>
      <w:r>
        <w:rPr>
          <w:rFonts w:ascii="Times New Roman" w:cs="Times New Roman" w:eastAsia="Times New Roman" w:hAnsi="Times New Roman"/>
          <w:sz w:val="24"/>
          <w:szCs w:val="24"/>
        </w:rPr>
        <w:t xml:space="preserve">Bu üç düzlemin iç mimarlıkta kesiştiği nokta, bölümün ikinci özgün saptamasını oluşturmaktadır. Edalat’ın (2026) ortaya koyduğu gibi ahşap dışı biyolojik temelli malzemelerin fiilî uygulama alanı büyük ölçüde iç mekândır; bu malzemeler sınırlı mekanik dayanımları nedeniyle taşıyıcı elemanlarda nadiren yer almaktadır. Dolayısıyla iç mimarlık, söz konusu malzemelerin yapılı çevreye girişinde belirleyici ölçeği oluşturmaktadır.</w:t>
      </w:r>
    </w:p>
    <w:p>
      <w:pPr>
        <w:spacing w:after="160" w:line="360"/>
        <w:jc w:val="both"/>
      </w:pPr>
      <w:r>
        <w:rPr>
          <w:rFonts w:ascii="Times New Roman" w:cs="Times New Roman" w:eastAsia="Times New Roman" w:hAnsi="Times New Roman"/>
          <w:sz w:val="24"/>
          <w:szCs w:val="24"/>
        </w:rPr>
        <w:t xml:space="preserve">Bölümde önerilen iki katmanlı değerlendirme çerçevesi bu zemine dayanmaktadır. Birinci katman Edalat’ın (2026) altı ölçütünü malzeme düzeyinde korumakta; ikinci katman iç mekân ölçeğine özgü iki boyut eklemektedir: deneyimsel performans ve dirençlilik kapasitesi. İkinci boyutun eklenmesi keyfî değildir; Edalat (2026) yaşam döngüsü değerlendirmesine ve sera gazı azaltımına orantısız odaklanmanın tedarik zinciri dirençliliğini ve malzeme döngüselliğini ihmal ettiğini açıkça saptamaktadır.</w:t>
      </w:r>
    </w:p>
    <w:p>
      <w:pPr>
        <w:spacing w:after="160" w:line="360"/>
        <w:jc w:val="both"/>
      </w:pPr>
      <w:r>
        <w:rPr>
          <w:rFonts w:ascii="Times New Roman" w:cs="Times New Roman" w:eastAsia="Times New Roman" w:hAnsi="Times New Roman"/>
          <w:sz w:val="24"/>
          <w:szCs w:val="24"/>
        </w:rPr>
        <w:t xml:space="preserve">Çerçevenin sınırlılıkları da belirtilmelidir. Öneri kuramsal düzeyde kalmakta; tasarım pratiğinde sınanmamıştır. Eklenen iki boyut için, Edalat’ın (2026) kendi ölçütleri için uyguladığı türden yerleşik bir değerlendirme yaklaşımı henüz bulunmamaktadır. Ayrıca çerçeve taşıyıcı olmayan iç mekân bileşenleri için kurulmuş olup yapısal ölçeğe genellenemez.</w:t>
      </w:r>
    </w:p>
    <w:p>
      <w:pPr>
        <w:spacing w:after="160" w:line="360"/>
        <w:jc w:val="both"/>
      </w:pPr>
      <w:r>
        <w:rPr>
          <w:rFonts w:ascii="Times New Roman" w:cs="Times New Roman" w:eastAsia="Times New Roman" w:hAnsi="Times New Roman"/>
          <w:sz w:val="24"/>
          <w:szCs w:val="24"/>
        </w:rPr>
        <w:t xml:space="preserve">Bu sınırlılıklar doğrudan bir araştırma gündemine işaret etmektedir. Birincisi, deneyimsel performans ve dirençlilik kapasitesi boyutları için ölçülebilir değerlendirme yaklaşımları geliştirilmelidir. İkincisi, iç mekân bileşenlerinde bağlayıcı sistemleri ve tersinir birleşim detayları ayrıca araştırılmalıdır; Edalat (2026) bağlayıcı uyumluluğunu temel engeller arasında saymaktadır. Üçüncüsü, biyolojik temelli iç mekân bileşenlerinin uzun süreli davranışı izlenmelidir; Chang ve diğ. (2020) bu alandaki bilimsel bilginin oldukça sınırlı kaldığını ortaya koymaktadır. Dördüncüsü, döngüsel ekonominin kullanım, onarım ve yeniden kullanım aşamaları iç mekân bağlamında incelenmelidir; Edalat (2026) bu aşamaların yeterince araştırılmadığını ve büyük ölçüde bağlama bağlı olduğunu belirtmektedir.</w:t>
      </w:r>
    </w:p>
    <w:p>
      <w:pPr>
        <w:spacing w:after="160" w:line="360"/>
        <w:jc w:val="both"/>
      </w:pPr>
      <w:r>
        <w:rPr>
          <w:rFonts w:ascii="Times New Roman" w:cs="Times New Roman" w:eastAsia="Times New Roman" w:hAnsi="Times New Roman"/>
          <w:sz w:val="24"/>
          <w:szCs w:val="24"/>
        </w:rPr>
        <w:t xml:space="preserve">Son olarak, bu yaklaşımın iç mimarlık açısından ima ettiği değişim malzeme listelerinin yenilenmesinden daha kapsamlıdır. Camere ve Karana’nın (2018) saptadığı malzeme seçiminden malzeme tasarımına kayma, tasarımcının malzemeyle kurduğu ilişkinin yeniden tanımlanması anlamına gelmektedir. Heymans ve diğ.’nin (2019) saptaması bu dönüşümün yönünü de göstermektedir: sistemin sürdürülebilirliği dirençlilik kapasitesine bağlıdır ve bu kapasite, kentlerin insan ve insan-dışı tüm sakinlerini kapsamak durumundadır; yalnızca insan toplumunun dirençliliğine odaklanmak sosyo-ekolojik sistemin dirençliliğini aşındırabilmektedir. Yazarlara göre biyoçeşitlilik ve ekolojik bağlantısallık bu nedenle dirençlilik kapasitesi açısından önemlidir. İç mekân, bu ilişkinin gündelik ölçekte kurulduğu yer olduğu için, söz konusu dönüşümün hem sınanacağı hem de görünür olacağı alandır.</w:t>
      </w:r>
    </w:p>
    <w:p>
      <w:pPr>
        <w:pStyle w:val="Heading1"/>
        <w:spacing w:after="220" w:before="440" w:line="360"/>
      </w:pPr>
      <w:r>
        <w:rPr>
          <w:rFonts w:ascii="Times New Roman" w:cs="Times New Roman" w:eastAsia="Times New Roman" w:hAnsi="Times New Roman"/>
          <w:b/>
          <w:bCs/>
          <w:sz w:val="26"/>
          <w:szCs w:val="26"/>
        </w:rPr>
        <w:t xml:space="preserve">KAYNAKÇA</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ve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Bourbia, S., Kazeoui, H. ve Belarbi, R. (2023). A review on recent research on bio-based building materials and their applications. </w:t>
      </w:r>
      <w:r>
        <w:rPr>
          <w:rFonts w:ascii="Times New Roman" w:cs="Times New Roman" w:eastAsia="Times New Roman" w:hAnsi="Times New Roman"/>
          <w:i/>
          <w:iCs/>
          <w:sz w:val="24"/>
          <w:szCs w:val="24"/>
        </w:rPr>
        <w:t xml:space="preserve">Materials for Renewable and Sustainable Energy, 12</w:t>
      </w:r>
      <w:r>
        <w:rPr>
          <w:rFonts w:ascii="Times New Roman" w:cs="Times New Roman" w:eastAsia="Times New Roman" w:hAnsi="Times New Roman"/>
          <w:i w:val="false"/>
          <w:iCs w:val="false"/>
          <w:sz w:val="24"/>
          <w:szCs w:val="24"/>
        </w:rPr>
        <w:t xml:space="preserve">, 117–139. https://doi.org/10.1007/s40243-023-00234-7</w:t>
      </w:r>
    </w:p>
    <w:p>
      <w:pPr>
        <w:spacing w:after="140" w:line="360"/>
        <w:ind w:left="567" w:hanging="567"/>
        <w:jc w:val="left"/>
      </w:pPr>
      <w:r>
        <w:rPr>
          <w:rFonts w:ascii="Times New Roman" w:cs="Times New Roman" w:eastAsia="Times New Roman" w:hAnsi="Times New Roman"/>
          <w:i w:val="false"/>
          <w:iCs w:val="false"/>
          <w:sz w:val="24"/>
          <w:szCs w:val="24"/>
        </w:rPr>
        <w:t xml:space="preserve">Camere, S. ve Karana, E. (2018). Fabricating materials from living organisms: An emerging design practice. </w:t>
      </w:r>
      <w:r>
        <w:rPr>
          <w:rFonts w:ascii="Times New Roman" w:cs="Times New Roman" w:eastAsia="Times New Roman" w:hAnsi="Times New Roman"/>
          <w:i/>
          <w:iCs/>
          <w:sz w:val="24"/>
          <w:szCs w:val="24"/>
        </w:rPr>
        <w:t xml:space="preserve">Journal of Cleaner Production, 186</w:t>
      </w:r>
      <w:r>
        <w:rPr>
          <w:rFonts w:ascii="Times New Roman" w:cs="Times New Roman" w:eastAsia="Times New Roman" w:hAnsi="Times New Roman"/>
          <w:i w:val="false"/>
          <w:iCs w:val="false"/>
          <w:sz w:val="24"/>
          <w:szCs w:val="24"/>
        </w:rPr>
        <w:t xml:space="preserve">, 570–584. https://doi.org/10.1016/j.jclepro.2018.03.081</w:t>
      </w:r>
    </w:p>
    <w:p>
      <w:pPr>
        <w:spacing w:after="140" w:line="360"/>
        <w:ind w:left="567" w:hanging="567"/>
        <w:jc w:val="left"/>
      </w:pPr>
      <w:r>
        <w:rPr>
          <w:rFonts w:ascii="Times New Roman" w:cs="Times New Roman" w:eastAsia="Times New Roman" w:hAnsi="Times New Roman"/>
          <w:i w:val="false"/>
          <w:iCs w:val="false"/>
          <w:sz w:val="24"/>
          <w:szCs w:val="24"/>
        </w:rPr>
        <w:t xml:space="preserve">Chang, B. P., Mohanty, A. K. ve Misra, M. (2020). Studies on durability of sustainable biobased composites: A review. </w:t>
      </w:r>
      <w:r>
        <w:rPr>
          <w:rFonts w:ascii="Times New Roman" w:cs="Times New Roman" w:eastAsia="Times New Roman" w:hAnsi="Times New Roman"/>
          <w:i/>
          <w:iCs/>
          <w:sz w:val="24"/>
          <w:szCs w:val="24"/>
        </w:rPr>
        <w:t xml:space="preserve">RSC Advances, 10</w:t>
      </w:r>
      <w:r>
        <w:rPr>
          <w:rFonts w:ascii="Times New Roman" w:cs="Times New Roman" w:eastAsia="Times New Roman" w:hAnsi="Times New Roman"/>
          <w:i w:val="false"/>
          <w:iCs w:val="false"/>
          <w:sz w:val="24"/>
          <w:szCs w:val="24"/>
        </w:rPr>
        <w:t xml:space="preserve">(31), 17955–17999. https://doi.org/10.1039/C9RA09554C</w:t>
      </w:r>
    </w:p>
    <w:p>
      <w:pPr>
        <w:spacing w:after="140" w:line="360"/>
        <w:ind w:left="567" w:hanging="567"/>
        <w:jc w:val="left"/>
      </w:pPr>
      <w:r>
        <w:rPr>
          <w:rFonts w:ascii="Times New Roman" w:cs="Times New Roman" w:eastAsia="Times New Roman" w:hAnsi="Times New Roman"/>
          <w:i w:val="false"/>
          <w:iCs w:val="false"/>
          <w:sz w:val="24"/>
          <w:szCs w:val="24"/>
        </w:rPr>
        <w:t xml:space="preserve">Chayaamor-Heil, N., Houette, T., Demirci, Ö. ve Badarnah, L. (2024). The potential of co-designing with living organisms: Towards a new ecological paradigm in architecture. </w:t>
      </w:r>
      <w:r>
        <w:rPr>
          <w:rFonts w:ascii="Times New Roman" w:cs="Times New Roman" w:eastAsia="Times New Roman" w:hAnsi="Times New Roman"/>
          <w:i/>
          <w:iCs/>
          <w:sz w:val="24"/>
          <w:szCs w:val="24"/>
        </w:rPr>
        <w:t xml:space="preserve">Sustainability, 16</w:t>
      </w:r>
      <w:r>
        <w:rPr>
          <w:rFonts w:ascii="Times New Roman" w:cs="Times New Roman" w:eastAsia="Times New Roman" w:hAnsi="Times New Roman"/>
          <w:i w:val="false"/>
          <w:iCs w:val="false"/>
          <w:sz w:val="24"/>
          <w:szCs w:val="24"/>
        </w:rPr>
        <w:t xml:space="preserve">(2), 673. https://doi.org/10.3390/su16020673</w:t>
      </w:r>
    </w:p>
    <w:p>
      <w:pPr>
        <w:spacing w:after="140" w:line="360"/>
        <w:ind w:left="567" w:hanging="567"/>
        <w:jc w:val="left"/>
      </w:pPr>
      <w:r>
        <w:rPr>
          <w:rFonts w:ascii="Times New Roman" w:cs="Times New Roman" w:eastAsia="Times New Roman" w:hAnsi="Times New Roman"/>
          <w:i w:val="false"/>
          <w:iCs w:val="false"/>
          <w:sz w:val="24"/>
          <w:szCs w:val="24"/>
        </w:rPr>
        <w:t xml:space="preserve">Chayaamor-Heil, N., Perricone, V., Gruber, P. ve Guéna, F. (2023). Bioinspired, biobased and living material designs: A review of recent research in architecture and construction. </w:t>
      </w:r>
      <w:r>
        <w:rPr>
          <w:rFonts w:ascii="Times New Roman" w:cs="Times New Roman" w:eastAsia="Times New Roman" w:hAnsi="Times New Roman"/>
          <w:i/>
          <w:iCs/>
          <w:sz w:val="24"/>
          <w:szCs w:val="24"/>
        </w:rPr>
        <w:t xml:space="preserve">Bioinspiration &amp; Biomimetics, 18</w:t>
      </w:r>
      <w:r>
        <w:rPr>
          <w:rFonts w:ascii="Times New Roman" w:cs="Times New Roman" w:eastAsia="Times New Roman" w:hAnsi="Times New Roman"/>
          <w:i w:val="false"/>
          <w:iCs w:val="false"/>
          <w:sz w:val="24"/>
          <w:szCs w:val="24"/>
        </w:rPr>
        <w:t xml:space="preserve">(4), 041001. https://doi.org/10.1088/1748-3190/acd82e</w:t>
      </w:r>
    </w:p>
    <w:p>
      <w:pPr>
        <w:spacing w:after="140" w:line="360"/>
        <w:ind w:left="567" w:hanging="567"/>
        <w:jc w:val="left"/>
      </w:pPr>
      <w:r>
        <w:rPr>
          <w:rFonts w:ascii="Times New Roman" w:cs="Times New Roman" w:eastAsia="Times New Roman" w:hAnsi="Times New Roman"/>
          <w:i w:val="false"/>
          <w:iCs w:val="false"/>
          <w:sz w:val="24"/>
          <w:szCs w:val="24"/>
        </w:rPr>
        <w:t xml:space="preserve">Edalat, S. (2026). Advancing circular economy of bio-based building materials: Critical gaps and future prospects. </w:t>
      </w:r>
      <w:r>
        <w:rPr>
          <w:rFonts w:ascii="Times New Roman" w:cs="Times New Roman" w:eastAsia="Times New Roman" w:hAnsi="Times New Roman"/>
          <w:i/>
          <w:iCs/>
          <w:sz w:val="24"/>
          <w:szCs w:val="24"/>
        </w:rPr>
        <w:t xml:space="preserve">Circular Economy and Sustainability, 6</w:t>
      </w:r>
      <w:r>
        <w:rPr>
          <w:rFonts w:ascii="Times New Roman" w:cs="Times New Roman" w:eastAsia="Times New Roman" w:hAnsi="Times New Roman"/>
          <w:i w:val="false"/>
          <w:iCs w:val="false"/>
          <w:sz w:val="24"/>
          <w:szCs w:val="24"/>
        </w:rPr>
        <w:t xml:space="preserve">, 151. https://doi.org/10.1007/s43615-026-00729-1</w:t>
      </w:r>
    </w:p>
    <w:p>
      <w:pPr>
        <w:spacing w:after="140" w:line="360"/>
        <w:ind w:left="567" w:hanging="567"/>
        <w:jc w:val="left"/>
      </w:pPr>
      <w:r>
        <w:rPr>
          <w:rFonts w:ascii="Times New Roman" w:cs="Times New Roman" w:eastAsia="Times New Roman" w:hAnsi="Times New Roman"/>
          <w:i w:val="false"/>
          <w:iCs w:val="false"/>
          <w:sz w:val="24"/>
          <w:szCs w:val="24"/>
        </w:rPr>
        <w:t xml:space="preserve">Goidea, A., Floudas, D. ve Andréen, D. (2022). Transcalar design: An approach to biodesign in the built environment. </w:t>
      </w:r>
      <w:r>
        <w:rPr>
          <w:rFonts w:ascii="Times New Roman" w:cs="Times New Roman" w:eastAsia="Times New Roman" w:hAnsi="Times New Roman"/>
          <w:i/>
          <w:iCs/>
          <w:sz w:val="24"/>
          <w:szCs w:val="24"/>
        </w:rPr>
        <w:t xml:space="preserve">Infrastructures, 7</w:t>
      </w:r>
      <w:r>
        <w:rPr>
          <w:rFonts w:ascii="Times New Roman" w:cs="Times New Roman" w:eastAsia="Times New Roman" w:hAnsi="Times New Roman"/>
          <w:i w:val="false"/>
          <w:iCs w:val="false"/>
          <w:sz w:val="24"/>
          <w:szCs w:val="24"/>
        </w:rPr>
        <w:t xml:space="preserve">(4), 50. https://doi.org/10.3390/infrastructures7040050</w:t>
      </w:r>
    </w:p>
    <w:p>
      <w:pPr>
        <w:spacing w:after="140" w:line="360"/>
        <w:ind w:left="567" w:hanging="567"/>
        <w:jc w:val="left"/>
      </w:pPr>
      <w:r>
        <w:rPr>
          <w:rFonts w:ascii="Times New Roman" w:cs="Times New Roman" w:eastAsia="Times New Roman" w:hAnsi="Times New Roman"/>
          <w:i w:val="false"/>
          <w:iCs w:val="false"/>
          <w:sz w:val="24"/>
          <w:szCs w:val="24"/>
        </w:rPr>
        <w:t xml:space="preserve">Heymans, A., Breadsell, J., Morrison, G. M., Byrne, J. J. ve Eon, C. (2019). Ecological urban planning and design: A systematic literature review. </w:t>
      </w:r>
      <w:r>
        <w:rPr>
          <w:rFonts w:ascii="Times New Roman" w:cs="Times New Roman" w:eastAsia="Times New Roman" w:hAnsi="Times New Roman"/>
          <w:i/>
          <w:iCs/>
          <w:sz w:val="24"/>
          <w:szCs w:val="24"/>
        </w:rPr>
        <w:t xml:space="preserve">Sustainability, 11</w:t>
      </w:r>
      <w:r>
        <w:rPr>
          <w:rFonts w:ascii="Times New Roman" w:cs="Times New Roman" w:eastAsia="Times New Roman" w:hAnsi="Times New Roman"/>
          <w:i w:val="false"/>
          <w:iCs w:val="false"/>
          <w:sz w:val="24"/>
          <w:szCs w:val="24"/>
        </w:rPr>
        <w:t xml:space="preserve">(13), 3723. https://doi.org/10.3390/su11133723</w:t>
      </w:r>
    </w:p>
    <w:p>
      <w:pPr>
        <w:spacing w:after="140" w:line="360"/>
        <w:ind w:left="567" w:hanging="567"/>
        <w:jc w:val="left"/>
      </w:pPr>
      <w:r>
        <w:rPr>
          <w:rFonts w:ascii="Times New Roman" w:cs="Times New Roman" w:eastAsia="Times New Roman" w:hAnsi="Times New Roman"/>
          <w:i w:val="false"/>
          <w:iCs w:val="false"/>
          <w:sz w:val="24"/>
          <w:szCs w:val="24"/>
        </w:rPr>
        <w:t xml:space="preserve">Karana, E., Barati, B., Rognoli, V. ve Zeeuw van der Laan, A. (2015). Material driven design (MDD): A method to design for material experiences. </w:t>
      </w:r>
      <w:r>
        <w:rPr>
          <w:rFonts w:ascii="Times New Roman" w:cs="Times New Roman" w:eastAsia="Times New Roman" w:hAnsi="Times New Roman"/>
          <w:i/>
          <w:iCs/>
          <w:sz w:val="24"/>
          <w:szCs w:val="24"/>
        </w:rPr>
        <w:t xml:space="preserve">International Journal of Design, 9</w:t>
      </w:r>
      <w:r>
        <w:rPr>
          <w:rFonts w:ascii="Times New Roman" w:cs="Times New Roman" w:eastAsia="Times New Roman" w:hAnsi="Times New Roman"/>
          <w:i w:val="false"/>
          <w:iCs w:val="false"/>
          <w:sz w:val="24"/>
          <w:szCs w:val="24"/>
        </w:rPr>
        <w:t xml:space="preserve">(2), 35–54.</w:t>
      </w:r>
    </w:p>
    <w:p>
      <w:pPr>
        <w:spacing w:after="140" w:line="360"/>
        <w:ind w:left="567" w:hanging="567"/>
        <w:jc w:val="left"/>
      </w:pPr>
      <w:r>
        <w:rPr>
          <w:rFonts w:ascii="Times New Roman" w:cs="Times New Roman" w:eastAsia="Times New Roman" w:hAnsi="Times New Roman"/>
          <w:i w:val="false"/>
          <w:iCs w:val="false"/>
          <w:sz w:val="24"/>
          <w:szCs w:val="24"/>
        </w:rPr>
        <w:t xml:space="preserve">Karana, E., Blauwhoff, D., Hultink, E.-J. ve Camere, S. (2018). When the material grows: A case study on designing (with) mycelium-based materials. </w:t>
      </w:r>
      <w:r>
        <w:rPr>
          <w:rFonts w:ascii="Times New Roman" w:cs="Times New Roman" w:eastAsia="Times New Roman" w:hAnsi="Times New Roman"/>
          <w:i/>
          <w:iCs/>
          <w:sz w:val="24"/>
          <w:szCs w:val="24"/>
        </w:rPr>
        <w:t xml:space="preserve">International Journal of Design, 12</w:t>
      </w:r>
      <w:r>
        <w:rPr>
          <w:rFonts w:ascii="Times New Roman" w:cs="Times New Roman" w:eastAsia="Times New Roman" w:hAnsi="Times New Roman"/>
          <w:i w:val="false"/>
          <w:iCs w:val="false"/>
          <w:sz w:val="24"/>
          <w:szCs w:val="24"/>
        </w:rPr>
        <w:t xml:space="preserve">(2), 119–136.</w:t>
      </w:r>
    </w:p>
    <w:p>
      <w:pPr>
        <w:spacing w:after="140" w:line="360"/>
        <w:ind w:left="567" w:hanging="567"/>
        <w:jc w:val="left"/>
      </w:pPr>
      <w:r>
        <w:rPr>
          <w:rFonts w:ascii="Times New Roman" w:cs="Times New Roman" w:eastAsia="Times New Roman" w:hAnsi="Times New Roman"/>
          <w:i w:val="false"/>
          <w:iCs w:val="false"/>
          <w:sz w:val="24"/>
          <w:szCs w:val="24"/>
        </w:rPr>
        <w:t xml:space="preserve">Kırbaş Akyürek, B., Ciravoğlu, A., Mohammadi, M. ve Yeğenoğlu, H. (2020). Building design in between living and manufactured: A research on terminology. </w:t>
      </w:r>
      <w:r>
        <w:rPr>
          <w:rFonts w:ascii="Times New Roman" w:cs="Times New Roman" w:eastAsia="Times New Roman" w:hAnsi="Times New Roman"/>
          <w:i/>
          <w:iCs/>
          <w:sz w:val="24"/>
          <w:szCs w:val="24"/>
        </w:rPr>
        <w:t xml:space="preserve">Online Journal of Art and Design, 8</w:t>
      </w:r>
      <w:r>
        <w:rPr>
          <w:rFonts w:ascii="Times New Roman" w:cs="Times New Roman" w:eastAsia="Times New Roman" w:hAnsi="Times New Roman"/>
          <w:i w:val="false"/>
          <w:iCs w:val="false"/>
          <w:sz w:val="24"/>
          <w:szCs w:val="24"/>
        </w:rPr>
        <w:t xml:space="preserve">(3), 75–90.</w:t>
      </w:r>
    </w:p>
    <w:p>
      <w:pPr>
        <w:spacing w:after="140" w:line="360"/>
        <w:ind w:left="567" w:hanging="567"/>
        <w:jc w:val="left"/>
      </w:pPr>
      <w:r>
        <w:rPr>
          <w:rFonts w:ascii="Times New Roman" w:cs="Times New Roman" w:eastAsia="Times New Roman" w:hAnsi="Times New Roman"/>
          <w:i w:val="false"/>
          <w:iCs w:val="false"/>
          <w:sz w:val="24"/>
          <w:szCs w:val="24"/>
        </w:rPr>
        <w:t xml:space="preserve">Lee, J.-Y., Lee, S.-E. ve Lee, D.-W. (2022). Current status and future prospects of biological routes to bio-based products using raw materials, wastes, and residues as renewable resources. </w:t>
      </w:r>
      <w:r>
        <w:rPr>
          <w:rFonts w:ascii="Times New Roman" w:cs="Times New Roman" w:eastAsia="Times New Roman" w:hAnsi="Times New Roman"/>
          <w:i/>
          <w:iCs/>
          <w:sz w:val="24"/>
          <w:szCs w:val="24"/>
        </w:rPr>
        <w:t xml:space="preserve">Critical Reviews in Environmental Science and Technology, 52</w:t>
      </w:r>
      <w:r>
        <w:rPr>
          <w:rFonts w:ascii="Times New Roman" w:cs="Times New Roman" w:eastAsia="Times New Roman" w:hAnsi="Times New Roman"/>
          <w:i w:val="false"/>
          <w:iCs w:val="false"/>
          <w:sz w:val="24"/>
          <w:szCs w:val="24"/>
        </w:rPr>
        <w:t xml:space="preserve">(14). https://doi.org/10.1080/10643389.2021.1880259</w:t>
      </w:r>
    </w:p>
    <w:p>
      <w:pPr>
        <w:spacing w:after="140" w:line="360"/>
        <w:ind w:left="567" w:hanging="567"/>
        <w:jc w:val="left"/>
      </w:pPr>
      <w:r>
        <w:rPr>
          <w:rFonts w:ascii="Times New Roman" w:cs="Times New Roman" w:eastAsia="Times New Roman" w:hAnsi="Times New Roman"/>
          <w:i w:val="false"/>
          <w:iCs w:val="false"/>
          <w:sz w:val="24"/>
          <w:szCs w:val="24"/>
        </w:rPr>
        <w:t xml:space="preserve">Myers, W. (2018). </w:t>
      </w:r>
      <w:r>
        <w:rPr>
          <w:rFonts w:ascii="Times New Roman" w:cs="Times New Roman" w:eastAsia="Times New Roman" w:hAnsi="Times New Roman"/>
          <w:i/>
          <w:iCs/>
          <w:sz w:val="24"/>
          <w:szCs w:val="24"/>
        </w:rPr>
        <w:t xml:space="preserve">Bio design</w:t>
      </w:r>
      <w:r>
        <w:rPr>
          <w:rFonts w:ascii="Times New Roman" w:cs="Times New Roman" w:eastAsia="Times New Roman" w:hAnsi="Times New Roman"/>
          <w:i w:val="false"/>
          <w:iCs w:val="false"/>
          <w:sz w:val="24"/>
          <w:szCs w:val="24"/>
        </w:rPr>
        <w:t xml:space="preserve">. Thames &amp; Hudson.</w:t>
      </w:r>
    </w:p>
    <w:p>
      <w:pPr>
        <w:spacing w:after="140" w:line="360"/>
        <w:ind w:left="567" w:hanging="567"/>
        <w:jc w:val="left"/>
      </w:pPr>
      <w:r>
        <w:rPr>
          <w:rFonts w:ascii="Times New Roman" w:cs="Times New Roman" w:eastAsia="Times New Roman" w:hAnsi="Times New Roman"/>
          <w:i w:val="false"/>
          <w:iCs w:val="false"/>
          <w:sz w:val="24"/>
          <w:szCs w:val="24"/>
        </w:rPr>
        <w:t xml:space="preserve">O’Rourke, J. ve Seepersad, C. C. (2015). Using biology as a model for sustainability: Insights for ecodesign and bioinspired design practitioners. </w:t>
      </w:r>
      <w:r>
        <w:rPr>
          <w:rFonts w:ascii="Times New Roman" w:cs="Times New Roman" w:eastAsia="Times New Roman" w:hAnsi="Times New Roman"/>
          <w:i/>
          <w:iCs/>
          <w:sz w:val="24"/>
          <w:szCs w:val="24"/>
        </w:rPr>
        <w:t xml:space="preserve">Proceedings of the 20th International Conference on Engineering Design (ICED15)</w:t>
      </w:r>
      <w:r>
        <w:rPr>
          <w:rFonts w:ascii="Times New Roman" w:cs="Times New Roman" w:eastAsia="Times New Roman" w:hAnsi="Times New Roman"/>
          <w:i w:val="false"/>
          <w:iCs w:val="false"/>
          <w:sz w:val="24"/>
          <w:szCs w:val="24"/>
        </w:rPr>
        <w:t xml:space="preserve">, Milano, İtalya, 27–30 Temmuz 2015.</w:t>
      </w:r>
    </w:p>
    <w:p>
      <w:pPr>
        <w:spacing w:after="140" w:line="360"/>
        <w:ind w:left="567" w:hanging="567"/>
        <w:jc w:val="left"/>
      </w:pPr>
      <w:r>
        <w:rPr>
          <w:rFonts w:ascii="Times New Roman" w:cs="Times New Roman" w:eastAsia="Times New Roman" w:hAnsi="Times New Roman"/>
          <w:i w:val="false"/>
          <w:iCs w:val="false"/>
          <w:sz w:val="24"/>
          <w:szCs w:val="24"/>
        </w:rPr>
        <w:t xml:space="preserve">Rognoli, V. ve Ayala García, C. (2018). Material activism: New hybrid scenarios between design and technology. </w:t>
      </w:r>
      <w:r>
        <w:rPr>
          <w:rFonts w:ascii="Times New Roman" w:cs="Times New Roman" w:eastAsia="Times New Roman" w:hAnsi="Times New Roman"/>
          <w:i/>
          <w:iCs/>
          <w:sz w:val="24"/>
          <w:szCs w:val="24"/>
        </w:rPr>
        <w:t xml:space="preserve">Cuadernos del Centro de Estudios en Diseño y Comunicación</w:t>
      </w:r>
      <w:r>
        <w:rPr>
          <w:rFonts w:ascii="Times New Roman" w:cs="Times New Roman" w:eastAsia="Times New Roman" w:hAnsi="Times New Roman"/>
          <w:i w:val="false"/>
          <w:iCs w:val="false"/>
          <w:sz w:val="24"/>
          <w:szCs w:val="24"/>
        </w:rPr>
        <w:t xml:space="preserve">, (70), 105–115.</w:t>
      </w:r>
    </w:p>
    <w:p>
      <w:pPr>
        <w:spacing w:after="140" w:line="360"/>
        <w:ind w:left="567" w:hanging="567"/>
        <w:jc w:val="left"/>
      </w:pPr>
      <w:r>
        <w:rPr>
          <w:rFonts w:ascii="Times New Roman" w:cs="Times New Roman" w:eastAsia="Times New Roman" w:hAnsi="Times New Roman"/>
          <w:i w:val="false"/>
          <w:iCs w:val="false"/>
          <w:sz w:val="24"/>
          <w:szCs w:val="24"/>
        </w:rPr>
        <w:t xml:space="preserve">Tyagi, P. ve Jain, C. (2026). Bio-based and regenerative materials in interior design: A systematic literature review and bibliometric analysis. </w:t>
      </w:r>
      <w:r>
        <w:rPr>
          <w:rFonts w:ascii="Times New Roman" w:cs="Times New Roman" w:eastAsia="Times New Roman" w:hAnsi="Times New Roman"/>
          <w:i/>
          <w:iCs/>
          <w:sz w:val="24"/>
          <w:szCs w:val="24"/>
        </w:rPr>
        <w:t xml:space="preserve">Journal of Engineering and Applied Science</w:t>
      </w:r>
      <w:r>
        <w:rPr>
          <w:rFonts w:ascii="Times New Roman" w:cs="Times New Roman" w:eastAsia="Times New Roman" w:hAnsi="Times New Roman"/>
          <w:i w:val="false"/>
          <w:iCs w:val="false"/>
          <w:sz w:val="24"/>
          <w:szCs w:val="24"/>
        </w:rPr>
        <w:t xml:space="preserve">. https://doi.org/10.1186/s44147-026-00970-3</w:t>
      </w:r>
    </w:p>
    <w:p>
      <w:pPr>
        <w:spacing w:after="140" w:line="360"/>
        <w:ind w:left="567" w:hanging="567"/>
        <w:jc w:val="left"/>
      </w:pPr>
      <w:r>
        <w:rPr>
          <w:rFonts w:ascii="Times New Roman" w:cs="Times New Roman" w:eastAsia="Times New Roman" w:hAnsi="Times New Roman"/>
          <w:i w:val="false"/>
          <w:iCs w:val="false"/>
          <w:sz w:val="24"/>
          <w:szCs w:val="24"/>
        </w:rPr>
        <w:t xml:space="preserve">Ünal, B. (2025). </w:t>
      </w:r>
      <w:r>
        <w:rPr>
          <w:rFonts w:ascii="Times New Roman" w:cs="Times New Roman" w:eastAsia="Times New Roman" w:hAnsi="Times New Roman"/>
          <w:i/>
          <w:iCs/>
          <w:sz w:val="24"/>
          <w:szCs w:val="24"/>
        </w:rPr>
        <w:t xml:space="preserve">Biyoloji bazlı malzemelerin üretiminden mekânsal dirençlilik analizine: Tasarım odaklı deneysel bir yaklaşım</w:t>
      </w:r>
      <w:r>
        <w:rPr>
          <w:rFonts w:ascii="Times New Roman" w:cs="Times New Roman" w:eastAsia="Times New Roman" w:hAnsi="Times New Roman"/>
          <w:i w:val="false"/>
          <w:iCs w:val="false"/>
          <w:sz w:val="24"/>
          <w:szCs w:val="24"/>
        </w:rPr>
        <w:t xml:space="preserve"> [Doktora tezi]. Hacettepe Üniversitesi, Güzel Sanatlar Enstitüsü.</w:t>
      </w:r>
    </w:p>
    <w:sectPr>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İç Mimarlıkta Sürdürülebilir Malzeme Seçimi ve Döngüsel Tasarım</dc:title>
  <dc:creator>Betül Ünal</dc:creator>
  <dc:description>Kitap bölümü — birleşik metin</dc:description>
  <cp:lastModifiedBy>Un-named</cp:lastModifiedBy>
  <cp:revision>1</cp:revision>
  <dcterms:created xsi:type="dcterms:W3CDTF">2026-10-02T03:19:09.254Z</dcterms:created>
  <dcterms:modified xsi:type="dcterms:W3CDTF">2026-10-02T03:19:09.254Z</dcterms:modified>
</cp:coreProperties>
</file>

<file path=docProps/custom.xml><?xml version="1.0" encoding="utf-8"?>
<Properties xmlns="http://schemas.openxmlformats.org/officeDocument/2006/custom-properties" xmlns:vt="http://schemas.openxmlformats.org/officeDocument/2006/docPropsVTypes"/>
</file>