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898e3decf204616f564b0c2fbdc2761e7ae4c97"/>
    <w:p>
      <w:pPr>
        <w:pStyle w:val="Heading1"/>
      </w:pPr>
      <w:r>
        <w:t xml:space="preserve">Development and Characterisation of Eggshell–Agar Biocomposites for Sustainable Interior Applications</w:t>
      </w:r>
    </w:p>
    <w:p>
      <w:pPr>
        <w:pStyle w:val="FirstParagraph"/>
      </w:pPr>
      <w:r>
        <w:rPr>
          <w:bCs/>
          <w:b/>
        </w:rPr>
        <w:t xml:space="preserve">Betül Ünal</w:t>
      </w:r>
      <w:r>
        <w:t xml:space="preserve"> </w:t>
      </w:r>
      <w:r>
        <w:t xml:space="preserve">Department of Interior Architecture, Cappadocia University, Nevşehir, Türkiye</w:t>
      </w:r>
      <w:r>
        <w:t xml:space="preserve"> </w:t>
      </w:r>
      <w:r>
        <w:t xml:space="preserve">b.unal91@gmail.com</w:t>
      </w:r>
    </w:p>
    <w:p>
      <w:r>
        <w:pict>
          <v:rect style="width:0;height:1.5pt" o:hralign="center" o:hrstd="t" o:hr="t"/>
        </w:pict>
      </w:r>
    </w:p>
    <w:bookmarkStart w:id="20" w:name="abstract"/>
    <w:p>
      <w:pPr>
        <w:pStyle w:val="Heading2"/>
      </w:pPr>
      <w:r>
        <w:t xml:space="preserve">Abstract</w:t>
      </w:r>
    </w:p>
    <w:p>
      <w:pPr>
        <w:pStyle w:val="FirstParagraph"/>
      </w:pPr>
      <w:r>
        <w:t xml:space="preserve">Eggshell waste represents a substantial waste stream, yet its valorisation in construction is dominated by use as a mineral filler in polymer or cement matrices whose binder remains petrochemical or clinker-based. This study investigates a bio-based alternative: waste eggshell powder bound in an agar–glycerol matrix.</w:t>
      </w:r>
    </w:p>
    <w:p>
      <w:pPr>
        <w:pStyle w:val="BodyText"/>
      </w:pPr>
      <w:r>
        <w:t xml:space="preserve">The principal contribution is a reproducible production protocol. Shells are heat-treated at 120 °C, milled, and sieved to 150 µm. Agar is dissolved in a water–glycerol phase at 95 °C, then held at 80 °C under continuous stirring for 55 minutes, with the mineral fraction added incrementally near the end. The mixture is cast in silicone moulds, dried four days at ambient temperature, and consolidated for seven days. This addresses a known barrier in designer-led biofabrication, where absent shared procedures prevent reproduction.</w:t>
      </w:r>
    </w:p>
    <w:p>
      <w:pPr>
        <w:pStyle w:val="BodyText"/>
      </w:pPr>
      <w:r>
        <w:t xml:space="preserve">Characterisation covers compression, three-point flexure, ignitability, and water absorption, with three specimens tested per formulation. Raising the mineral and agar fractions while reducing water increased mean compressive strength from 2.55 to 4.10 MPa. Halving the glycerol content shifted the material from unmeasurably ductile to a flexural strength of 2.33 MPa at a modulus of 192 MPa. Specimens self-extinguished four seconds after flame removal; shellac-coated specimens absorbed 0.7% of their mass over 24 hours of immersion.</w:t>
      </w:r>
    </w:p>
    <w:p>
      <w:pPr>
        <w:pStyle w:val="BodyText"/>
      </w:pPr>
      <w:r>
        <w:t xml:space="preserve">Rather than interpreting low flexural stiffness solely as a material deficiency, the findings suggest that deformation capacity may represent an important resilience-related performance attribute for biomaterials. The study therefore proposes resilience rather than strength as the governing evaluation criterion for bio-based interior surfaces.</w:t>
      </w:r>
    </w:p>
    <w:p>
      <w:pPr>
        <w:pStyle w:val="BodyText"/>
      </w:pPr>
      <w:r>
        <w:rPr>
          <w:bCs/>
          <w:b/>
        </w:rPr>
        <w:t xml:space="preserve">Keywords:</w:t>
      </w:r>
      <w:r>
        <w:t xml:space="preserve"> </w:t>
      </w:r>
      <w:r>
        <w:t xml:space="preserve">eggshell waste, biocomposite, biofabrication protocol, material resilience, circular design</w:t>
      </w:r>
    </w:p>
    <w:p>
      <w:r>
        <w:pict>
          <v:rect style="width:0;height:1.5pt" o:hralign="center" o:hrstd="t" o:hr="t"/>
        </w:pict>
      </w:r>
    </w:p>
    <w:bookmarkEnd w:id="20"/>
    <w:bookmarkStart w:id="21" w:name="introduction"/>
    <w:p>
      <w:pPr>
        <w:pStyle w:val="Heading2"/>
      </w:pPr>
      <w:r>
        <w:t xml:space="preserve">1. Introduction</w:t>
      </w:r>
    </w:p>
    <w:p>
      <w:pPr>
        <w:pStyle w:val="FirstParagraph"/>
      </w:pPr>
      <w:r>
        <w:t xml:space="preserve">Eggshell is generated continuously as a food-processing and household waste stream, and is landfilled at scale despite a composition that makes it attractive as a mineral feedstock. Shell is approximately 94% calcium carbonate, with the balance made up of organic matter, calcium phosphate and magnesium carbonate (William and Owen, 1995; Torres et al., 2010). Its layered, porous microstructure, in which calcium carbonate crystals are bound within a protein fibre matrix, gives the material a lower specific gravity than most mineral fillers while retaining mechanical stability (Shafiei et al., 2019; Bhartiya and Dubey, 2018).</w:t>
      </w:r>
    </w:p>
    <w:p>
      <w:pPr>
        <w:pStyle w:val="BodyText"/>
      </w:pPr>
      <w:r>
        <w:t xml:space="preserve">These properties have supported a broad body of valorisation research. Eggshell powder has been used to replace part of the cement fraction in concrete (Teara et al., 2019), to stabilise compressed laterite bricks (Adogla et al., 2016), to modify hot-mix asphalt binders (Razzaq and Yousif, 2017), as a lime substitute in soil stabilisation (Soundara and Vilasini, 2015), as a source of biogenic calcium carbonate in eco-ceramic wall tiles (Vilarinho et al., 2022), in wallpaper production (Tutuş et al., 2018), as a filler in flexible polyurethane foams (Victor et al., 2019), as a thermal stabiliser in poly(vinyl chloride) composites (Skórczewska et al., 2020), and as a reinforcement in ceramic–metal systems (Yönetken et al., 2016; Bilici et al., 2023). Reviews of the field confirm both the breadth of this work and the consistency of its outcomes (Owuamanam and Cree, 2020).</w:t>
      </w:r>
    </w:p>
    <w:p>
      <w:pPr>
        <w:pStyle w:val="BodyText"/>
      </w:pPr>
      <w:r>
        <w:t xml:space="preserve">What this literature shares is the position eggshell occupies within the composite. In each case the shell enters as a particulate filler suspended in a matrix that is itself petrochemical, clinker-based or ceramic. The waste stream is valorised; the binding phase is not. A composite in which both the filler and the binder are biological and biodegradable remains comparatively unexplored for construction and interior applications.</w:t>
      </w:r>
    </w:p>
    <w:p>
      <w:pPr>
        <w:pStyle w:val="BodyText"/>
      </w:pPr>
      <w:r>
        <w:t xml:space="preserve">Agar, a polysaccharide extracted from red seaweed, is a candidate binder for such a composite. It is thermoreversible, dissolving on heating and setting into a gel on cooling, which permits repeated forming without chemical crosslinking. Its mechanical behaviour in combination with glycerol has been mapped systematically for thin films intended for packaging, where composition has been related to tensile strength, stiffness and elongation across a designed formulation set (Hernández et al., 2022). That body of work, however, concerns unfilled films tested in uniaxial tension. Agar has not been characterised as the binding phase of a mineral-filled cast solid loaded in bending, which is the relevant condition for an interior surface component.</w:t>
      </w:r>
    </w:p>
    <w:p>
      <w:pPr>
        <w:pStyle w:val="BodyText"/>
      </w:pPr>
      <w:r>
        <w:t xml:space="preserve">A second obstacle is procedural rather than material. Material-driven approaches to design place the properties of a material at the origin of the design process rather than treating the material as a surface applied to a predetermined form (Karana et al., 2015). Applied to biologically derived materials, this approach depends on the designer being able to produce the material repeatably. In practice, production parameters are reported incompletely or not at all, which confines the field to iterative trial and error and prevents results obtained in different studies from being compared.</w:t>
      </w:r>
    </w:p>
    <w:p>
      <w:pPr>
        <w:pStyle w:val="BodyText"/>
      </w:pPr>
      <w:r>
        <w:t xml:space="preserve">This study addresses both points. It reports a complete production protocol for a biocomposite of waste eggshell powder bound in an agar–glycerol matrix, and characterises the resulting material under compression, three-point flexure, direct flame impingement and water immersion. The material is positioned as a non-loadbearing interior surface material; no structural application is proposed or implied.</w:t>
      </w:r>
    </w:p>
    <w:bookmarkEnd w:id="21"/>
    <w:bookmarkStart w:id="28" w:name="materials-and-methods"/>
    <w:p>
      <w:pPr>
        <w:pStyle w:val="Heading2"/>
      </w:pPr>
      <w:r>
        <w:t xml:space="preserve">2. Materials and Methods</w:t>
      </w:r>
    </w:p>
    <w:bookmarkStart w:id="22" w:name="constituents"/>
    <w:p>
      <w:pPr>
        <w:pStyle w:val="Heading3"/>
      </w:pPr>
      <w:r>
        <w:t xml:space="preserve">2.1 Constituents</w:t>
      </w:r>
    </w:p>
    <w:p>
      <w:pPr>
        <w:pStyle w:val="FirstParagraph"/>
      </w:pPr>
      <w:r>
        <w:t xml:space="preserve">The composite comprises four constituents. Waste eggshell powder forms the mineral phase and carries load. Agar forms the continuous binding phase. Glycerol acts as plasticiser and governs the position of the composite on the brittle–ductile axis. Water is the carrier; it does not form part of the finished material, but determines how densely the solids pack during drying. A shellac finish, applied to specimens prepared for water absorption testing, provides a biodegradable hydrophobic surface barrier.</w:t>
      </w:r>
    </w:p>
    <w:p>
      <w:pPr>
        <w:pStyle w:val="BodyText"/>
      </w:pPr>
      <w:r>
        <w:t xml:space="preserve">Gelatine, starch and vinegar were trialled as auxiliary constituents during development and are not part of the formulations reported here.</w:t>
      </w:r>
    </w:p>
    <w:bookmarkEnd w:id="22"/>
    <w:bookmarkStart w:id="23" w:name="preparation-of-the-mineral-fraction"/>
    <w:p>
      <w:pPr>
        <w:pStyle w:val="Heading3"/>
      </w:pPr>
      <w:r>
        <w:t xml:space="preserve">2.2 Preparation of the mineral fraction</w:t>
      </w:r>
    </w:p>
    <w:p>
      <w:pPr>
        <w:pStyle w:val="FirstParagraph"/>
      </w:pPr>
      <w:r>
        <w:t xml:space="preserve">Eggshells were collected from a single local bakery over a period exceeding one year, which both supplied the study and demonstrated that a geographically local waste stream is sufficient for production at this scale.</w:t>
      </w:r>
    </w:p>
    <w:p>
      <w:pPr>
        <w:pStyle w:val="BodyText"/>
      </w:pPr>
      <w:r>
        <w:t xml:space="preserve">Shells were cleaned of residual membrane and organic matter, then heat-treated in a laboratory oven at 120 °C for 20 minutes. This step is described here as decontamination and drying rather than sterilisation: dry-heat sterilisation requires substantially higher temperatures and longer dwell times, and sterility was not verified. After cooling to ambient temperature, shells were dried until no further mass loss was recorded.</w:t>
      </w:r>
    </w:p>
    <w:p>
      <w:pPr>
        <w:pStyle w:val="BodyText"/>
      </w:pPr>
      <w:r>
        <w:t xml:space="preserve">Dried shells were reduced to powder in a laboratory mechanical grinder, milling being continued until a visually homogeneous fine powder was obtained. The powder was sieved through a 150 µm mesh and only the passing fraction was used. This particle size was selected for consistency with eggshell powder preparation procedures reported for polymer composites (Owuamanam and Cree, 2020).</w:t>
      </w:r>
    </w:p>
    <w:bookmarkEnd w:id="23"/>
    <w:bookmarkStart w:id="24" w:name="preparation-of-the-binder-phase"/>
    <w:p>
      <w:pPr>
        <w:pStyle w:val="Heading3"/>
      </w:pPr>
      <w:r>
        <w:t xml:space="preserve">2.3 Preparation of the binder phase</w:t>
      </w:r>
    </w:p>
    <w:p>
      <w:pPr>
        <w:pStyle w:val="FirstParagraph"/>
      </w:pPr>
      <w:r>
        <w:t xml:space="preserve">Water and glycerol were combined and stirred to a homogeneous liquid before any solids were introduced. Powdered agar was then added incrementally under continuous stirring; bulk addition produces agglomerates that do not subsequently redisperse.</w:t>
      </w:r>
    </w:p>
    <w:p>
      <w:pPr>
        <w:pStyle w:val="BodyText"/>
      </w:pPr>
      <w:r>
        <w:t xml:space="preserve">The mixture was heated to 95 °C and held until the agar was fully in solution, then reduced to 80 °C, at which temperature cooking continued with stirring maintained throughout while viscosity developed. Total heating time across both stages was 55 minutes. The two-stage regime was adopted because viscosity build-up before complete dissolution produces a discontinuous gel network. Stirring was manual throughout, so shear rate and mixing energy were not controlled quantities.</w:t>
      </w:r>
    </w:p>
    <w:bookmarkEnd w:id="24"/>
    <w:bookmarkStart w:id="25" w:name="compositing-casting-and-drying"/>
    <w:p>
      <w:pPr>
        <w:pStyle w:val="Heading3"/>
      </w:pPr>
      <w:r>
        <w:t xml:space="preserve">2.4 Compositing, casting and drying</w:t>
      </w:r>
    </w:p>
    <w:p>
      <w:pPr>
        <w:pStyle w:val="FirstParagraph"/>
      </w:pPr>
      <w:r>
        <w:t xml:space="preserve">With the binder held at 80 °C and near the end of the cooking stage, the sieved shell fraction was added incrementally under continuous stirring. Earlier addition permits sedimentation of the mineral phase. Heating was stopped once the components were homogeneously distributed and a viscous, pourable mixture had been obtained.</w:t>
      </w:r>
    </w:p>
    <w:p>
      <w:pPr>
        <w:pStyle w:val="BodyText"/>
      </w:pPr>
      <w:r>
        <w:t xml:space="preserve">The mixture was poured into silicone moulds and levelled to uniform thickness. Silicone was selected for its flexibility, which permits demoulding without a parting agent and without damaging the partially consolidated specimen. Mould geometry followed the requirements of each test: 50 mm cube moulds for compression specimens and flat moulds for flexural, flame and absorption specimens.</w:t>
      </w:r>
    </w:p>
    <w:p>
      <w:pPr>
        <w:pStyle w:val="BodyText"/>
      </w:pPr>
      <w:r>
        <w:t xml:space="preserve">Specimens remained in the moulds for four days for initial setting and drying, then were demoulded and held for a further seven days under ambient conditions at approximately 23 °C, shielded from direct sunlight and forced air movement. No oven drying or other forced heating was applied at any stage after the cook. Total elapsed time from casting to a finished specimen was eleven days.</w:t>
      </w:r>
    </w:p>
    <w:p>
      <w:pPr>
        <w:pStyle w:val="BodyText"/>
      </w:pPr>
      <w:r>
        <w:t xml:space="preserve">The composite undergoes appreciable dimensional loss as the water phase evaporates. Specimen cross-sections were measured at the time of testing, but post-drying dimensions were not logged in this study. Dimensions reported below are mould dimensions unless stated otherwise.</w:t>
      </w:r>
    </w:p>
    <w:bookmarkEnd w:id="25"/>
    <w:bookmarkStart w:id="26" w:name="formulations"/>
    <w:p>
      <w:pPr>
        <w:pStyle w:val="Heading3"/>
      </w:pPr>
      <w:r>
        <w:t xml:space="preserve">2.5 Formulations</w:t>
      </w:r>
    </w:p>
    <w:p>
      <w:pPr>
        <w:pStyle w:val="FirstParagraph"/>
      </w:pPr>
      <w:r>
        <w:t xml:space="preserve">Five formulations were prepared, three for compression testing and two for flexural testing (Table 1).</w:t>
      </w:r>
    </w:p>
    <w:p>
      <w:pPr>
        <w:pStyle w:val="BodyText"/>
      </w:pPr>
      <w:r>
        <w:rPr>
          <w:bCs/>
          <w:b/>
        </w:rPr>
        <w:t xml:space="preserve">Table 1.</w:t>
      </w:r>
      <w:r>
        <w:t xml:space="preserve"> </w:t>
      </w:r>
      <w:r>
        <w:t xml:space="preserve">Formulation masses.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ID</w:t>
            </w:r>
          </w:p>
        </w:tc>
        <w:tc>
          <w:tcPr/>
          <w:p>
            <w:pPr>
              <w:pStyle w:val="Compact"/>
              <w:jc w:val="left"/>
            </w:pPr>
            <w:r>
              <w:t xml:space="preserve">Test</w:t>
            </w:r>
          </w:p>
        </w:tc>
        <w:tc>
          <w:tcPr/>
          <w:p>
            <w:pPr>
              <w:pStyle w:val="Compact"/>
              <w:jc w:val="left"/>
            </w:pPr>
            <w:r>
              <w:t xml:space="preserve">Water (g)</w:t>
            </w:r>
          </w:p>
        </w:tc>
        <w:tc>
          <w:tcPr/>
          <w:p>
            <w:pPr>
              <w:pStyle w:val="Compact"/>
              <w:jc w:val="left"/>
            </w:pPr>
            <w:r>
              <w:t xml:space="preserve">Eggshell (g)</w:t>
            </w:r>
          </w:p>
        </w:tc>
        <w:tc>
          <w:tcPr/>
          <w:p>
            <w:pPr>
              <w:pStyle w:val="Compact"/>
              <w:jc w:val="left"/>
            </w:pPr>
            <w:r>
              <w:t xml:space="preserve">Agar (g)</w:t>
            </w:r>
          </w:p>
        </w:tc>
        <w:tc>
          <w:tcPr/>
          <w:p>
            <w:pPr>
              <w:pStyle w:val="Compact"/>
              <w:jc w:val="left"/>
            </w:pPr>
            <w:r>
              <w:t xml:space="preserve">Glycerol (g)</w:t>
            </w:r>
          </w:p>
        </w:tc>
      </w:tr>
      <w:tr>
        <w:tc>
          <w:tcPr/>
          <w:p>
            <w:pPr>
              <w:pStyle w:val="Compact"/>
              <w:jc w:val="left"/>
            </w:pPr>
            <w:r>
              <w:t xml:space="preserve">C1</w:t>
            </w:r>
          </w:p>
        </w:tc>
        <w:tc>
          <w:tcPr/>
          <w:p>
            <w:pPr>
              <w:pStyle w:val="Compact"/>
              <w:jc w:val="left"/>
            </w:pPr>
            <w:r>
              <w:t xml:space="preserve">Compression</w:t>
            </w:r>
          </w:p>
        </w:tc>
        <w:tc>
          <w:tcPr/>
          <w:p>
            <w:pPr>
              <w:pStyle w:val="Compact"/>
              <w:jc w:val="left"/>
            </w:pPr>
            <w:r>
              <w:t xml:space="preserve">325</w:t>
            </w:r>
          </w:p>
        </w:tc>
        <w:tc>
          <w:tcPr/>
          <w:p>
            <w:pPr>
              <w:pStyle w:val="Compact"/>
              <w:jc w:val="left"/>
            </w:pPr>
            <w:r>
              <w:t xml:space="preserve">80</w:t>
            </w:r>
          </w:p>
        </w:tc>
        <w:tc>
          <w:tcPr/>
          <w:p>
            <w:pPr>
              <w:pStyle w:val="Compact"/>
              <w:jc w:val="left"/>
            </w:pPr>
            <w:r>
              <w:t xml:space="preserve">35</w:t>
            </w:r>
          </w:p>
        </w:tc>
        <w:tc>
          <w:tcPr/>
          <w:p>
            <w:pPr>
              <w:pStyle w:val="Compact"/>
              <w:jc w:val="left"/>
            </w:pPr>
            <w:r>
              <w:t xml:space="preserve">5</w:t>
            </w:r>
          </w:p>
        </w:tc>
      </w:tr>
      <w:tr>
        <w:tc>
          <w:tcPr/>
          <w:p>
            <w:pPr>
              <w:pStyle w:val="Compact"/>
              <w:jc w:val="left"/>
            </w:pPr>
            <w:r>
              <w:t xml:space="preserve">C2</w:t>
            </w:r>
          </w:p>
        </w:tc>
        <w:tc>
          <w:tcPr/>
          <w:p>
            <w:pPr>
              <w:pStyle w:val="Compact"/>
              <w:jc w:val="left"/>
            </w:pPr>
            <w:r>
              <w:t xml:space="preserve">Compression</w:t>
            </w:r>
          </w:p>
        </w:tc>
        <w:tc>
          <w:tcPr/>
          <w:p>
            <w:pPr>
              <w:pStyle w:val="Compact"/>
              <w:jc w:val="left"/>
            </w:pPr>
            <w:r>
              <w:t xml:space="preserve">310</w:t>
            </w:r>
          </w:p>
        </w:tc>
        <w:tc>
          <w:tcPr/>
          <w:p>
            <w:pPr>
              <w:pStyle w:val="Compact"/>
              <w:jc w:val="left"/>
            </w:pPr>
            <w:r>
              <w:t xml:space="preserve">90</w:t>
            </w:r>
          </w:p>
        </w:tc>
        <w:tc>
          <w:tcPr/>
          <w:p>
            <w:pPr>
              <w:pStyle w:val="Compact"/>
              <w:jc w:val="left"/>
            </w:pPr>
            <w:r>
              <w:t xml:space="preserve">40</w:t>
            </w:r>
          </w:p>
        </w:tc>
        <w:tc>
          <w:tcPr/>
          <w:p>
            <w:pPr>
              <w:pStyle w:val="Compact"/>
              <w:jc w:val="left"/>
            </w:pPr>
            <w:r>
              <w:t xml:space="preserve">5</w:t>
            </w:r>
          </w:p>
        </w:tc>
      </w:tr>
      <w:tr>
        <w:tc>
          <w:tcPr/>
          <w:p>
            <w:pPr>
              <w:pStyle w:val="Compact"/>
              <w:jc w:val="left"/>
            </w:pPr>
            <w:r>
              <w:t xml:space="preserve">C3</w:t>
            </w:r>
          </w:p>
        </w:tc>
        <w:tc>
          <w:tcPr/>
          <w:p>
            <w:pPr>
              <w:pStyle w:val="Compact"/>
              <w:jc w:val="left"/>
            </w:pPr>
            <w:r>
              <w:t xml:space="preserve">Compression</w:t>
            </w:r>
          </w:p>
        </w:tc>
        <w:tc>
          <w:tcPr/>
          <w:p>
            <w:pPr>
              <w:pStyle w:val="Compact"/>
              <w:jc w:val="left"/>
            </w:pPr>
            <w:r>
              <w:t xml:space="preserve">280</w:t>
            </w:r>
          </w:p>
        </w:tc>
        <w:tc>
          <w:tcPr/>
          <w:p>
            <w:pPr>
              <w:pStyle w:val="Compact"/>
              <w:jc w:val="left"/>
            </w:pPr>
            <w:r>
              <w:t xml:space="preserve">110</w:t>
            </w:r>
          </w:p>
        </w:tc>
        <w:tc>
          <w:tcPr/>
          <w:p>
            <w:pPr>
              <w:pStyle w:val="Compact"/>
              <w:jc w:val="left"/>
            </w:pPr>
            <w:r>
              <w:t xml:space="preserve">45</w:t>
            </w:r>
          </w:p>
        </w:tc>
        <w:tc>
          <w:tcPr/>
          <w:p>
            <w:pPr>
              <w:pStyle w:val="Compact"/>
              <w:jc w:val="left"/>
            </w:pPr>
            <w:r>
              <w:t xml:space="preserve">10</w:t>
            </w:r>
          </w:p>
        </w:tc>
      </w:tr>
      <w:tr>
        <w:tc>
          <w:tcPr/>
          <w:p>
            <w:pPr>
              <w:pStyle w:val="Compact"/>
              <w:jc w:val="left"/>
            </w:pPr>
            <w:r>
              <w:t xml:space="preserve">F1</w:t>
            </w:r>
          </w:p>
        </w:tc>
        <w:tc>
          <w:tcPr/>
          <w:p>
            <w:pPr>
              <w:pStyle w:val="Compact"/>
              <w:jc w:val="left"/>
            </w:pPr>
            <w:r>
              <w:t xml:space="preserve">Flexure</w:t>
            </w:r>
          </w:p>
        </w:tc>
        <w:tc>
          <w:tcPr/>
          <w:p>
            <w:pPr>
              <w:pStyle w:val="Compact"/>
              <w:jc w:val="left"/>
            </w:pPr>
            <w:r>
              <w:t xml:space="preserve">450</w:t>
            </w:r>
          </w:p>
        </w:tc>
        <w:tc>
          <w:tcPr/>
          <w:p>
            <w:pPr>
              <w:pStyle w:val="Compact"/>
              <w:jc w:val="left"/>
            </w:pPr>
            <w:r>
              <w:t xml:space="preserve">190</w:t>
            </w:r>
          </w:p>
        </w:tc>
        <w:tc>
          <w:tcPr/>
          <w:p>
            <w:pPr>
              <w:pStyle w:val="Compact"/>
              <w:jc w:val="left"/>
            </w:pPr>
            <w:r>
              <w:t xml:space="preserve">70</w:t>
            </w:r>
          </w:p>
        </w:tc>
        <w:tc>
          <w:tcPr/>
          <w:p>
            <w:pPr>
              <w:pStyle w:val="Compact"/>
              <w:jc w:val="left"/>
            </w:pPr>
            <w:r>
              <w:t xml:space="preserve">60</w:t>
            </w:r>
          </w:p>
        </w:tc>
      </w:tr>
      <w:tr>
        <w:tc>
          <w:tcPr/>
          <w:p>
            <w:pPr>
              <w:pStyle w:val="Compact"/>
              <w:jc w:val="left"/>
            </w:pPr>
            <w:r>
              <w:t xml:space="preserve">F2</w:t>
            </w:r>
          </w:p>
        </w:tc>
        <w:tc>
          <w:tcPr/>
          <w:p>
            <w:pPr>
              <w:pStyle w:val="Compact"/>
              <w:jc w:val="left"/>
            </w:pPr>
            <w:r>
              <w:t xml:space="preserve">Flexure</w:t>
            </w:r>
          </w:p>
        </w:tc>
        <w:tc>
          <w:tcPr/>
          <w:p>
            <w:pPr>
              <w:pStyle w:val="Compact"/>
              <w:jc w:val="left"/>
            </w:pPr>
            <w:r>
              <w:t xml:space="preserve">480</w:t>
            </w:r>
          </w:p>
        </w:tc>
        <w:tc>
          <w:tcPr/>
          <w:p>
            <w:pPr>
              <w:pStyle w:val="Compact"/>
              <w:jc w:val="left"/>
            </w:pPr>
            <w:r>
              <w:t xml:space="preserve">190</w:t>
            </w:r>
          </w:p>
        </w:tc>
        <w:tc>
          <w:tcPr/>
          <w:p>
            <w:pPr>
              <w:pStyle w:val="Compact"/>
              <w:jc w:val="left"/>
            </w:pPr>
            <w:r>
              <w:t xml:space="preserve">70</w:t>
            </w:r>
          </w:p>
        </w:tc>
        <w:tc>
          <w:tcPr/>
          <w:p>
            <w:pPr>
              <w:pStyle w:val="Compact"/>
              <w:jc w:val="left"/>
            </w:pPr>
            <w:r>
              <w:t xml:space="preserve">30</w:t>
            </w:r>
          </w:p>
        </w:tc>
      </w:tr>
    </w:tbl>
    <w:p>
      <w:pPr>
        <w:pStyle w:val="BodyText"/>
      </w:pPr>
      <w:r>
        <w:t xml:space="preserve">Total batch mass for the two flexural formulations was held at 770 g. Because glycerol was halved between F1 and F2, water was increased to compensate, and the solids concentration and the shell-to-binder ratio therefore also differ between the two. The effect of plasticiser content is consequently not isolated in this series.</w:t>
      </w:r>
    </w:p>
    <w:bookmarkEnd w:id="26"/>
    <w:bookmarkStart w:id="27" w:name="test-programme-and-reporting-conventions"/>
    <w:p>
      <w:pPr>
        <w:pStyle w:val="Heading3"/>
      </w:pPr>
      <w:r>
        <w:t xml:space="preserve">2.6 Test programme and reporting conventions</w:t>
      </w:r>
    </w:p>
    <w:p>
      <w:pPr>
        <w:pStyle w:val="FirstParagraph"/>
      </w:pPr>
      <w:r>
        <w:t xml:space="preserve">All testing was carried out at the Advanced Construction Materials Research Laboratory, Hacettepe University, under standardised conditions.</w:t>
      </w:r>
    </w:p>
    <w:p>
      <w:pPr>
        <w:pStyle w:val="BodyText"/>
      </w:pPr>
      <w:r>
        <w:t xml:space="preserve">Compressive behaviour was assessed on 50 mm cube specimens, recording maximum load and the corresponding compressive stress. Flexural behaviour was assessed by three-point bending in accordance with ASTM D790-17, using specimens of 180 × 60 × 20 mm positioned on a 120 mm support span. Reaction to fire was assessed by single-flame edge ignition in accordance with ISO 11925-2:2020, using 40 × 50 mm dried specimens with the flame applied at 45° for 15 s. Water absorption was assessed in accordance with ASTM D570-98(2018) on a 40 × 50 mm specimen finished with three coats of shellac.</w:t>
      </w:r>
    </w:p>
    <w:p>
      <w:pPr>
        <w:pStyle w:val="BodyText"/>
      </w:pPr>
      <w:r>
        <w:t xml:space="preserve">Three specimens were tested per formulation for both mechanical test programmes. Values reported are means. Individual specimen values were not retained, and standard deviations are therefore not reported. The fire, absorption and density determinations rest on single measurements and are presented as indicative rather than characteristic values.</w:t>
      </w:r>
    </w:p>
    <w:bookmarkEnd w:id="27"/>
    <w:bookmarkEnd w:id="28"/>
    <w:bookmarkStart w:id="34" w:name="results"/>
    <w:p>
      <w:pPr>
        <w:pStyle w:val="Heading2"/>
      </w:pPr>
      <w:r>
        <w:t xml:space="preserve">3. Results</w:t>
      </w:r>
    </w:p>
    <w:bookmarkStart w:id="29" w:name="compressive-behaviour"/>
    <w:p>
      <w:pPr>
        <w:pStyle w:val="Heading3"/>
      </w:pPr>
      <w:r>
        <w:t xml:space="preserve">3.1 Compressive behaviour</w:t>
      </w:r>
    </w:p>
    <w:p>
      <w:pPr>
        <w:pStyle w:val="FirstParagraph"/>
      </w:pPr>
      <w:r>
        <w:t xml:space="preserve">Results for the three compression formulations are given in Table 2.</w:t>
      </w:r>
    </w:p>
    <w:p>
      <w:pPr>
        <w:pStyle w:val="BodyText"/>
      </w:pPr>
      <w:r>
        <w:rPr>
          <w:bCs/>
          <w:b/>
        </w:rPr>
        <w:t xml:space="preserve">Table 2.</w:t>
      </w:r>
      <w:r>
        <w:t xml:space="preserve"> </w:t>
      </w:r>
      <w:r>
        <w:t xml:space="preserve">Compressive test results, means of three specimens per formulation.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Maximum load (kN)</w:t>
            </w:r>
          </w:p>
        </w:tc>
        <w:tc>
          <w:tcPr/>
          <w:p>
            <w:pPr>
              <w:pStyle w:val="Compact"/>
              <w:jc w:val="left"/>
            </w:pPr>
            <w:r>
              <w:t xml:space="preserve">Compressive stress (MPa)</w:t>
            </w:r>
          </w:p>
        </w:tc>
      </w:tr>
      <w:tr>
        <w:tc>
          <w:tcPr/>
          <w:p>
            <w:pPr>
              <w:pStyle w:val="Compact"/>
              <w:jc w:val="left"/>
            </w:pPr>
            <w:r>
              <w:t xml:space="preserve">C1</w:t>
            </w:r>
          </w:p>
        </w:tc>
        <w:tc>
          <w:tcPr/>
          <w:p>
            <w:pPr>
              <w:pStyle w:val="Compact"/>
              <w:jc w:val="left"/>
            </w:pPr>
            <w:r>
              <w:t xml:space="preserve">3.89</w:t>
            </w:r>
          </w:p>
        </w:tc>
        <w:tc>
          <w:tcPr/>
          <w:p>
            <w:pPr>
              <w:pStyle w:val="Compact"/>
              <w:jc w:val="left"/>
            </w:pPr>
            <w:r>
              <w:t xml:space="preserve">2.55</w:t>
            </w:r>
          </w:p>
        </w:tc>
      </w:tr>
      <w:tr>
        <w:tc>
          <w:tcPr/>
          <w:p>
            <w:pPr>
              <w:pStyle w:val="Compact"/>
              <w:jc w:val="left"/>
            </w:pPr>
            <w:r>
              <w:t xml:space="preserve">C2</w:t>
            </w:r>
          </w:p>
        </w:tc>
        <w:tc>
          <w:tcPr/>
          <w:p>
            <w:pPr>
              <w:pStyle w:val="Compact"/>
              <w:jc w:val="left"/>
            </w:pPr>
            <w:r>
              <w:t xml:space="preserve">4.30</w:t>
            </w:r>
          </w:p>
        </w:tc>
        <w:tc>
          <w:tcPr/>
          <w:p>
            <w:pPr>
              <w:pStyle w:val="Compact"/>
              <w:jc w:val="left"/>
            </w:pPr>
            <w:r>
              <w:t xml:space="preserve">3.12</w:t>
            </w:r>
          </w:p>
        </w:tc>
      </w:tr>
      <w:tr>
        <w:tc>
          <w:tcPr/>
          <w:p>
            <w:pPr>
              <w:pStyle w:val="Compact"/>
              <w:jc w:val="left"/>
            </w:pPr>
            <w:r>
              <w:t xml:space="preserve">C3</w:t>
            </w:r>
          </w:p>
        </w:tc>
        <w:tc>
          <w:tcPr/>
          <w:p>
            <w:pPr>
              <w:pStyle w:val="Compact"/>
              <w:jc w:val="left"/>
            </w:pPr>
            <w:r>
              <w:t xml:space="preserve">6.80</w:t>
            </w:r>
          </w:p>
        </w:tc>
        <w:tc>
          <w:tcPr/>
          <w:p>
            <w:pPr>
              <w:pStyle w:val="Compact"/>
              <w:jc w:val="left"/>
            </w:pPr>
            <w:r>
              <w:t xml:space="preserve">4.10</w:t>
            </w:r>
          </w:p>
        </w:tc>
      </w:tr>
    </w:tbl>
    <w:p>
      <w:pPr>
        <w:pStyle w:val="BodyText"/>
      </w:pPr>
      <w:r>
        <w:t xml:space="preserve">Mean compressive stress increased from 2.55 MPa to 4.10 MPa across the series, with maximum load rising from 3.89 kN to 6.80 kN. The formulation change associated with this increase was a reduction in water content accompanied by increases in the eggshell and agar fractions. Stress values were computed from cross-sections measured after drying; because those dimensions were not logged, the stress values cannot be recalculated from the mould dimensions reported in Table 1.</w:t>
      </w:r>
    </w:p>
    <w:p>
      <w:pPr>
        <w:pStyle w:val="BodyText"/>
      </w:pPr>
      <w:r>
        <w:t xml:space="preserve">The stress–strain response showed an initial linear elastic region extending to approximately 1 MPa, followed by progressive loss of stiffness. Peak stress was reached at roughly 10% strain without an abrupt drop in load. Beyond peak, specimens continued to deform while retaining physical integrity rather than fracturing, and the loaded cubes exhibited barrelling and a reduction in height while remaining intact as single bodies. Strain values were derived from an assumed 10% maximum deformation based on observation during testing and were not obtained by instrumented strain measurement.</w:t>
      </w:r>
    </w:p>
    <w:bookmarkEnd w:id="29"/>
    <w:bookmarkStart w:id="30" w:name="flexural-behaviour"/>
    <w:p>
      <w:pPr>
        <w:pStyle w:val="Heading3"/>
      </w:pPr>
      <w:r>
        <w:t xml:space="preserve">3.2 Flexural behaviour</w:t>
      </w:r>
    </w:p>
    <w:p>
      <w:pPr>
        <w:pStyle w:val="FirstParagraph"/>
      </w:pPr>
      <w:r>
        <w:t xml:space="preserve">Of the two flexural formulations, F1, containing 60 g glycerol, deformed under load without developing measurable resistance. The specimen exhibited high ductility and low rigidity and could be shaped by hand; the testing apparatus produced no usable strength value.</w:t>
      </w:r>
    </w:p>
    <w:p>
      <w:pPr>
        <w:pStyle w:val="BodyText"/>
      </w:pPr>
      <w:r>
        <w:t xml:space="preserve">F2, in which glycerol was reduced to 30 g, yielded a more rigid specimen that retained a degree of flexibility and could be evaluated. Maximum load was 310 N. Flexural strength was calculated according to ASTM D790-17 as</w:t>
      </w:r>
    </w:p>
    <w:p>
      <w:pPr>
        <w:pStyle w:val="BodyText"/>
      </w:pPr>
      <w:r>
        <w:t xml:space="preserve">σ_f = 3FL / 2bd²</w:t>
      </w:r>
    </w:p>
    <w:p>
      <w:pPr>
        <w:pStyle w:val="BodyText"/>
      </w:pPr>
      <w:r>
        <w:t xml:space="preserve">with F = 310 N, L = 120 mm, b = 60 mm and d = 20 mm, giving σ_f = 2.325 MPa. The apparatus recorded a flexural modulus of 192 MPa from the linear region of the load–deformation curve. Strain in the elastic region was obtained from the linear relationship between stress and modulus (Ashby, 2011), giving ε ≈ 0.012.</w:t>
      </w:r>
    </w:p>
    <w:p>
      <w:pPr>
        <w:pStyle w:val="BodyText"/>
      </w:pPr>
      <w:r>
        <w:t xml:space="preserve">The flexural specimens carry transverse kerfs on the tension face. ASTM D790-17 assumes a solid rectangular cross-section, and the calculation above uses the full 60 × 20 mm section. A portion of the measured compliance is therefore geometric rather than material in origin, and the reported modulus should be treated as a lower bound on the bulk material.</w:t>
      </w:r>
    </w:p>
    <w:bookmarkEnd w:id="30"/>
    <w:bookmarkStart w:id="31" w:name="reaction-to-fire"/>
    <w:p>
      <w:pPr>
        <w:pStyle w:val="Heading3"/>
      </w:pPr>
      <w:r>
        <w:t xml:space="preserve">3.3 Reaction to fire</w:t>
      </w:r>
    </w:p>
    <w:p>
      <w:pPr>
        <w:pStyle w:val="FirstParagraph"/>
      </w:pPr>
      <w:r>
        <w:t xml:space="preserve">Under direct flame impingement, ignition occurred at approximately 10 s. On removal of the flame source, specimens self-extinguished within 4 s. Charring was confined to the region of flame contact, and no lateral flame spread was observed in either of two ignitions, at the upper and lower corners respectively. Smoke and a characteristic combustion odour were observed; no melting or dripping occurred, indicating the absence of thermoplastic behaviour. Physical integrity was retained outside the charred zone.</w:t>
      </w:r>
    </w:p>
    <w:p>
      <w:pPr>
        <w:pStyle w:val="BodyText"/>
      </w:pPr>
      <w:r>
        <w:t xml:space="preserve">The calcium carbonate fraction is the probable contributor to this behaviour, carbonates decomposing endothermically with release of carbon dioxide which dilutes the flame front locally (Hirschler, 2013). This mechanism was not verified calorimetrically in the present work. ISO 11925-2:2020 is an ignitability test; no reaction-to-fire classification was determined, and no cone calorimetry, smoke density or toxicity data were obtained.</w:t>
      </w:r>
    </w:p>
    <w:bookmarkEnd w:id="31"/>
    <w:bookmarkStart w:id="32" w:name="water-absorption"/>
    <w:p>
      <w:pPr>
        <w:pStyle w:val="Heading3"/>
      </w:pPr>
      <w:r>
        <w:t xml:space="preserve">3.4 Water absorption</w:t>
      </w:r>
    </w:p>
    <w:p>
      <w:pPr>
        <w:pStyle w:val="FirstParagraph"/>
      </w:pPr>
      <w:r>
        <w:t xml:space="preserve">The shellac-coated specimen gained approximately 0.7% in mass over 24 hours of full immersion. Slight dimensional expansion was observed, consistent with water penetrating inter-fibre voids. The specimen retained its structural integrity, but local dissolution and surface loss occurred at points where the coating was thin or incomplete. Coating integrity rather than the composite itself therefore governs performance in humid conditions.</w:t>
      </w:r>
    </w:p>
    <w:bookmarkEnd w:id="32"/>
    <w:bookmarkStart w:id="33" w:name="bulk-density"/>
    <w:p>
      <w:pPr>
        <w:pStyle w:val="Heading3"/>
      </w:pPr>
      <w:r>
        <w:t xml:space="preserve">3.5 Bulk density</w:t>
      </w:r>
    </w:p>
    <w:p>
      <w:pPr>
        <w:pStyle w:val="FirstParagraph"/>
      </w:pPr>
      <w:r>
        <w:t xml:space="preserve">The C3 specimen had a mass of 173 g, giving a bulk density of approximately 1.38 g/cm³ on a mould-volume basis. Because the dried specimen occupies less volume than the mould, this value is a lower bound. For context, mycelium and cellulose-based composites are generally reported in the range 0.3–0.8 g/cm³ (Jones et al., 2020), while fired clay brick and normal-weight concrete fall at 1.6–2.0 and 2.4 g/cm³ respectively (William and Owen, 1995). The composite is therefore denser than the fungal and cellulosic bio-material family and lighter than conventional mineral construction materials.</w:t>
      </w:r>
    </w:p>
    <w:bookmarkEnd w:id="33"/>
    <w:bookmarkEnd w:id="34"/>
    <w:bookmarkStart w:id="35" w:name="discussion"/>
    <w:p>
      <w:pPr>
        <w:pStyle w:val="Heading2"/>
      </w:pPr>
      <w:r>
        <w:t xml:space="preserve">4. Discussion</w:t>
      </w:r>
    </w:p>
    <w:p>
      <w:pPr>
        <w:pStyle w:val="FirstParagraph"/>
      </w:pPr>
      <w:r>
        <w:t xml:space="preserve">The results establish that a fully bio-based composite of waste eggshell and agar can be produced repeatably at ambient temperature and can be characterised against established test standards. Within the range examined, compressive performance responded to the water content of the mixture: reducing water while increasing the mineral and agar fractions raised both maximum load and compressive stress. Since water is fully removed during drying, this is consistent with the packing density of the solids governing compressive behaviour, although the three formulations tested here are not sufficient to establish that relationship quantitatively.</w:t>
      </w:r>
    </w:p>
    <w:p>
      <w:pPr>
        <w:pStyle w:val="BodyText"/>
      </w:pPr>
      <w:r>
        <w:t xml:space="preserve">Flexural behaviour was dominated by plasticiser content. The transition between an unmeasurably compliant material and one that develops measurable flexural resistance occurred between the two glycerol levels tested. Because the formulation change was not isolated, the magnitude of this effect cannot be attributed to glycerol alone, but its direction is consistent with the behaviour reported for agar films, in which plasticiser addition raises elongation and reduces tensile strength (Hernández et al., 2022).</w:t>
      </w:r>
    </w:p>
    <w:p>
      <w:pPr>
        <w:pStyle w:val="BodyText"/>
      </w:pPr>
      <w:r>
        <w:t xml:space="preserve">Across both mechanical test programmes the specimens behaved in the same qualitative manner: they deformed substantially and retained integrity rather than fracturing. This behaviour is not captured by strength values, which record the load at which a material ceases to perform but not whether failure is gradual or abrupt. For a non-loadbearing, demountable interior component, the manner of failure is arguably more consequential for service life than the load at which it begins. On that basis, deformation capacity may represent a resilience-related performance attribute for materials of this class, and strength alone may be an incomplete evaluation criterion. Developing that proposition into a quantified evaluation framework is the subject of further work and is beyond the scope of the present characterisation.</w:t>
      </w:r>
    </w:p>
    <w:p>
      <w:pPr>
        <w:pStyle w:val="BodyText"/>
      </w:pPr>
      <w:r>
        <w:t xml:space="preserve">The fire and hygric results delimit the application envelope. Self-extinguishing behaviour without melting or dripping is favourable for interior surfaces away from ignition sources, though it does not substitute for a reaction-to-fire classification. Water performance is governed by the surface coating, which restricts application to dry interior environments rather than wet rooms or external envelopes.</w:t>
      </w:r>
    </w:p>
    <w:bookmarkEnd w:id="35"/>
    <w:bookmarkStart w:id="36" w:name="limitations"/>
    <w:p>
      <w:pPr>
        <w:pStyle w:val="Heading2"/>
      </w:pPr>
      <w:r>
        <w:t xml:space="preserve">5. Limitations</w:t>
      </w:r>
    </w:p>
    <w:p>
      <w:pPr>
        <w:pStyle w:val="FirstParagraph"/>
      </w:pPr>
      <w:r>
        <w:t xml:space="preserve">The following limitations qualify the results reported above.</w:t>
      </w:r>
    </w:p>
    <w:p>
      <w:pPr>
        <w:pStyle w:val="BodyText"/>
      </w:pPr>
      <w:r>
        <w:t xml:space="preserve">Dispersion is not reported. Mechanical values are means of three specimens per formulation, but individual specimen values were not retained, so standard deviations and coefficients of variation cannot be given.</w:t>
      </w:r>
    </w:p>
    <w:p>
      <w:pPr>
        <w:pStyle w:val="BodyText"/>
      </w:pPr>
      <w:r>
        <w:t xml:space="preserve">The flexural series carries a formulation confound. Glycerol content, solids concentration and the shell-to-binder ratio changed together between F1 and F2, so the plasticiser effect is not isolated.</w:t>
      </w:r>
    </w:p>
    <w:p>
      <w:pPr>
        <w:pStyle w:val="BodyText"/>
      </w:pPr>
      <w:r>
        <w:t xml:space="preserve">Section geometry is not accounted for in the flexural calculation. The ASTM D790-17 formula assumes a solid rectangular section, whereas the specimens are kerfed on the tension face. The reported modulus is a lower bound.</w:t>
      </w:r>
    </w:p>
    <w:p>
      <w:pPr>
        <w:pStyle w:val="BodyText"/>
      </w:pPr>
      <w:r>
        <w:t xml:space="preserve">Compressive strain was not instrumented. Strain values derive from an assumed 10% maximum deformation based on observation during testing.</w:t>
      </w:r>
    </w:p>
    <w:p>
      <w:pPr>
        <w:pStyle w:val="BodyText"/>
      </w:pPr>
      <w:r>
        <w:t xml:space="preserve">Shrinkage was not quantified. Post-drying dimensions were not logged, so density is reported on a mould-volume basis and is a lower bound.</w:t>
      </w:r>
    </w:p>
    <w:p>
      <w:pPr>
        <w:pStyle w:val="BodyText"/>
      </w:pPr>
      <w:r>
        <w:t xml:space="preserve">The process is not instrumented. Manual stirring leaves shear rate and mixing energy uncontrolled, and all specimens were produced by a single operator in a single laboratory, without inter-laboratory reproduction.</w:t>
      </w:r>
    </w:p>
    <w:p>
      <w:pPr>
        <w:pStyle w:val="BodyText"/>
      </w:pPr>
      <w:r>
        <w:t xml:space="preserve">No durability data were obtained. Humidity cycling, thermal cycling, ultraviolet exposure, microbial resistance and accelerated ageing were not assessed.</w:t>
      </w:r>
    </w:p>
    <w:p>
      <w:pPr>
        <w:pStyle w:val="BodyText"/>
      </w:pPr>
      <w:r>
        <w:t xml:space="preserve">No fire classification or life-cycle assessment was performed. Ignitability was determined, but no Euroclass classification, and no quantified environmental assessment supports the sustainability argument.</w:t>
      </w:r>
    </w:p>
    <w:p>
      <w:pPr>
        <w:pStyle w:val="BodyText"/>
      </w:pPr>
      <w:r>
        <w:t xml:space="preserve">Each of these limitations defines a specific experiment rather than a general caveat, and together they form the programme for subsequent work.</w:t>
      </w:r>
    </w:p>
    <w:bookmarkEnd w:id="36"/>
    <w:bookmarkStart w:id="37" w:name="conclusions"/>
    <w:p>
      <w:pPr>
        <w:pStyle w:val="Heading2"/>
      </w:pPr>
      <w:r>
        <w:t xml:space="preserve">6. Conclusions</w:t>
      </w:r>
    </w:p>
    <w:p>
      <w:pPr>
        <w:pStyle w:val="FirstParagraph"/>
      </w:pPr>
      <w:r>
        <w:t xml:space="preserve">A production protocol for a fully bio-based composite of waste eggshell powder in an agar–glycerol matrix has been reported in sufficient detail for reproduction, comprising heat treatment of the shell fraction at 120 °C, milling and sieving to 150 µm, dissolution of agar in a water–glycerol phase at 95 °C followed by a controlled cook at 80 °C for a combined 55 minutes, incremental addition of the mineral fraction, casting in silicone moulds, and eleven days of ambient drying and consolidation without forced heating.</w:t>
      </w:r>
    </w:p>
    <w:p>
      <w:pPr>
        <w:pStyle w:val="BodyText"/>
      </w:pPr>
      <w:r>
        <w:t xml:space="preserve">Mean compressive stress rose from 2.55 to 4.10 MPa as water content was reduced and the mineral and agar fractions increased. Flexural strength of 2.33 MPa at a modulus of 192 MPa was obtained at the lower of two plasticiser levels, the higher level yielding a material too compliant to measure. Specimens self-extinguished within 4 s of flame removal with no melting or dripping, and shellac-coated specimens absorbed 0.7% of their mass over 24 hours of immersion. Bulk density was approximately 1.38 g/cm³.</w:t>
      </w:r>
    </w:p>
    <w:p>
      <w:pPr>
        <w:pStyle w:val="BodyText"/>
      </w:pPr>
      <w:r>
        <w:t xml:space="preserve">Across both mechanical programmes the material deformed substantially while retaining integrity. This suggests that deformation capacity warrants consideration alongside strength when evaluating bio-based materials intended for non-loadbearing interior surfaces, and that strength and stiffness should be reported together to permit such evaluation.</w:t>
      </w:r>
    </w:p>
    <w:p>
      <w:pPr>
        <w:pStyle w:val="BodyText"/>
      </w:pPr>
      <w:r>
        <w:t xml:space="preserve">The material is positioned for non-loadbearing interior surfaces, modular and demountable components, and temporary constructions in dry interior environments. The limitations set out above, particularly the absence of dispersion data and durability testing, define the work required before any application can be specified.</w:t>
      </w:r>
    </w:p>
    <w:bookmarkEnd w:id="37"/>
    <w:bookmarkStart w:id="38" w:name="acknowledgements"/>
    <w:p>
      <w:pPr>
        <w:pStyle w:val="Heading2"/>
      </w:pPr>
      <w:r>
        <w:t xml:space="preserve">Acknowledgements</w:t>
      </w:r>
    </w:p>
    <w:p>
      <w:pPr>
        <w:pStyle w:val="FirstParagraph"/>
      </w:pPr>
      <w:r>
        <w:t xml:space="preserve">Testing was carried out at the Advanced Construction Materials Research Laboratory, Hacettepe University, with the assistance of Dr Hüseyin İlcan. The author thanks Filika Pasta Evi, Çayyolu, for supplying eggshell material over the course of the study.</w:t>
      </w:r>
    </w:p>
    <w:bookmarkEnd w:id="38"/>
    <w:bookmarkStart w:id="39" w:name="declaration"/>
    <w:p>
      <w:pPr>
        <w:pStyle w:val="Heading2"/>
      </w:pPr>
      <w:r>
        <w:t xml:space="preserve">Declaration</w:t>
      </w:r>
    </w:p>
    <w:p>
      <w:pPr>
        <w:pStyle w:val="FirstParagraph"/>
      </w:pPr>
      <w:r>
        <w:t xml:space="preserve">This paper is derived from the author’s doctoral dissertation,</w:t>
      </w:r>
      <w:r>
        <w:t xml:space="preserve"> </w:t>
      </w:r>
      <w:r>
        <w:rPr>
          <w:iCs/>
          <w:i/>
        </w:rPr>
        <w:t xml:space="preserve">From the Production of Biology-Based Materials to Spatial Resilience Analysis: An Experimental Design-Based Approach</w:t>
      </w:r>
      <w:r>
        <w:t xml:space="preserve">, Hacettepe University, Institute of Fine Arts, Department of Interior Architecture and Environmental Design, 2025.</w:t>
      </w:r>
    </w:p>
    <w:bookmarkEnd w:id="39"/>
    <w:bookmarkStart w:id="40" w:name="references"/>
    <w:p>
      <w:pPr>
        <w:pStyle w:val="Heading2"/>
      </w:pPr>
      <w:r>
        <w:t xml:space="preserve">References</w:t>
      </w:r>
    </w:p>
    <w:p>
      <w:pPr>
        <w:pStyle w:val="FirstParagraph"/>
      </w:pPr>
      <w:r>
        <w:t xml:space="preserve">Adogla, F., Yalley, P.P.K. and Arkoh, M. (2016)</w:t>
      </w:r>
      <w:r>
        <w:t xml:space="preserve"> </w:t>
      </w:r>
      <w:r>
        <w:t xml:space="preserve">‘</w:t>
      </w:r>
      <w:r>
        <w:t xml:space="preserve">Improving compressed laterite bricks using powdered eggshells</w:t>
      </w:r>
      <w:r>
        <w:t xml:space="preserve">’</w:t>
      </w:r>
      <w:r>
        <w:t xml:space="preserve">,</w:t>
      </w:r>
      <w:r>
        <w:t xml:space="preserve"> </w:t>
      </w:r>
      <w:r>
        <w:rPr>
          <w:iCs/>
          <w:i/>
        </w:rPr>
        <w:t xml:space="preserve">The International Journal of Engineering and Science</w:t>
      </w:r>
      <w:r>
        <w:t xml:space="preserve">, 5(4), pp. 65–70.</w:t>
      </w:r>
    </w:p>
    <w:p>
      <w:pPr>
        <w:pStyle w:val="BodyText"/>
      </w:pPr>
      <w:r>
        <w:t xml:space="preserve">Ashby, M.F. (2011)</w:t>
      </w:r>
      <w:r>
        <w:t xml:space="preserve"> </w:t>
      </w:r>
      <w:r>
        <w:rPr>
          <w:iCs/>
          <w:i/>
        </w:rPr>
        <w:t xml:space="preserve">Materials selection in mechanical design</w:t>
      </w:r>
      <w:r>
        <w:t xml:space="preserve">. 4th edn. Oxford: Butterworth-Heinemann.</w:t>
      </w:r>
    </w:p>
    <w:p>
      <w:pPr>
        <w:pStyle w:val="BodyText"/>
      </w:pPr>
      <w:r>
        <w:t xml:space="preserve">ASTM International (2017)</w:t>
      </w:r>
      <w:r>
        <w:t xml:space="preserve"> </w:t>
      </w:r>
      <w:r>
        <w:rPr>
          <w:iCs/>
          <w:i/>
        </w:rPr>
        <w:t xml:space="preserve">ASTM D790-17: Standard test methods for flexural properties of unreinforced and reinforced plastics and electrical insulating materials</w:t>
      </w:r>
      <w:r>
        <w:t xml:space="preserve">. West Conshohocken, PA: ASTM International.</w:t>
      </w:r>
    </w:p>
    <w:p>
      <w:pPr>
        <w:pStyle w:val="BodyText"/>
      </w:pPr>
      <w:r>
        <w:t xml:space="preserve">ASTM International (2018)</w:t>
      </w:r>
      <w:r>
        <w:t xml:space="preserve"> </w:t>
      </w:r>
      <w:r>
        <w:rPr>
          <w:iCs/>
          <w:i/>
        </w:rPr>
        <w:t xml:space="preserve">ASTM D570-98: Standard test method for water absorption of plastics</w:t>
      </w:r>
      <w:r>
        <w:t xml:space="preserve">. West Conshohocken, PA: ASTM International.</w:t>
      </w:r>
    </w:p>
    <w:p>
      <w:pPr>
        <w:pStyle w:val="BodyText"/>
      </w:pPr>
      <w:r>
        <w:t xml:space="preserve">Bhartiya, A. and Dubey, M. (2018)</w:t>
      </w:r>
      <w:r>
        <w:t xml:space="preserve"> </w:t>
      </w:r>
      <w:r>
        <w:t xml:space="preserve">‘</w:t>
      </w:r>
      <w:r>
        <w:t xml:space="preserve">Replacement of cement with coconut shell ash and egg shell powder for preparation of fresh concrete</w:t>
      </w:r>
      <w:r>
        <w:t xml:space="preserve">’</w:t>
      </w:r>
      <w:r>
        <w:t xml:space="preserve">,</w:t>
      </w:r>
      <w:r>
        <w:t xml:space="preserve"> </w:t>
      </w:r>
      <w:r>
        <w:rPr>
          <w:iCs/>
          <w:i/>
        </w:rPr>
        <w:t xml:space="preserve">International Research Journal of Engineering and Technology</w:t>
      </w:r>
      <w:r>
        <w:t xml:space="preserve">, 5(6).</w:t>
      </w:r>
    </w:p>
    <w:p>
      <w:pPr>
        <w:pStyle w:val="BodyText"/>
      </w:pPr>
      <w:r>
        <w:t xml:space="preserve">Bilici, V.O., Peşmen, G., Yönetken, A. and Erol, A. (2023)</w:t>
      </w:r>
      <w:r>
        <w:t xml:space="preserve"> </w:t>
      </w:r>
      <w:r>
        <w:t xml:space="preserve">‘</w:t>
      </w:r>
      <w:r>
        <w:t xml:space="preserve">Effect of variation of egg-shell particulate reinforcement on ultrasonic pulse velocity, attenuation, and hardness prediction in ceramic-metal composites</w:t>
      </w:r>
      <w:r>
        <w:t xml:space="preserve">’</w:t>
      </w:r>
      <w:r>
        <w:t xml:space="preserve">,</w:t>
      </w:r>
      <w:r>
        <w:t xml:space="preserve"> </w:t>
      </w:r>
      <w:r>
        <w:rPr>
          <w:iCs/>
          <w:i/>
        </w:rPr>
        <w:t xml:space="preserve">Thermal Science</w:t>
      </w:r>
      <w:r>
        <w:t xml:space="preserve">, 27(4B), pp. 3179–3188. doi: 10.2298/TSCI2304179B.</w:t>
      </w:r>
    </w:p>
    <w:p>
      <w:pPr>
        <w:pStyle w:val="BodyText"/>
      </w:pPr>
      <w:r>
        <w:t xml:space="preserve">Hernández, V., Ibarra, D., Triana, J.F., Martínez-Soto, B., Faúndez, M., Vasco, D.A., Gordillo, L., Herrera, F., García-Herrera, C. and Garmulewicz, A. (2022)</w:t>
      </w:r>
      <w:r>
        <w:t xml:space="preserve"> </w:t>
      </w:r>
      <w:r>
        <w:t xml:space="preserve">‘</w:t>
      </w:r>
      <w:r>
        <w:t xml:space="preserve">Agar biopolymer films for biodegradable packaging: a reference dataset for exploring the limits of mechanical performance</w:t>
      </w:r>
      <w:r>
        <w:t xml:space="preserve">’</w:t>
      </w:r>
      <w:r>
        <w:t xml:space="preserve">,</w:t>
      </w:r>
      <w:r>
        <w:t xml:space="preserve"> </w:t>
      </w:r>
      <w:r>
        <w:rPr>
          <w:iCs/>
          <w:i/>
        </w:rPr>
        <w:t xml:space="preserve">Materials</w:t>
      </w:r>
      <w:r>
        <w:t xml:space="preserve">, 15(11), 3954. doi: 10.3390/ma15113954.</w:t>
      </w:r>
    </w:p>
    <w:p>
      <w:pPr>
        <w:pStyle w:val="BodyText"/>
      </w:pPr>
      <w:r>
        <w:t xml:space="preserve">Hirschler, M.M. (2013)</w:t>
      </w:r>
      <w:r>
        <w:t xml:space="preserve"> </w:t>
      </w:r>
      <w:r>
        <w:t xml:space="preserve">‘</w:t>
      </w:r>
      <w:r>
        <w:t xml:space="preserve">Flammability and fire testing</w:t>
      </w:r>
      <w:r>
        <w:t xml:space="preserve">’</w:t>
      </w:r>
      <w:r>
        <w:t xml:space="preserve">, in Kutz, M. (ed.)</w:t>
      </w:r>
      <w:r>
        <w:t xml:space="preserve"> </w:t>
      </w:r>
      <w:r>
        <w:rPr>
          <w:iCs/>
          <w:i/>
        </w:rPr>
        <w:t xml:space="preserve">Handbook of environmental degradation of materials</w:t>
      </w:r>
      <w:r>
        <w:t xml:space="preserve">. Oxford: William Andrew Publishing, pp. 197–230.</w:t>
      </w:r>
    </w:p>
    <w:p>
      <w:pPr>
        <w:pStyle w:val="BodyText"/>
      </w:pPr>
      <w:r>
        <w:t xml:space="preserve">International Organization for Standardization (2020)</w:t>
      </w:r>
      <w:r>
        <w:t xml:space="preserve"> </w:t>
      </w:r>
      <w:r>
        <w:rPr>
          <w:iCs/>
          <w:i/>
        </w:rPr>
        <w:t xml:space="preserve">ISO 11925-2: Reaction to fire tests — Ignitability of products subjected to direct impingement of flame — Part 2: Single-flame source test</w:t>
      </w:r>
      <w:r>
        <w:t xml:space="preserve">. Geneva: ISO.</w:t>
      </w:r>
    </w:p>
    <w:p>
      <w:pPr>
        <w:pStyle w:val="BodyText"/>
      </w:pPr>
      <w:r>
        <w:t xml:space="preserve">Jones, M., Mautner, A., Luenco, S., Bismarck, A. and John, S. (2020)</w:t>
      </w:r>
      <w:r>
        <w:t xml:space="preserve"> </w:t>
      </w:r>
      <w:r>
        <w:t xml:space="preserve">‘</w:t>
      </w:r>
      <w:r>
        <w:t xml:space="preserve">Engineered mycelium composite construction materials: fabrication and characterization</w:t>
      </w:r>
      <w:r>
        <w:t xml:space="preserve">’</w:t>
      </w:r>
      <w:r>
        <w:t xml:space="preserve">,</w:t>
      </w:r>
      <w:r>
        <w:t xml:space="preserve"> </w:t>
      </w:r>
      <w:r>
        <w:rPr>
          <w:iCs/>
          <w:i/>
        </w:rPr>
        <w:t xml:space="preserve">Journal of Bionanoscience</w:t>
      </w:r>
      <w:r>
        <w:t xml:space="preserve">, 14(1), pp. 1–10.</w:t>
      </w:r>
    </w:p>
    <w:p>
      <w:pPr>
        <w:pStyle w:val="BodyText"/>
      </w:pPr>
      <w:r>
        <w:t xml:space="preserve">Karana, E., Barati, B., Rognoli, V. and Zeeuw van der Laan, A. (2015)</w:t>
      </w:r>
      <w:r>
        <w:t xml:space="preserve"> </w:t>
      </w:r>
      <w:r>
        <w:t xml:space="preserve">‘</w:t>
      </w:r>
      <w:r>
        <w:t xml:space="preserve">Material driven design (MDD): a method to design for material experiences</w:t>
      </w:r>
      <w:r>
        <w:t xml:space="preserve">’</w:t>
      </w:r>
      <w:r>
        <w:t xml:space="preserve">,</w:t>
      </w:r>
      <w:r>
        <w:t xml:space="preserve"> </w:t>
      </w:r>
      <w:r>
        <w:rPr>
          <w:iCs/>
          <w:i/>
        </w:rPr>
        <w:t xml:space="preserve">International Journal of Design</w:t>
      </w:r>
      <w:r>
        <w:t xml:space="preserve">, 9(2), pp. 35–54.</w:t>
      </w:r>
    </w:p>
    <w:p>
      <w:pPr>
        <w:pStyle w:val="BodyText"/>
      </w:pPr>
      <w:r>
        <w:t xml:space="preserve">Owuamanam, S. and Cree, D. (2020)</w:t>
      </w:r>
      <w:r>
        <w:t xml:space="preserve"> </w:t>
      </w:r>
      <w:r>
        <w:t xml:space="preserve">‘</w:t>
      </w:r>
      <w:r>
        <w:t xml:space="preserve">Progress of bio-calcium carbonate waste eggshell and seashell fillers in polymer composites: a review</w:t>
      </w:r>
      <w:r>
        <w:t xml:space="preserve">’</w:t>
      </w:r>
      <w:r>
        <w:t xml:space="preserve">,</w:t>
      </w:r>
      <w:r>
        <w:t xml:space="preserve"> </w:t>
      </w:r>
      <w:r>
        <w:rPr>
          <w:iCs/>
          <w:i/>
        </w:rPr>
        <w:t xml:space="preserve">Journal of Composites Science</w:t>
      </w:r>
      <w:r>
        <w:t xml:space="preserve">, 4(2), 70.</w:t>
      </w:r>
    </w:p>
    <w:p>
      <w:pPr>
        <w:pStyle w:val="BodyText"/>
      </w:pPr>
      <w:r>
        <w:t xml:space="preserve">Razzaq, A.K. and Yousif, R.A. (2017)</w:t>
      </w:r>
      <w:r>
        <w:t xml:space="preserve"> </w:t>
      </w:r>
      <w:r>
        <w:t xml:space="preserve">‘</w:t>
      </w:r>
      <w:r>
        <w:t xml:space="preserve">Sustainability of HMA by using of egg shell powder</w:t>
      </w:r>
      <w:r>
        <w:t xml:space="preserve">’</w:t>
      </w:r>
      <w:r>
        <w:t xml:space="preserve">,</w:t>
      </w:r>
      <w:r>
        <w:t xml:space="preserve"> </w:t>
      </w:r>
      <w:r>
        <w:rPr>
          <w:iCs/>
          <w:i/>
        </w:rPr>
        <w:t xml:space="preserve">International Conference on Sustainable Futures</w:t>
      </w:r>
      <w:r>
        <w:t xml:space="preserve">, Kingdom of Bahrain.</w:t>
      </w:r>
    </w:p>
    <w:p>
      <w:pPr>
        <w:pStyle w:val="BodyText"/>
      </w:pPr>
      <w:r>
        <w:t xml:space="preserve">Shafiei, S., Omidi, M., Nasehi, F., Golzar, H., Mohammadrezaei, D., Rezai Rad, M. and Khojasteh, A. (2019)</w:t>
      </w:r>
      <w:r>
        <w:t xml:space="preserve"> </w:t>
      </w:r>
      <w:r>
        <w:t xml:space="preserve">‘</w:t>
      </w:r>
      <w:r>
        <w:t xml:space="preserve">Egg shell-derived calcium phosphate/carbon dot nanofibrous scaffolds for bone tissue engineering: fabrication and characterization</w:t>
      </w:r>
      <w:r>
        <w:t xml:space="preserve">’</w:t>
      </w:r>
      <w:r>
        <w:t xml:space="preserve">,</w:t>
      </w:r>
      <w:r>
        <w:t xml:space="preserve"> </w:t>
      </w:r>
      <w:r>
        <w:rPr>
          <w:iCs/>
          <w:i/>
        </w:rPr>
        <w:t xml:space="preserve">Materials Science and Engineering: C</w:t>
      </w:r>
      <w:r>
        <w:t xml:space="preserve">, 100, pp. 564–575. doi: 10.1016/j.msec.2019.03.003.</w:t>
      </w:r>
    </w:p>
    <w:p>
      <w:pPr>
        <w:pStyle w:val="BodyText"/>
      </w:pPr>
      <w:r>
        <w:t xml:space="preserve">Skórczewska, K., Kwiatkowski, W. and Kwiatkowski, M. (2020)</w:t>
      </w:r>
      <w:r>
        <w:t xml:space="preserve"> </w:t>
      </w:r>
      <w:r>
        <w:t xml:space="preserve">‘</w:t>
      </w:r>
      <w:r>
        <w:t xml:space="preserve">Poly(vinyl chloride) composites with waste eggshell as a natural filler: improved thermal stability</w:t>
      </w:r>
      <w:r>
        <w:t xml:space="preserve">’</w:t>
      </w:r>
      <w:r>
        <w:t xml:space="preserve">,</w:t>
      </w:r>
      <w:r>
        <w:t xml:space="preserve"> </w:t>
      </w:r>
      <w:r>
        <w:rPr>
          <w:iCs/>
          <w:i/>
        </w:rPr>
        <w:t xml:space="preserve">Polymer Composites</w:t>
      </w:r>
      <w:r>
        <w:t xml:space="preserve">, 41(9), pp. 3580–3589.</w:t>
      </w:r>
    </w:p>
    <w:p>
      <w:pPr>
        <w:pStyle w:val="BodyText"/>
      </w:pPr>
      <w:r>
        <w:t xml:space="preserve">Soundara, B. and Vilasini, P.P. (2015)</w:t>
      </w:r>
      <w:r>
        <w:t xml:space="preserve"> </w:t>
      </w:r>
      <w:r>
        <w:t xml:space="preserve">‘</w:t>
      </w:r>
      <w:r>
        <w:t xml:space="preserve">Effect of egg shell powder on the properties of clay</w:t>
      </w:r>
      <w:r>
        <w:t xml:space="preserve">’</w:t>
      </w:r>
      <w:r>
        <w:t xml:space="preserve">,</w:t>
      </w:r>
      <w:r>
        <w:t xml:space="preserve"> </w:t>
      </w:r>
      <w:r>
        <w:rPr>
          <w:iCs/>
          <w:i/>
        </w:rPr>
        <w:t xml:space="preserve">50th Indian Geotechnical Conference</w:t>
      </w:r>
      <w:r>
        <w:t xml:space="preserve">, Pune, India, 17–19 December.</w:t>
      </w:r>
    </w:p>
    <w:p>
      <w:pPr>
        <w:pStyle w:val="BodyText"/>
      </w:pPr>
      <w:r>
        <w:t xml:space="preserve">Teara, A., Doh, I., Chin, S.C., Ding, Y.C., Wong, J. and Jiang, X.X. (2019)</w:t>
      </w:r>
      <w:r>
        <w:t xml:space="preserve"> </w:t>
      </w:r>
      <w:r>
        <w:t xml:space="preserve">‘</w:t>
      </w:r>
      <w:r>
        <w:t xml:space="preserve">Investigation on the durability of use fly ash and eggshells powder to replace the cement in concrete productions</w:t>
      </w:r>
      <w:r>
        <w:t xml:space="preserve">’</w:t>
      </w:r>
      <w:r>
        <w:t xml:space="preserve">,</w:t>
      </w:r>
      <w:r>
        <w:t xml:space="preserve"> </w:t>
      </w:r>
      <w:r>
        <w:rPr>
          <w:iCs/>
          <w:i/>
        </w:rPr>
        <w:t xml:space="preserve">IOP Conference Series: Earth and Environmental Science</w:t>
      </w:r>
      <w:r>
        <w:t xml:space="preserve">, 244, 012025. doi: 10.1088/1755-1315/244/1/012025.</w:t>
      </w:r>
    </w:p>
    <w:p>
      <w:pPr>
        <w:pStyle w:val="BodyText"/>
      </w:pPr>
      <w:r>
        <w:t xml:space="preserve">Torres, F.G., Troncoso, O.P., Piaggio, F. and Hijar, A. (2010)</w:t>
      </w:r>
      <w:r>
        <w:t xml:space="preserve"> </w:t>
      </w:r>
      <w:r>
        <w:t xml:space="preserve">‘</w:t>
      </w:r>
      <w:r>
        <w:t xml:space="preserve">Structure–property relationships of a biopolymer network: the eggshell membrane</w:t>
      </w:r>
      <w:r>
        <w:t xml:space="preserve">’</w:t>
      </w:r>
      <w:r>
        <w:t xml:space="preserve">,</w:t>
      </w:r>
      <w:r>
        <w:t xml:space="preserve"> </w:t>
      </w:r>
      <w:r>
        <w:rPr>
          <w:iCs/>
          <w:i/>
        </w:rPr>
        <w:t xml:space="preserve">Acta Biomaterialia</w:t>
      </w:r>
      <w:r>
        <w:t xml:space="preserve">, 6(9), pp. 3687–3693.</w:t>
      </w:r>
    </w:p>
    <w:p>
      <w:pPr>
        <w:pStyle w:val="BodyText"/>
      </w:pPr>
      <w:r>
        <w:t xml:space="preserve">Tutuş, A., Özdemir, A., Bozkurt, F., Erkan, S., Birbilen, Y. and Çiçekler, M. (2018)</w:t>
      </w:r>
      <w:r>
        <w:t xml:space="preserve"> </w:t>
      </w:r>
      <w:r>
        <w:t xml:space="preserve">‘</w:t>
      </w:r>
      <w:r>
        <w:t xml:space="preserve">Evaluation of egg shells in wallpaper production</w:t>
      </w:r>
      <w:r>
        <w:t xml:space="preserve">’</w:t>
      </w:r>
      <w:r>
        <w:t xml:space="preserve">,</w:t>
      </w:r>
      <w:r>
        <w:t xml:space="preserve"> </w:t>
      </w:r>
      <w:r>
        <w:rPr>
          <w:iCs/>
          <w:i/>
        </w:rPr>
        <w:t xml:space="preserve">1st International Technological Sciences and Design Symposium</w:t>
      </w:r>
      <w:r>
        <w:t xml:space="preserve">, Giresun, Türkiye, 27–29 June.</w:t>
      </w:r>
    </w:p>
    <w:p>
      <w:pPr>
        <w:pStyle w:val="BodyText"/>
      </w:pPr>
      <w:r>
        <w:t xml:space="preserve">Victor, E.I., Louis, I.C., Alfred, N.O. and Ozioma, U.N. (2019)</w:t>
      </w:r>
      <w:r>
        <w:t xml:space="preserve"> </w:t>
      </w:r>
      <w:r>
        <w:t xml:space="preserve">‘</w:t>
      </w:r>
      <w:r>
        <w:t xml:space="preserve">Use of chicken eggshells as fillers in flexible polyurethane foam production</w:t>
      </w:r>
      <w:r>
        <w:t xml:space="preserve">’</w:t>
      </w:r>
      <w:r>
        <w:t xml:space="preserve">,</w:t>
      </w:r>
      <w:r>
        <w:t xml:space="preserve"> </w:t>
      </w:r>
      <w:r>
        <w:rPr>
          <w:iCs/>
          <w:i/>
        </w:rPr>
        <w:t xml:space="preserve">International Journal of Industrial Engineering</w:t>
      </w:r>
      <w:r>
        <w:t xml:space="preserve">, 3(1), pp. 1–6.</w:t>
      </w:r>
    </w:p>
    <w:p>
      <w:pPr>
        <w:pStyle w:val="BodyText"/>
      </w:pPr>
      <w:r>
        <w:t xml:space="preserve">Vilarinho, I.S., Filippi, E. and Seabra, M.P. (2022)</w:t>
      </w:r>
      <w:r>
        <w:t xml:space="preserve"> </w:t>
      </w:r>
      <w:r>
        <w:t xml:space="preserve">‘</w:t>
      </w:r>
      <w:r>
        <w:t xml:space="preserve">Development of eco-ceramic wall tiles with bioCaCO₃ from eggshells waste</w:t>
      </w:r>
      <w:r>
        <w:t xml:space="preserve">’</w:t>
      </w:r>
      <w:r>
        <w:t xml:space="preserve">,</w:t>
      </w:r>
      <w:r>
        <w:t xml:space="preserve"> </w:t>
      </w:r>
      <w:r>
        <w:rPr>
          <w:iCs/>
          <w:i/>
        </w:rPr>
        <w:t xml:space="preserve">Open Ceramics</w:t>
      </w:r>
      <w:r>
        <w:t xml:space="preserve">, 9, 100220. doi: 10.1016/j.oceram.2022.100220.</w:t>
      </w:r>
    </w:p>
    <w:p>
      <w:pPr>
        <w:pStyle w:val="BodyText"/>
      </w:pPr>
      <w:r>
        <w:t xml:space="preserve">William, J.S. and Owen, J.C. (1995)</w:t>
      </w:r>
      <w:r>
        <w:t xml:space="preserve"> </w:t>
      </w:r>
      <w:r>
        <w:rPr>
          <w:iCs/>
          <w:i/>
        </w:rPr>
        <w:t xml:space="preserve">Egg science and technology</w:t>
      </w:r>
      <w:r>
        <w:t xml:space="preserve">. 4th edn. Boca Raton, FL: CRC Press.</w:t>
      </w:r>
    </w:p>
    <w:p>
      <w:pPr>
        <w:pStyle w:val="BodyText"/>
      </w:pPr>
      <w:r>
        <w:t xml:space="preserve">Yönetken, A., Erol, A., Yakar, A. and Peşmen, G. (2016)</w:t>
      </w:r>
      <w:r>
        <w:t xml:space="preserve"> </w:t>
      </w:r>
      <w:r>
        <w:t xml:space="preserve">‘</w:t>
      </w:r>
      <w:r>
        <w:t xml:space="preserve">Investigation of ceramic-metal composites produced by electroless Ni plating of AlN-Astaloy Cr-M</w:t>
      </w:r>
      <w:r>
        <w:t xml:space="preserve">’</w:t>
      </w:r>
      <w:r>
        <w:t xml:space="preserve">,</w:t>
      </w:r>
      <w:r>
        <w:t xml:space="preserve"> </w:t>
      </w:r>
      <w:r>
        <w:rPr>
          <w:iCs/>
          <w:i/>
        </w:rPr>
        <w:t xml:space="preserve">International Journal of Chemical, Molecular, Nuclear, Materials and Metallurgical Engineering</w:t>
      </w:r>
      <w:r>
        <w:t xml:space="preserve">, 10(3).</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2026-10-21T20:43:24Z</dcterms:created>
  <dcterms:modified xsi:type="dcterms:W3CDTF">2026-10-21T20:43:24Z</dcterms:modified>
</cp:coreProperties>
</file>

<file path=docProps/custom.xml><?xml version="1.0" encoding="utf-8"?>
<Properties xmlns="http://schemas.openxmlformats.org/officeDocument/2006/custom-properties" xmlns:vt="http://schemas.openxmlformats.org/officeDocument/2006/docPropsVTypes"/>
</file>