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EXTENDED ENGLISH SUMMARY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**Selection of bio-based building envelope materials under the equivalent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thermal performance assumption: how the framing determines the result**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Purpose.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Comparative studies of bio-based insulation materials commonly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adopt an equivalent thermal performance framing, in which every material is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applied at the thickness required to meet a common thermal transmittance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target, and implicitly assume that the resulting ranking varies with climate.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This study does not aim to identify a best material; it tests that framing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itself within the six degree-day zones introduced by TS 825:2024, which became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mandatory in Türkiye on 1 April 2025 and, for the first time, incorporates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cooling demand.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Method.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Fourteen bio-based and four conventional alternatives were compared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using a functional unit of one square metre of external wall meeting the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recommended transmittance of the relevant zone. Criteria comprised thermal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conductivity, unit mass, areal heat capacity, life-cycle carbon, reaction to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fire, end-of-life scenario, moisture sensitivity and loss of wall thickness.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Weights were derived by Shannon entropy, CRITIC and equal weighting; rankings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by TOPSIS with VIKOR as a consistency check. Environmental data were taken from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verified product declarations, and climate data from an open European service.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The calculation basis was validated against a published minimum insulation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thickness table at eight data points, with exact agreement. Missing values were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not set to zero; criteria exceeding fifty per cent missingness were excluded and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reported.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Result 1 — the framing cannot produce a climate-zone effect.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The required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insulation thickness equals the thermal conductivity multiplied by a factor that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depends only on the zone. Every criterion derived from thickness therefore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carries a common, material-independent factor, which cancels exactly in any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normalisation insensitive to column-wise scaling. With rounding disabled, the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inter-zone rank correlation is 1.000000 for three weighting methods and two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ranking methods, and the maximum difference between entropy weights across zones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is zero. All observed deviation stems from rounding thickness to the nearest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centimetre. A zone effect emerges only when structures that break this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proportionality are introduced: a buildability constraint eliminates four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bio-based alternatives in the coldest zones, and climate-dependent weighting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reduces the correlation from 0.998 to 0.567.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Result 2 — the weighting method is directional.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Entropy assigns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approximately one third of the total weight to a single ordinal criterion,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reaction to fire, on which mineral-based products separate sharply from the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rest; it therefore places mineral wools first. CRITIC and equal weighting place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the same bio-based alternatives at the top. The finding persists on the subset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backed by verified product declarations. Agreement between TOPSIS and VIKOR is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0.350–0.509, indicating that the ranking method also shapes the outcome.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Result 3 — the system boundary changes the winner.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Product declaration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modules show that the biogenic carbon taken up by bio-based materials in the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production stage is released again at end of life; for six materials, uptake and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release cancel to within 0.04 kgCO₂e/kg. Truncating the account at the factory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gate makes bio-based materials appear carbon-negative and places them first;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including end-of-life modules moves glass wool to first place in every zone. The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effect strengthens when two records with inconsistent data versions are removed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and holds under all three weighting methods. Defining the realised release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fraction as a sensitivity parameter shows that a bio-based material remains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first until more than half of the stored carbon is released.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Conclusion.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The three results converge: a material ranking is interpretable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only when the framing that produced it — functional unit, weighting method,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ranking method and system boundary — is fully declared. These four are as much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part of the result as the result itself. The rankings reported here are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indicative, constrained by data quality; the structural findings are independent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of it.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Graphical abstract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Figure.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(a) The inter-zone thickness ratio is identical for all eighteen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alternatives, so the framing yields no climate-zone effect. (b) Entropy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concentrates roughly one third of the weight on a single criterion, whereas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CRITIC and equal weighting distribute it. (c) The end-of-life release fraction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at which the bio-based advantage disappears, by climate zone.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(Insert: `sekiller/Grafik-ozet.png` — 13,8 × 5,8 cm, 300 dpi)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038725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84a05e68c4a58fc3eeb910fb59e593a86c888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2026-09-06T06:05:25.377Z</dcterms:created>
  <dcterms:modified xsi:type="dcterms:W3CDTF">2026-09-06T06:05:25.377Z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