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BE8" w:rsidRDefault="00EB2BF6" w:rsidP="001524E0">
      <w:pPr>
        <w:pStyle w:val="MakaleBal"/>
      </w:pPr>
      <w:r>
        <w:t>BEYOND PERMANENCE: REFRAMING TEMPORALITY AS A DESIGN VALUE THROUGH BIODESIGN</w:t>
      </w:r>
    </w:p>
    <w:p w:rsidR="00EC2F99" w:rsidRDefault="00EC2F99" w:rsidP="00EC2F99"/>
    <w:p w:rsidR="00EC2F99" w:rsidRPr="00C2767F" w:rsidRDefault="00EC2F99" w:rsidP="001F0281">
      <w:pPr>
        <w:jc w:val="center"/>
      </w:pPr>
      <w:r w:rsidRPr="001F0281">
        <w:rPr>
          <w:rStyle w:val="YazarAdChar"/>
        </w:rPr>
        <w:t>Adı SOYADI</w:t>
      </w:r>
      <w:r w:rsidRPr="001F0281">
        <w:rPr>
          <w:vertAlign w:val="superscript"/>
        </w:rPr>
        <w:t>1</w:t>
      </w:r>
      <w:r w:rsidR="006F7841">
        <w:rPr>
          <w:vertAlign w:val="superscript"/>
        </w:rPr>
        <w:t>*</w:t>
      </w:r>
      <w:r w:rsidRPr="00EC2F99">
        <w:t xml:space="preserve">, </w:t>
      </w:r>
      <w:r w:rsidR="00426FD5">
        <w:t xml:space="preserve"> </w:t>
      </w:r>
      <w:r w:rsidRPr="001F0281">
        <w:rPr>
          <w:rStyle w:val="YazarAdChar"/>
        </w:rPr>
        <w:t>Adı SOYADI</w:t>
      </w:r>
      <w:r w:rsidRPr="001F0281">
        <w:rPr>
          <w:vertAlign w:val="superscript"/>
        </w:rPr>
        <w:t>2</w:t>
      </w:r>
      <w:r w:rsidR="00C2767F">
        <w:t xml:space="preserve"> (</w:t>
      </w:r>
      <w:r w:rsidR="00C2767F" w:rsidRPr="00C2767F">
        <w:rPr>
          <w:i/>
        </w:rPr>
        <w:t>Dergi editörlüğü tarafından basım aşamasında yazılacaktır.</w:t>
      </w:r>
      <w:r w:rsidR="00C2767F">
        <w:t>)</w:t>
      </w:r>
    </w:p>
    <w:p w:rsidR="00EC2F99" w:rsidRDefault="00EC2F99" w:rsidP="00EC2F99"/>
    <w:p w:rsidR="00EC2F99" w:rsidRDefault="00EC2F99" w:rsidP="00EC2F99">
      <w:pPr>
        <w:jc w:val="center"/>
      </w:pPr>
      <w:r w:rsidRPr="001F0281">
        <w:rPr>
          <w:vertAlign w:val="superscript"/>
        </w:rPr>
        <w:t>1</w:t>
      </w:r>
      <w:r>
        <w:t xml:space="preserve"> Yazar</w:t>
      </w:r>
      <w:r w:rsidR="00426FD5">
        <w:t xml:space="preserve"> 1 </w:t>
      </w:r>
      <w:r>
        <w:t xml:space="preserve">Adresi, ORCID No :  </w:t>
      </w:r>
      <w:hyperlink r:id="rId8" w:history="1">
        <w:r w:rsidR="00F20599" w:rsidRPr="00683483">
          <w:rPr>
            <w:rStyle w:val="Kpr"/>
          </w:rPr>
          <w:t>https://orcid.org/</w:t>
        </w:r>
      </w:hyperlink>
    </w:p>
    <w:p w:rsidR="00EC2F99" w:rsidRDefault="00EC2F99" w:rsidP="00EC2F99">
      <w:pPr>
        <w:jc w:val="center"/>
      </w:pPr>
      <w:r w:rsidRPr="001F0281">
        <w:rPr>
          <w:vertAlign w:val="superscript"/>
        </w:rPr>
        <w:t>2</w:t>
      </w:r>
      <w:r>
        <w:t xml:space="preserve"> Yazar</w:t>
      </w:r>
      <w:r w:rsidR="00426FD5">
        <w:t xml:space="preserve"> 2 </w:t>
      </w:r>
      <w:r>
        <w:t xml:space="preserve">Adresi, ORCID No :  </w:t>
      </w:r>
      <w:hyperlink r:id="rId9" w:history="1">
        <w:r w:rsidR="00F20599" w:rsidRPr="00683483">
          <w:rPr>
            <w:rStyle w:val="Kpr"/>
          </w:rPr>
          <w:t>https://orcid.org/</w:t>
        </w:r>
      </w:hyperlink>
    </w:p>
    <w:p w:rsidR="00EC2F99" w:rsidRDefault="00EC2F99" w:rsidP="00EC2F99"/>
    <w:tbl>
      <w:tblPr>
        <w:tblStyle w:val="TabloKlavuzu"/>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7505"/>
      </w:tblGrid>
      <w:tr w:rsidR="00AD1CFF" w:rsidRPr="00AD1CFF" w:rsidTr="008508D9">
        <w:tc>
          <w:tcPr>
            <w:tcW w:w="2689" w:type="dxa"/>
            <w:tcBorders>
              <w:top w:val="single" w:sz="4" w:space="0" w:color="auto"/>
              <w:bottom w:val="single" w:sz="4" w:space="0" w:color="auto"/>
            </w:tcBorders>
          </w:tcPr>
          <w:p w:rsidR="00AD1CFF" w:rsidRPr="00AD1CFF" w:rsidRDefault="00AD1CFF" w:rsidP="008508D9">
            <w:pPr>
              <w:jc w:val="both"/>
              <w:rPr>
                <w:szCs w:val="20"/>
                <w:lang w:eastAsia="tr-TR"/>
              </w:rPr>
            </w:pPr>
            <w:r>
              <w:rPr>
                <w:b/>
              </w:rPr>
              <w:t>Keywords</w:t>
            </w:r>
          </w:p>
        </w:tc>
        <w:tc>
          <w:tcPr>
            <w:tcW w:w="7505" w:type="dxa"/>
            <w:tcBorders>
              <w:top w:val="single" w:sz="4" w:space="0" w:color="auto"/>
              <w:bottom w:val="single" w:sz="4" w:space="0" w:color="auto"/>
            </w:tcBorders>
          </w:tcPr>
          <w:p w:rsidR="00AD1CFF" w:rsidRPr="00AD1CFF" w:rsidRDefault="00AD1CFF" w:rsidP="008508D9">
            <w:pPr>
              <w:jc w:val="both"/>
              <w:rPr>
                <w:szCs w:val="20"/>
                <w:lang w:eastAsia="tr-TR"/>
              </w:rPr>
            </w:pPr>
            <w:r>
              <w:rPr>
                <w:b/>
              </w:rPr>
              <w:t>Abstract</w:t>
            </w:r>
          </w:p>
        </w:tc>
      </w:tr>
      <w:tr w:rsidR="00AD1CFF" w:rsidRPr="00AD1CFF" w:rsidTr="003177E3">
        <w:tc>
          <w:tcPr>
            <w:tcW w:w="2689" w:type="dxa"/>
            <w:tcBorders>
              <w:top w:val="single" w:sz="4" w:space="0" w:color="auto"/>
            </w:tcBorders>
          </w:tcPr>
          <w:p w:rsidR="00AD1CFF" w:rsidRPr="00AD1CFF" w:rsidRDefault="00AD1CFF" w:rsidP="00AD1CFF">
            <w:pPr>
              <w:pStyle w:val="zet"/>
              <w:ind w:right="145"/>
              <w:jc w:val="both"/>
              <w:rPr>
                <w:rFonts w:eastAsia="Times New Roman"/>
                <w:b/>
                <w:szCs w:val="20"/>
                <w:lang w:eastAsia="tr-TR"/>
              </w:rPr>
            </w:pPr>
            <w:r>
              <w:rPr>
                <w:b w:val="0"/>
              </w:rPr>
              <w:t>Biodesign</w:t>
            </w:r>
          </w:p>
          <w:p>
            <w:pPr>
              <w:pStyle w:val="zet"/>
            </w:pPr>
            <w:r>
              <w:rPr>
                <w:b w:val="0"/>
              </w:rPr>
              <w:t>Temporality</w:t>
            </w:r>
          </w:p>
          <w:p>
            <w:pPr>
              <w:pStyle w:val="zet"/>
            </w:pPr>
            <w:r>
              <w:rPr>
                <w:b w:val="0"/>
              </w:rPr>
              <w:t>Permanence</w:t>
            </w:r>
          </w:p>
          <w:p>
            <w:pPr>
              <w:pStyle w:val="zet"/>
            </w:pPr>
            <w:r>
              <w:rPr>
                <w:b w:val="0"/>
              </w:rPr>
              <w:t>Material agency</w:t>
            </w:r>
          </w:p>
          <w:p>
            <w:pPr>
              <w:pStyle w:val="zet"/>
            </w:pPr>
            <w:r>
              <w:rPr>
                <w:b w:val="0"/>
              </w:rPr>
              <w:t>Design theory</w:t>
            </w:r>
          </w:p>
        </w:tc>
        <w:tc>
          <w:tcPr>
            <w:tcW w:w="7505" w:type="dxa"/>
            <w:tcBorders>
              <w:top w:val="single" w:sz="4" w:space="0" w:color="auto"/>
            </w:tcBorders>
            <w:vAlign w:val="center"/>
          </w:tcPr>
          <w:p w:rsidR="00AD1CFF" w:rsidRPr="0021557F" w:rsidRDefault="00AD1CFF" w:rsidP="0021557F">
            <w:pPr>
              <w:pStyle w:val="zet"/>
              <w:jc w:val="both"/>
              <w:rPr>
                <w:rStyle w:val="HafifVurgulama"/>
              </w:rPr>
            </w:pPr>
            <w:proofErr w:type="spellStart"/>
            <w:proofErr w:type="spellEnd"/>
            <w:r>
              <w:rPr>
                <w:b w:val="0"/>
              </w:rPr>
              <w:t>Design theory has long treated permanence, meaning durability, stability and resistance to change, as a proxy for design quality. The orientation is entangled with modernity's ambition to render environments predictable and governable, and was institutionalised through industrial standardisation and preservation-oriented maintenance. Contemporary ecological conditions expose its limits: materials engineered to resist degradation often outlive their usefulness and persist as ecological burdens, while ecological value depends on how matter circulates rather than on how long one form endures. This article asks how biodesign, the practice in which living organisms participate in material formation, destabilises the permanence paradigm, and how temporality might be reconstructed as a legitimate design value. The study is conceptual, developed through an integrative review following a theory synthesis design that brings together design history and sustainable design theory, temporal design research, biodesign and living-materials research, and process-philosophical and new materialist theory. Three findings follow. Permanence is a historically and culturally situated value rather than a neutral technical criterion. Existing temporal design scholarship has theorised time predominantly as an experiential and social condition, leaving the material register underdeveloped; biodesign supplies that register, because growth, adaptation, senescence and decomposition are constitutive of the material rather than external to it. Impermanence can therefore be reframed not as material failure but as an ontological condition of becoming, with permanence understood as a costly stabilisation. The article proposes paired value orientations and six analytical dimensions for specifying temporal intent, and states the boundary conditions under which permanence remains the correct value.</w:t>
            </w:r>
          </w:p>
        </w:tc>
      </w:tr>
    </w:tbl>
    <w:p w:rsidR="00AD1CFF" w:rsidRDefault="00AD1CFF" w:rsidP="00EC2F99"/>
    <w:p w:rsidR="00AD1CFF" w:rsidRPr="00EC2F99" w:rsidRDefault="00AD1CFF" w:rsidP="003177E3"/>
    <w:p w:rsidR="00547F3F" w:rsidRPr="005F1F42" w:rsidRDefault="00547F3F" w:rsidP="001524E0">
      <w:pPr>
        <w:pStyle w:val="MakaleBal"/>
        <w:rPr>
          <w:lang w:val="en-US"/>
        </w:rPr>
      </w:pPr>
      <w:r>
        <w:t>KALICILIĞIN ÖTESİNDE: BİYOTASARIM YOLUYLA BİR TASARIM DEĞERİ OLARAK ZAMANSALLIK</w:t>
      </w:r>
    </w:p>
    <w:tbl>
      <w:tblPr>
        <w:tblStyle w:val="TabloKlavuzu"/>
        <w:tblW w:w="0" w:type="auto"/>
        <w:tblInd w:w="-5" w:type="dxa"/>
        <w:tblLook w:val="04A0" w:firstRow="1" w:lastRow="0" w:firstColumn="1" w:lastColumn="0" w:noHBand="0" w:noVBand="1"/>
      </w:tblPr>
      <w:tblGrid>
        <w:gridCol w:w="2548"/>
        <w:gridCol w:w="141"/>
        <w:gridCol w:w="2703"/>
        <w:gridCol w:w="2410"/>
        <w:gridCol w:w="2392"/>
      </w:tblGrid>
      <w:tr w:rsidR="00547F3F" w:rsidRPr="00547F3F" w:rsidTr="008508D9">
        <w:tc>
          <w:tcPr>
            <w:tcW w:w="2689" w:type="dxa"/>
            <w:gridSpan w:val="2"/>
            <w:tcBorders>
              <w:top w:val="single" w:sz="4" w:space="0" w:color="auto"/>
              <w:left w:val="nil"/>
              <w:bottom w:val="single" w:sz="4" w:space="0" w:color="auto"/>
              <w:right w:val="nil"/>
            </w:tcBorders>
          </w:tcPr>
          <w:p w:rsidR="00547F3F" w:rsidRPr="00F63973" w:rsidRDefault="00547F3F" w:rsidP="008508D9">
            <w:pPr>
              <w:jc w:val="both"/>
              <w:rPr>
                <w:b/>
                <w:szCs w:val="20"/>
                <w:lang w:val="en-US"/>
              </w:rPr>
            </w:pPr>
            <w:r>
              <w:rPr>
                <w:b/>
              </w:rPr>
              <w:t>Anahtar Kelimeler</w:t>
            </w:r>
          </w:p>
        </w:tc>
        <w:tc>
          <w:tcPr>
            <w:tcW w:w="7505" w:type="dxa"/>
            <w:gridSpan w:val="3"/>
            <w:tcBorders>
              <w:top w:val="single" w:sz="4" w:space="0" w:color="auto"/>
              <w:left w:val="nil"/>
              <w:bottom w:val="single" w:sz="4" w:space="0" w:color="auto"/>
              <w:right w:val="nil"/>
            </w:tcBorders>
          </w:tcPr>
          <w:p w:rsidR="00547F3F" w:rsidRPr="00F63973" w:rsidRDefault="00547F3F" w:rsidP="008508D9">
            <w:pPr>
              <w:jc w:val="both"/>
              <w:rPr>
                <w:b/>
                <w:szCs w:val="20"/>
                <w:lang w:val="en-US"/>
              </w:rPr>
            </w:pPr>
            <w:r>
              <w:rPr>
                <w:b/>
              </w:rPr>
              <w:t>Öz</w:t>
            </w:r>
          </w:p>
        </w:tc>
      </w:tr>
      <w:tr w:rsidR="00547F3F" w:rsidTr="008508D9">
        <w:tc>
          <w:tcPr>
            <w:tcW w:w="2689" w:type="dxa"/>
            <w:gridSpan w:val="2"/>
            <w:tcBorders>
              <w:top w:val="single" w:sz="4" w:space="0" w:color="auto"/>
              <w:left w:val="nil"/>
              <w:bottom w:val="single" w:sz="4" w:space="0" w:color="auto"/>
              <w:right w:val="nil"/>
            </w:tcBorders>
          </w:tcPr>
          <w:p w:rsidR="00547F3F" w:rsidRPr="0018467B" w:rsidRDefault="00547F3F" w:rsidP="005F1F42">
            <w:pPr>
              <w:pStyle w:val="zet"/>
              <w:rPr>
                <w:lang w:val="en-US"/>
              </w:rPr>
            </w:pPr>
            <w:r>
              <w:rPr>
                <w:b w:val="0"/>
              </w:rPr>
              <w:t>Biyotasarım</w:t>
            </w:r>
          </w:p>
          <w:p>
            <w:pPr>
              <w:pStyle w:val="zet"/>
            </w:pPr>
            <w:r>
              <w:rPr>
                <w:b w:val="0"/>
              </w:rPr>
              <w:t>Zamansallık</w:t>
            </w:r>
          </w:p>
          <w:p>
            <w:pPr>
              <w:pStyle w:val="zet"/>
            </w:pPr>
            <w:r>
              <w:rPr>
                <w:b w:val="0"/>
              </w:rPr>
              <w:t>Kalıcılık</w:t>
            </w:r>
          </w:p>
          <w:p>
            <w:pPr>
              <w:pStyle w:val="zet"/>
            </w:pPr>
            <w:r>
              <w:rPr>
                <w:b w:val="0"/>
              </w:rPr>
              <w:t>Maddi faillik</w:t>
            </w:r>
          </w:p>
          <w:p>
            <w:pPr>
              <w:pStyle w:val="zet"/>
            </w:pPr>
            <w:r>
              <w:rPr>
                <w:b w:val="0"/>
              </w:rPr>
              <w:t>Tasarım kuramı</w:t>
            </w:r>
          </w:p>
        </w:tc>
        <w:tc>
          <w:tcPr>
            <w:tcW w:w="7505" w:type="dxa"/>
            <w:gridSpan w:val="3"/>
            <w:tcBorders>
              <w:top w:val="single" w:sz="4" w:space="0" w:color="auto"/>
              <w:left w:val="nil"/>
              <w:bottom w:val="single" w:sz="4" w:space="0" w:color="auto"/>
              <w:right w:val="nil"/>
            </w:tcBorders>
          </w:tcPr>
          <w:p w:rsidR="00547F3F" w:rsidRPr="0021557F" w:rsidRDefault="00F63973" w:rsidP="0021557F">
            <w:pPr>
              <w:pStyle w:val="zet"/>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rPr>
              <w:t>Tasarım kuramı uzun süredir kalıcılığı, yani dayanıklılığı, kararlılığı ve maddenin değişime direncini, tasarım niteliğinin ölçütü saymıştır. Bu yönelim, modernitenin maddi ve toplumsal çevreyi öngörülebilir ve yönetilebilir kılma savıyla iç içedir ve endüstriyel standartlaşma ile koruma odaklı bakım pratikleri aracılığıyla kurumsallaşmıştır. Güncel ekolojik koşullar bu denklemin sınırlarını açığa çıkarmaktadır: bozunmaya direnecek biçimde tasarlanan malzemeler çoğu kez işlevsel ömürlerini aşarak ekolojik yük hâline gelmekte, ekolojik değer ise tek bir biçimin ne kadar sürdüğünden çok maddenin nasıl dolaştığına bağlı olmaktadır. Bu çalışma, canlı organizmaların malzeme oluşumuna katıldığı bir pratik olan biyotasarımın kalıcılık paradigmasını nasıl sarstığını ve zamansallığın meşru bir tasarım değeri olarak nasıl yeniden kurulabileceğini sormaktadır. Çalışma kavramsal niteliktedir; kuram sentezi tasarımıyla yürütülen bütünleştirici bir alanyazın taramasına dayanmakta, tasarım tarihi ve sürdürülebilir tasarım kuramı, zamansallık odaklı tasarım araştırmaları, biyotasarım ve canlı malzeme araştırmaları ile süreç felsefesi ve yeni maddeci kuramı bir araya getirmektedir. Üç bulguya ulaşılmaktadır. Kalıcılık, yansız bir teknik ölçüt değil, tarihsel ve kültürel olarak konumlanmış bir değerdir. Mevcut zamansallık yazını zamanı ağırlıkla deneyimsel ve toplumsal bir koşul olarak kuramsallaştırmış, maddi kayıt görece gelişmemiş kalmıştır; biyotasarım büyüme, uyarlanma, yaşlanma ve ayrışmayı malzemenin kurucu nitelikleri hâline getirdiği için tam da bu kaydı sağlamaktadır. Geçicilik böylece maddi başarısızlık değil, bir oluş koşulu olarak okunabilir; kalıcılık ise bedeli olan bir sabitlenme olarak yeniden tanımlanır. Çalışma, eşleştirilmiş değer yönelimleri ile zamansal niyetin belirlenmesini sağlayan altı çözümleyici boyut önermekte ve kalıcılığın doğru değer olmayı sürdürdüğü sınır koşullarını açıkça belirtmektedir.</w:t>
            </w:r>
          </w:p>
        </w:tc>
      </w:tr>
      <w:tr w:rsidR="00547F3F" w:rsidRPr="00F63973" w:rsidTr="008508D9">
        <w:tblPrEx>
          <w:tblBorders>
            <w:left w:val="none" w:sz="0" w:space="0" w:color="auto"/>
            <w:right w:val="none" w:sz="0" w:space="0" w:color="auto"/>
            <w:insideH w:val="none" w:sz="0" w:space="0" w:color="auto"/>
            <w:insideV w:val="none" w:sz="0" w:space="0" w:color="auto"/>
          </w:tblBorders>
        </w:tblPrEx>
        <w:tc>
          <w:tcPr>
            <w:tcW w:w="2548" w:type="dxa"/>
            <w:tcBorders>
              <w:top w:val="single" w:sz="4" w:space="0" w:color="auto"/>
            </w:tcBorders>
          </w:tcPr>
          <w:p w:rsidR="00547F3F" w:rsidRPr="00F63973" w:rsidRDefault="00547F3F" w:rsidP="00F63973">
            <w:r w:rsidRPr="00F63973">
              <w:t xml:space="preserve">Araştırma Makalesi </w:t>
            </w:r>
          </w:p>
        </w:tc>
        <w:tc>
          <w:tcPr>
            <w:tcW w:w="2844" w:type="dxa"/>
            <w:gridSpan w:val="2"/>
            <w:tcBorders>
              <w:top w:val="single" w:sz="4" w:space="0" w:color="auto"/>
            </w:tcBorders>
          </w:tcPr>
          <w:p w:rsidR="00547F3F" w:rsidRPr="00F63973" w:rsidRDefault="00547F3F" w:rsidP="00F63973"/>
        </w:tc>
        <w:tc>
          <w:tcPr>
            <w:tcW w:w="2410" w:type="dxa"/>
            <w:tcBorders>
              <w:top w:val="single" w:sz="4" w:space="0" w:color="auto"/>
            </w:tcBorders>
          </w:tcPr>
          <w:p w:rsidR="00547F3F" w:rsidRPr="00F63973" w:rsidRDefault="00547F3F" w:rsidP="00F63973">
            <w:pPr>
              <w:rPr>
                <w:lang w:val="en-US"/>
              </w:rPr>
            </w:pPr>
            <w:r w:rsidRPr="00F63973">
              <w:rPr>
                <w:lang w:val="en-US"/>
              </w:rPr>
              <w:t>Research Article</w:t>
            </w:r>
          </w:p>
        </w:tc>
        <w:tc>
          <w:tcPr>
            <w:tcW w:w="2392" w:type="dxa"/>
            <w:tcBorders>
              <w:top w:val="single" w:sz="4" w:space="0" w:color="auto"/>
            </w:tcBorders>
          </w:tcPr>
          <w:p w:rsidR="00547F3F" w:rsidRPr="00F63973" w:rsidRDefault="00547F3F" w:rsidP="00F63973">
            <w:pPr>
              <w:rPr>
                <w:lang w:val="en-US"/>
              </w:rPr>
            </w:pPr>
          </w:p>
        </w:tc>
      </w:tr>
      <w:tr w:rsidR="00547F3F" w:rsidRPr="00F63973" w:rsidTr="008508D9">
        <w:tblPrEx>
          <w:tblBorders>
            <w:left w:val="none" w:sz="0" w:space="0" w:color="auto"/>
            <w:right w:val="none" w:sz="0" w:space="0" w:color="auto"/>
            <w:insideH w:val="none" w:sz="0" w:space="0" w:color="auto"/>
            <w:insideV w:val="none" w:sz="0" w:space="0" w:color="auto"/>
          </w:tblBorders>
        </w:tblPrEx>
        <w:tc>
          <w:tcPr>
            <w:tcW w:w="2548" w:type="dxa"/>
          </w:tcPr>
          <w:p w:rsidR="00547F3F" w:rsidRPr="00F63973" w:rsidRDefault="00547F3F" w:rsidP="0021557F">
            <w:r w:rsidRPr="00F63973">
              <w:t xml:space="preserve">Başvuru Tarihi </w:t>
            </w:r>
          </w:p>
          <w:p w:rsidR="00547F3F" w:rsidRPr="00F63973" w:rsidRDefault="00547F3F" w:rsidP="0021557F">
            <w:r w:rsidRPr="00F63973">
              <w:t xml:space="preserve">Kabul Tarihi      </w:t>
            </w:r>
          </w:p>
        </w:tc>
        <w:tc>
          <w:tcPr>
            <w:tcW w:w="2844" w:type="dxa"/>
            <w:gridSpan w:val="2"/>
          </w:tcPr>
          <w:p w:rsidR="00547F3F" w:rsidRPr="00F63973" w:rsidRDefault="00547F3F" w:rsidP="0021557F">
            <w:r w:rsidRPr="00F63973">
              <w:t xml:space="preserve">: </w:t>
            </w:r>
            <w:proofErr w:type="gramStart"/>
            <w:r w:rsidRPr="00F63973">
              <w:t>GG.AA</w:t>
            </w:r>
            <w:proofErr w:type="gramEnd"/>
            <w:r w:rsidRPr="00F63973">
              <w:t>.YYYY</w:t>
            </w:r>
          </w:p>
          <w:p w:rsidR="00547F3F" w:rsidRPr="00F63973" w:rsidRDefault="00547F3F" w:rsidP="0021557F">
            <w:r w:rsidRPr="00F63973">
              <w:t xml:space="preserve">: </w:t>
            </w:r>
            <w:proofErr w:type="gramStart"/>
            <w:r w:rsidRPr="00F63973">
              <w:t>GG.AA</w:t>
            </w:r>
            <w:proofErr w:type="gramEnd"/>
            <w:r w:rsidRPr="00F63973">
              <w:t>.YYYY</w:t>
            </w:r>
          </w:p>
        </w:tc>
        <w:tc>
          <w:tcPr>
            <w:tcW w:w="2410" w:type="dxa"/>
          </w:tcPr>
          <w:p w:rsidR="00547F3F" w:rsidRPr="00F63973" w:rsidRDefault="00547F3F" w:rsidP="0021557F">
            <w:pPr>
              <w:rPr>
                <w:lang w:val="en-US"/>
              </w:rPr>
            </w:pPr>
            <w:r w:rsidRPr="00F63973">
              <w:rPr>
                <w:lang w:val="en-US"/>
              </w:rPr>
              <w:t xml:space="preserve">Submission Date </w:t>
            </w:r>
          </w:p>
          <w:p w:rsidR="00547F3F" w:rsidRPr="00F63973" w:rsidRDefault="00547F3F" w:rsidP="0021557F">
            <w:pPr>
              <w:rPr>
                <w:lang w:val="en-US"/>
              </w:rPr>
            </w:pPr>
            <w:r w:rsidRPr="00F63973">
              <w:rPr>
                <w:lang w:val="en-US"/>
              </w:rPr>
              <w:t>Accepted Date</w:t>
            </w:r>
          </w:p>
        </w:tc>
        <w:tc>
          <w:tcPr>
            <w:tcW w:w="2392" w:type="dxa"/>
          </w:tcPr>
          <w:p w:rsidR="00547F3F" w:rsidRPr="00F63973" w:rsidRDefault="00547F3F" w:rsidP="0021557F">
            <w:pPr>
              <w:rPr>
                <w:lang w:val="en-US"/>
              </w:rPr>
            </w:pPr>
            <w:r w:rsidRPr="00F63973">
              <w:rPr>
                <w:lang w:val="en-US"/>
              </w:rPr>
              <w:t>: GG.AA.YYYY</w:t>
            </w:r>
          </w:p>
          <w:p w:rsidR="00547F3F" w:rsidRPr="00F63973" w:rsidRDefault="00547F3F" w:rsidP="0021557F">
            <w:pPr>
              <w:rPr>
                <w:lang w:val="en-US"/>
              </w:rPr>
            </w:pPr>
            <w:r w:rsidRPr="00F63973">
              <w:rPr>
                <w:lang w:val="en-US"/>
              </w:rPr>
              <w:t>: GG.AA.YYYY</w:t>
            </w:r>
          </w:p>
        </w:tc>
      </w:tr>
      <w:tr w:rsidR="0024716A" w:rsidRPr="00F63973" w:rsidTr="008508D9">
        <w:tblPrEx>
          <w:tblBorders>
            <w:left w:val="none" w:sz="0" w:space="0" w:color="auto"/>
            <w:right w:val="none" w:sz="0" w:space="0" w:color="auto"/>
            <w:insideH w:val="none" w:sz="0" w:space="0" w:color="auto"/>
            <w:insideV w:val="none" w:sz="0" w:space="0" w:color="auto"/>
          </w:tblBorders>
        </w:tblPrEx>
        <w:tc>
          <w:tcPr>
            <w:tcW w:w="10194" w:type="dxa"/>
            <w:gridSpan w:val="5"/>
          </w:tcPr>
          <w:p w:rsidR="0024716A" w:rsidRDefault="0024716A" w:rsidP="0024716A">
            <w:pPr>
              <w:spacing w:before="120"/>
              <w:contextualSpacing w:val="0"/>
            </w:pPr>
            <w:r>
              <w:rPr>
                <w:rStyle w:val="DipnotBavurusu"/>
              </w:rPr>
              <w:t>*</w:t>
            </w:r>
            <w:r>
              <w:t xml:space="preserve"> Sorumlu yazar: </w:t>
            </w:r>
            <w:hyperlink r:id="rId10" w:history="1">
              <w:r w:rsidRPr="00683483">
                <w:rPr>
                  <w:rStyle w:val="Kpr"/>
                </w:rPr>
                <w:t>eposta@aaa.edu.tr</w:t>
              </w:r>
            </w:hyperlink>
          </w:p>
          <w:p w:rsidR="0024716A" w:rsidRPr="00F63973" w:rsidRDefault="00D16C93" w:rsidP="00C2767F">
            <w:pPr>
              <w:rPr>
                <w:lang w:val="en-US"/>
              </w:rPr>
            </w:pPr>
            <w:hyperlink r:id="rId11" w:history="1">
              <w:r w:rsidR="0024716A" w:rsidRPr="00E04803">
                <w:rPr>
                  <w:rStyle w:val="Kpr"/>
                  <w:lang w:val="en-US"/>
                </w:rPr>
                <w:t>https://doi.org/</w:t>
              </w:r>
            </w:hyperlink>
            <w:r w:rsidR="00C2767F">
              <w:rPr>
                <w:rStyle w:val="Kpr"/>
                <w:lang w:val="en-US"/>
              </w:rPr>
              <w:t>10.xxxxx/ogummf.10xxxxx</w:t>
            </w:r>
          </w:p>
        </w:tc>
      </w:tr>
    </w:tbl>
    <w:p w:rsidR="00511196" w:rsidRDefault="00511196" w:rsidP="00810D2B">
      <w:pPr>
        <w:sectPr w:rsidR="00511196" w:rsidSect="00327F76">
          <w:headerReference w:type="default" r:id="rId12"/>
          <w:footerReference w:type="default" r:id="rId13"/>
          <w:headerReference w:type="first" r:id="rId14"/>
          <w:pgSz w:w="11906" w:h="16838" w:code="9"/>
          <w:pgMar w:top="1701" w:right="851" w:bottom="1418" w:left="851" w:header="1134" w:footer="1134" w:gutter="0"/>
          <w:cols w:space="708"/>
          <w:docGrid w:linePitch="360"/>
        </w:sectPr>
      </w:pPr>
    </w:p>
    <w:p>
      <w:pPr>
        <w:pStyle w:val="Balk-1"/>
      </w:pPr>
      <w:r>
        <w:t>1. Introduction</w:t>
      </w:r>
    </w:p>
    <w:p>
      <w:pPr>
        <w:pStyle w:val="Paragraf"/>
        <w:jc w:val="both"/>
      </w:pPr>
      <w:r>
        <w:rPr>
          <w:i w:val="0"/>
        </w:rPr>
        <w:t>Throughout its modern development, design has been closely associated with durability, stability and the capacity to control material conditions. With the expansion of industrial production, the longevity and consistent performance of designed objects became indicators of technical adequacy, reliability and value. Within this framework, the designed object is understood as a form that should retain its intended function and identity over time (Forty, 1986; Papanek, 1971). The preference for durable objects is not simply a technical matter; it is embedded in a broader cultural understanding of design as a means of producing stable and predictable conditions.</w:t>
      </w:r>
    </w:p>
    <w:p>
      <w:pPr>
        <w:pStyle w:val="Paragraf"/>
        <w:jc w:val="both"/>
      </w:pPr>
      <w:r>
        <w:rPr>
          <w:i w:val="0"/>
        </w:rPr>
        <w:t>This orientation belongs to the wider intellectual conditions of modernity, which has been characterised by sustained efforts to render social and material environments knowable, calculable and governable (Giddens, 1990), and by a persistent concern with ordering conditions experienced as fluid or uncertain (Bauman, 2000). In design, this becomes visible through the emphasis placed on standardisation, repeatability, reliability and durability. Design does not merely respond to a stable world; it participates in producing stability as a desirable condition.</w:t>
      </w:r>
    </w:p>
    <w:p>
      <w:pPr>
        <w:pStyle w:val="Paragraf"/>
        <w:jc w:val="both"/>
      </w:pPr>
      <w:r>
        <w:rPr>
          <w:i w:val="0"/>
        </w:rPr>
        <w:t>The ecological crises of the twenty-first century have made this value system difficult to sustain without qualification. Climate change, biodiversity loss, resource depletion and the accumulation of persistent synthetic materials have demonstrated that material longevity does not automatically correspond to ecological responsibility (Escobar, 2018; Fry, 2009). A product that lasts longer may reduce replacement and consumption under some conditions, yet materials engineered to resist degradation can persist far beyond their useful life and become long-lived ecological burdens whose temporal signature exceeds the scale at which human institutions ordinarily operate (Adam, 1998; Morton, 2013). The relationship between durability and sustainability is therefore considerably more complex than a simple equation between longer lifespan and better design.</w:t>
      </w:r>
    </w:p>
    <w:p>
      <w:pPr>
        <w:pStyle w:val="Paragraf"/>
        <w:jc w:val="both"/>
      </w:pPr>
      <w:r>
        <w:rPr>
          <w:i w:val="0"/>
        </w:rPr>
        <w:t>At the same time, biodesign has introduced forms of practice in which biological organisms and processes participate directly in material development and making. Biodesign research has explored bacteria, algae, fungi, plants and other living systems as sources of materiality and as active participants in design processes (Camere and Karana, 2018; Collet, 2021; Myers, 2018). Karana, Barati and Giaccardi (2020) argue that "livingness" extends beyond the biological origin of a material toward the experience and use of artefacts that grow, adapt, respond and eventually die. Empirical work on living materials has identified temporality as one of five core themes through which such materials are described and communicated (Ertürkan, Karana and Mugge, 2022).</w:t>
      </w:r>
    </w:p>
    <w:p>
      <w:pPr>
        <w:pStyle w:val="Paragraf"/>
        <w:jc w:val="both"/>
      </w:pPr>
      <w:r>
        <w:rPr>
          <w:i w:val="0"/>
        </w:rPr>
        <w:t>The significance of biodesign therefore extends beyond the development of alternative materials. It also challenges the assumption that the designed object should be understood primarily as a finished and stable entity. When growth, adaptation, transformation and decay become internal to the material process, the temporal dimension of design becomes difficult to treat as external to the object. This raises a question with consequences for how design quality is argued and assessed: if transformation is intrinsic to material and biological processes, should permanence continue to operate as a general measure of design success?</w:t>
      </w:r>
    </w:p>
    <w:p>
      <w:pPr>
        <w:pStyle w:val="Paragraf"/>
        <w:jc w:val="both"/>
      </w:pPr>
      <w:r>
        <w:rPr>
          <w:i w:val="0"/>
        </w:rPr>
        <w:t>The question is not whether durable design should be abandoned, but whether design theory can accommodate other temporal conditions as legitimate forms of value. Framed this way, the article addresses a gap between two literatures that have developed largely in parallel. On one side, a substantial body of design research has argued for taking time seriously, from Lynch's (1972) account of the temporal collage of the built environment and Brand's (1994) analysis of buildings that learn, through slow technology (Hallnäs and Redström, 2001), to the Temporal Design framework and its more-than-human extensions (Pschetz and Bastian, 2018; Pschetz, Gebker, Wieland and Bastian, 2024). This work has largely theorised time as an experiential, narrative and social-coordinative condition. On the other side, biodesign and living-materials research has generated detailed empirical accounts of materials whose temporality is biological and irreducible (Camere and Karana, 2018; Jones, Mautner, Luenco, Bismarck and John, 2020; Karana, Blauwhoff, Hultink and Camere, 2018). What has not been sufficiently articulated is the theoretical bridge between them: how the material temporality that biodesign makes unavoidable might revise the value structure of design theory itself.</w:t>
      </w:r>
    </w:p>
    <w:p>
      <w:pPr>
        <w:pStyle w:val="Paragraf"/>
        <w:jc w:val="both"/>
      </w:pPr>
      <w:r>
        <w:rPr>
          <w:i w:val="0"/>
        </w:rPr>
        <w:t>The study therefore asks: how does biodesign challenge the paradigm of permanence that has long structured design, and how can temporality be reconceptualised as a legitimate design value? Three sub-questions guide the discussion. First, how did permanence become associated with successful design, and on what historical and cultural grounds does that association rest? Second, in what specific ways does biodesign destabilise this value system? Third, how can impermanence and temporality be conceptualised within design theory in a way that is analytically usable rather than merely rhetorical?</w:t>
      </w:r>
    </w:p>
    <w:p>
      <w:pPr>
        <w:pStyle w:val="Paragraf"/>
        <w:jc w:val="both"/>
      </w:pPr>
      <w:r>
        <w:rPr>
          <w:i w:val="0"/>
        </w:rPr>
        <w:t>The contribution is threefold. Theoretically, the article reframes impermanence as an ontological condition of becoming rather than as a deficiency, and connects that reframing to the material conditions biodesign produces. Analytically, it offers six dimensions through which temporal intent can be specified rather than merely asserted. Normatively, it states the boundary conditions under which permanence remains the correct value, so that the argument functions as an expansion of design's temporal vocabulary rather than an inversion of its priorities.</w:t>
      </w:r>
    </w:p>
    <w:p>
      <w:pPr>
        <w:pStyle w:val="Paragraf"/>
        <w:jc w:val="both"/>
      </w:pPr>
      <w:r>
        <w:rPr>
          <w:i w:val="0"/>
        </w:rPr>
        <w:t>The article proceeds as follows. Section 2 reviews the literature in two parts, reconstructing the permanence paradigm and then situating the study within existing temporal design research in order to identify the gap it addresses. Section 3 sets out the research design. Section 4 presents the findings of the synthesis, first reading biodesign as a temporal practice and then developing the framework. Section 5 discusses implications and limitations, and Section 6 concludes.</w:t>
      </w:r>
    </w:p>
    <w:p>
      <w:pPr>
        <w:pStyle w:val="Balk-1"/>
      </w:pPr>
      <w:r>
        <w:t>2. Literature Review</w:t>
      </w:r>
    </w:p>
    <w:p>
      <w:pPr>
        <w:pStyle w:val="Balk-1"/>
      </w:pPr>
      <w:r>
        <w:t>2.1. The Permanence Paradigm: Modernity and the Ideal of Stability</w:t>
      </w:r>
    </w:p>
    <w:p>
      <w:pPr>
        <w:pStyle w:val="Paragraf"/>
        <w:jc w:val="both"/>
      </w:pPr>
      <w:r>
        <w:rPr>
          <w:i w:val="0"/>
        </w:rPr>
        <w:t>The predominance of permanence as a design value is neither natural nor universal. It is historically related to cultural and technological conditions that privileged stability, predictability, order and control (Bauman, 2000; Giddens, 1990). Within such a framework, uncertainty is positioned as a condition to be reduced, and stability as a desirable outcome. Design consequently becomes more than the production of objects: it becomes a material practice through which expectations of continuity and order are made tangible.</w:t>
      </w:r>
    </w:p>
    <w:p>
      <w:pPr>
        <w:pStyle w:val="Paragraf"/>
        <w:jc w:val="both"/>
      </w:pPr>
      <w:r>
        <w:rPr>
          <w:i w:val="0"/>
        </w:rPr>
        <w:t>Heidegger's (1954/1977) critique of modern technology provides a philosophical perspective on this relationship. His concept of enframing describes a mode of revealing through which entities are encountered primarily in terms of availability and utility, as standing-reserve. Nature is thereby approached as something that can be ordered, extracted, stored and held ready for use. Heidegger does not formulate a theory of design permanence, but his analysis clarifies the ontological background against which stability becomes a self-evidently desirable condition for technological practice: what is held in reserve must, by definition, remain what it is until called upon.</w:t>
      </w:r>
    </w:p>
    <w:p>
      <w:pPr>
        <w:pStyle w:val="Paragraf"/>
        <w:jc w:val="both"/>
      </w:pPr>
      <w:r>
        <w:rPr>
          <w:i w:val="0"/>
        </w:rPr>
        <w:t>Latour's (1993) account of the modern constitution supplies a complementary reading. The purification of a domain of nature from a domain of society allows material entities to be treated as inert objects available for social projects, while the hybrids that proliferate in practice remain unacknowledged. A material that changes on its own account, that grows, colonises, ferments or decomposes, is precisely such a hybrid, and the permanence paradigm can be read in part as a strategy for keeping hybridity out of view.</w:t>
      </w:r>
    </w:p>
    <w:p>
      <w:pPr>
        <w:pStyle w:val="Balk-1"/>
      </w:pPr>
      <w:r>
        <w:t>2.2. Industrialisation and the Codification of Durability</w:t>
      </w:r>
    </w:p>
    <w:p>
      <w:pPr>
        <w:pStyle w:val="Paragraf"/>
        <w:jc w:val="both"/>
      </w:pPr>
      <w:r>
        <w:rPr>
          <w:i w:val="0"/>
        </w:rPr>
        <w:t>The industrialisation of production reinforced these conditions materially and institutionally. Standardised manufacturing required products to maintain consistent characteristics across repeated production runs and extended periods of use. Tolerances, specifications, warranties and testing regimes translated an ontological preference for stability into contractual and metrological form. Design became increasingly associated with reliability, repeatability and durability, and these criteria acquired the appearance of technical neutrality.</w:t>
      </w:r>
    </w:p>
    <w:p>
      <w:pPr>
        <w:pStyle w:val="Paragraf"/>
        <w:jc w:val="both"/>
      </w:pPr>
      <w:r>
        <w:rPr>
          <w:i w:val="0"/>
        </w:rPr>
        <w:t xml:space="preserve">Forty (1986) demonstrates that objects are not neutral technical entities but material expressions of social values, and that the preference for enduring objects participated in the cultural construction of durability as a sign of quality, progress and reliability. The point matters here: durability is not simply measured, it is </w:t>
      </w:r>
      <w:r>
        <w:rPr>
          <w:i/>
        </w:rPr>
        <w:t>signified</w:t>
      </w:r>
      <w:r>
        <w:rPr>
          <w:i w:val="0"/>
        </w:rPr>
        <w:t>. Weight, solidity, resistance to marking and the visual language of engineering permanence communicate value independently of any measured lifespan. This is why the critique of permanence cannot be settled by lifecycle data alone; it involves a semiotic and cultural formation as well as a technical one.</w:t>
      </w:r>
    </w:p>
    <w:p>
      <w:pPr>
        <w:pStyle w:val="Balk-1"/>
      </w:pPr>
      <w:r>
        <w:t>2.3. Preservation and the Management of Change</w:t>
      </w:r>
    </w:p>
    <w:p>
      <w:pPr>
        <w:pStyle w:val="Paragraf"/>
        <w:jc w:val="both"/>
      </w:pPr>
      <w:r>
        <w:rPr>
          <w:i w:val="0"/>
        </w:rPr>
        <w:t>The association between design and permanence is also connected to the aspiration to reduce uncertainty in use. Designed objects, systems and environments are expected to perform according to predetermined specifications. Variation is consequently interpreted as inefficiency, and material change is treated as a problem requiring maintenance or correction. Durability, reliability and standardisation therefore operate not only as technical criteria but as mechanisms for stabilising material conditions (Forty, 1986).</w:t>
      </w:r>
    </w:p>
    <w:p>
      <w:pPr>
        <w:pStyle w:val="Paragraf"/>
        <w:jc w:val="both"/>
      </w:pPr>
      <w:r>
        <w:rPr>
          <w:i w:val="0"/>
        </w:rPr>
        <w:t>This logic is especially visible in the treatment of processes such as weathering, corrosion, patination, decomposition and biological colonisation. Where the intended identity of an object depends on maintaining a predefined state, these processes register as signs that the object is departing from its designed condition. Preservation strategies attempt to delay or prevent transformation through coatings, biocides, maintenance regimes and material selection. The underlying assumption is that successful design preserves the object's intended identity for as long as possible.</w:t>
      </w:r>
    </w:p>
    <w:p>
      <w:pPr>
        <w:pStyle w:val="Paragraf"/>
        <w:jc w:val="both"/>
      </w:pPr>
      <w:r>
        <w:rPr>
          <w:i w:val="0"/>
        </w:rPr>
        <w:t>Architecture has produced the most sustained critique of this assumption. Mostafavi and Leatherbarrow (1993) argue that weathering is not the erosion of architectural meaning but a continuing contribution to it: because natural forces continually refinish the building, the final state of a construction is necessarily indefinite. Their argument dissolves the moment of completion that the permanence paradigm requires. Brand (1994) makes a parallel argument at the level of use, showing that buildings which accommodate adaptation across differently paced layers perform better over decades than those designed to be finished. Lynch (1972) had earlier argued that environments are temporal collages of superimposed pasts, presents and futures, and that the human sense of time should inform how environments are changed, conserved or destroyed.</w:t>
      </w:r>
    </w:p>
    <w:p>
      <w:pPr>
        <w:pStyle w:val="Paragraf"/>
        <w:jc w:val="both"/>
      </w:pPr>
      <w:r>
        <w:rPr>
          <w:i w:val="0"/>
        </w:rPr>
        <w:t>Heritage studies extends the critique further. DeSilvey (2017) develops the notion of curated decay, proposing a post-preservation paradigm in which decay is not simply loss but a productive means of understanding cultural heritage. Her cases demonstrate that letting a structure change can generate meaning that arrested conservation forecloses. The significance for design theory is direct: if the discipline most institutionally committed to preservation can articulate a coherent case for curated transformation, the design assumption that change is failure loses its self-evidence.</w:t>
      </w:r>
    </w:p>
    <w:p>
      <w:pPr>
        <w:pStyle w:val="Paragraf"/>
        <w:jc w:val="both"/>
      </w:pPr>
      <w:r>
        <w:rPr>
          <w:i w:val="0"/>
        </w:rPr>
        <w:t>Such a model also reinforces an object-centred understanding of design. The design process culminates in a finished product, while subsequent changes are classified as use, maintenance, repair, deterioration or disposal rather than as part of design itself. This distinction separates the moment of design from the material processes that continue after production, a separation that Ingold's (2007, 2013) process-oriented account of materials is formulated to dissolve.</w:t>
      </w:r>
    </w:p>
    <w:p>
      <w:pPr>
        <w:pStyle w:val="Balk-1"/>
      </w:pPr>
      <w:r>
        <w:t>2.4. Durability in Sustainable Design Discourse</w:t>
      </w:r>
    </w:p>
    <w:p>
      <w:pPr>
        <w:pStyle w:val="Paragraf"/>
        <w:jc w:val="both"/>
      </w:pPr>
      <w:r>
        <w:rPr>
          <w:i w:val="0"/>
        </w:rPr>
        <w:t>Durability has also been a significant component of environmental design discourse, and the argument for it is serious. Extending product life reduces replacement frequency and can therefore lower material and energy demand across a use period. Papanek (1971), despite his broader ecological and social critique of design, emphasised responsible production and longer-lasting solutions. Cooper (2010) develops the case systematically across design, engineering, marketing, law and policy, positioning longer-lasting products as an alternative to the throwaway society. Chapman (2015) approaches the same problem psychologically, arguing that products are discarded not when they fail technically but when the user's emotional relationship to them fails, and that emotionally durable design can extend life by deepening attachment.</w:t>
      </w:r>
    </w:p>
    <w:p>
      <w:pPr>
        <w:pStyle w:val="Paragraf"/>
        <w:jc w:val="both"/>
      </w:pPr>
      <w:r>
        <w:rPr>
          <w:i w:val="0"/>
        </w:rPr>
        <w:t>These positions are not naive, and the present argument does not dispute them. Their limitation is more specific: each treats duration as the primary variable and leaves the material's trajectory after use comparatively under-theorised. Chapman's account in particular demonstrates how much of durability is relational rather than material, which is itself an argument that duration alone is an insufficient criterion.</w:t>
      </w:r>
    </w:p>
    <w:p>
      <w:pPr>
        <w:pStyle w:val="Paragraf"/>
        <w:jc w:val="both"/>
      </w:pPr>
      <w:r>
        <w:rPr>
          <w:i w:val="0"/>
        </w:rPr>
        <w:t xml:space="preserve">Cradle-to-cradle thinking (McDonough and Braungart, 2002) marks the decisive conceptual shift, replacing duration with circulation as the organising question. Its distinction between biological and technical nutrients proposes that materials should cycle perpetually through one system or the other, producing nutrients for a subsequent cycle rather than waste. Circular economy frameworks have since operationalised this logic into design and business model strategies (Bocken, de Pauw, Bakker and van der Grinten, 2016). The temporal implication is significant and often underplayed: in a cycling model, the relevant question is not how long a form persists but </w:t>
      </w:r>
      <w:r>
        <w:rPr>
          <w:i/>
        </w:rPr>
        <w:t>at what point, by what mechanism and into what system</w:t>
      </w:r>
      <w:r>
        <w:rPr>
          <w:i w:val="0"/>
        </w:rPr>
        <w:t xml:space="preserve"> matter is released. Duration becomes one parameter among several rather than the criterion itself.</w:t>
      </w:r>
    </w:p>
    <w:p>
      <w:pPr>
        <w:pStyle w:val="Balk-1"/>
      </w:pPr>
      <w:r>
        <w:t>2.5. Ecological Limits of Persistence</w:t>
      </w:r>
    </w:p>
    <w:p>
      <w:pPr>
        <w:pStyle w:val="Paragraf"/>
        <w:jc w:val="both"/>
      </w:pPr>
      <w:r>
        <w:rPr>
          <w:i w:val="0"/>
        </w:rPr>
        <w:t>The ecological crisis exposes a central tension within permanence-oriented design. Persistence can be beneficial where it reduces repeated production; it becomes problematic where materials remain in ecological systems long after their functional usefulness has ended. The environmental significance of a material cannot therefore be determined by lifespan alone. It must be considered in relation to sourcing, production, use, transformation, disposal and potential reintegration into material cycles (Bocken et al., 2016; Escobar, 2018; Fry, 2009).</w:t>
      </w:r>
    </w:p>
    <w:p>
      <w:pPr>
        <w:pStyle w:val="Paragraf"/>
        <w:jc w:val="both"/>
      </w:pPr>
      <w:r>
        <w:rPr>
          <w:i w:val="0"/>
        </w:rPr>
        <w:t>Adam's (1998) analysis of the timescapes of modernity sharpens this point. Environmental hazards, she argues, are inseparable from the temporal organisation of industrial life: the speed of production and transport, the rhythms of markets, and above all the mismatch between the timescales of industrial decision-making and those of ecological consequence. Hazards that are invisible in the present unfold across latencies that exceed institutional attention spans. Morton's (2013) concept of hyperobjects names the resulting condition for materials whose temporal footprint, such as radioactive waste or persistent polymers, is so vastly distributed in time that it resists ordinary perception. Both accounts indicate that permanence, when it is a property of matter rather than of value, may be the ecological problem rather than its solution.</w:t>
      </w:r>
    </w:p>
    <w:p>
      <w:pPr>
        <w:pStyle w:val="Paragraf"/>
        <w:jc w:val="both"/>
      </w:pPr>
      <w:r>
        <w:rPr>
          <w:i w:val="0"/>
        </w:rPr>
        <w:t>Fry (2009) argues that ecological problems must be considered in relation to the consequences of design decisions for future conditions: design does not simply solve present problems but participates in shaping future possibility, and can foreclose it. A permanence-oriented approach becomes problematic where it extends material persistence without asking whether that persistence is compatible with ecological regeneration.</w:t>
      </w:r>
    </w:p>
    <w:p>
      <w:pPr>
        <w:pStyle w:val="Paragraf"/>
        <w:jc w:val="both"/>
      </w:pPr>
      <w:r>
        <w:rPr>
          <w:i w:val="0"/>
        </w:rPr>
        <w:t>The limitation of permanence is therefore both ecological and ontological. Ecologically, persistence does not necessarily correspond to regeneration or compatibility with material cycles. Ontologically, permanence presumes that stable identity is the preferred condition of entities that may instead be continuously changing. Latour (1993) critiques the modern separation of nature and society; Haraway (2016) emphasises interdependence and the abandonment of mastery narratives; Escobar (2018) proposes relational, pluriversal approaches that challenge modernist assumptions of separation and control. Together these positions establish design as embedded within dynamic relations rather than as an activity performed upon a passive environment.</w:t>
      </w:r>
    </w:p>
    <w:p>
      <w:pPr>
        <w:pStyle w:val="Balk-1"/>
      </w:pPr>
      <w:r>
        <w:t>2.6. The Provincialism of Permanence</w:t>
      </w:r>
    </w:p>
    <w:p>
      <w:pPr>
        <w:pStyle w:val="Paragraf"/>
        <w:jc w:val="both"/>
      </w:pPr>
      <w:r>
        <w:rPr>
          <w:i w:val="0"/>
        </w:rPr>
        <w:t>The historical claim advanced here requires an important qualification, and stating it strengthens rather than weakens the argument. Permanence has been dominant in industrial-modern design culture; it has not been universal, and counter-traditions have always accompanied it.</w:t>
      </w:r>
    </w:p>
    <w:p>
      <w:pPr>
        <w:pStyle w:val="Paragraf"/>
        <w:jc w:val="both"/>
      </w:pPr>
      <w:r>
        <w:rPr>
          <w:i w:val="0"/>
        </w:rPr>
        <w:t>The Japanese aesthetic of wabi-sabi explicitly locates beauty in the imperfect, impermanent and incomplete (Koren, 1994). Its associated practices, among them the valuing of patina, the visible repair of kintsugi, and the periodic ritual reconstruction of shrine architecture, treat material change as a carrier of meaning rather than a loss of it. European traditions are similarly internally divided: the aesthetics of the ruin, and the long argument between Ruskinian conservation and restorative approaches, show that the question of whether to arrest or accept change has been contested within Western practice itself. Vernacular building cultures worldwide have used materials such as earth, thatch, bamboo and timber whose maintenance cycles assume replacement rather than resistance.</w:t>
      </w:r>
    </w:p>
    <w:p>
      <w:pPr>
        <w:pStyle w:val="Paragraf"/>
        <w:jc w:val="both"/>
      </w:pPr>
      <w:r>
        <w:rPr>
          <w:i w:val="0"/>
        </w:rPr>
        <w:t>Recognising this pluralism does two things. It prevents the claim that design has always privileged permanence, which would be historically false and easy to dismiss. And it repositions the contribution more precisely: the task is not to invent a value that design has never held, but to bring an existing but marginalised temporal sensibility into the centre of contemporary design theory, at a moment when biodesign supplies it with new material and empirical grounding.</w:t>
      </w:r>
    </w:p>
    <w:p>
      <w:pPr>
        <w:pStyle w:val="Balk-1"/>
      </w:pPr>
      <w:r>
        <w:t>2.7. Three Registers of Design Time</w:t>
      </w:r>
    </w:p>
    <w:p>
      <w:pPr>
        <w:pStyle w:val="Paragraf"/>
        <w:jc w:val="both"/>
      </w:pPr>
      <w:r>
        <w:rPr>
          <w:i w:val="0"/>
        </w:rPr>
        <w:t>The claim that design neglects temporality would be inaccurate. The more defensible claim is that design's temporal scholarship has developed in separate registers that have not been brought together, and that one register in particular remains underdeveloped.</w:t>
      </w:r>
    </w:p>
    <w:p>
      <w:pPr>
        <w:pStyle w:val="Paragraf"/>
        <w:jc w:val="both"/>
      </w:pPr>
      <w:r>
        <w:rPr>
          <w:i w:val="0"/>
        </w:rPr>
        <w:t>The earliest sustained treatments come from architecture and urban design. Lynch (1972) argued that environments should be understood as temporal collages and that design decisions are effectively decisions about which pasts and futures a place will be able to hold. Mostafavi and Leatherbarrow (1993) established weathering as constitutive of architectural meaning rather than as its degradation. Brand (1994) demonstrated empirically that adaptability across differently paced layers outperforms designed finality. Common to all three is a shift of the unit of analysis from the object to the object in time, and a suspicion of the completed state as the moment at which design is evaluated.</w:t>
      </w:r>
    </w:p>
    <w:p>
      <w:pPr>
        <w:pStyle w:val="Paragraf"/>
        <w:jc w:val="both"/>
      </w:pPr>
      <w:r>
        <w:rPr>
          <w:i w:val="0"/>
        </w:rPr>
        <w:t>A second register emerged in interaction design. Hallnäs and Redström (2001) proposed slow technology as a design philosophy for artefacts that are present in everyday environments over long periods, arguing that interaction design should expand beyond efficiency toward reflection and temporal presence. Pschetz and Bastian (2018) offer the most theoretically developed intervention in this register. They argue that design's dominant narratives describe time as uniform, external to practice and continuously accelerating, and that these narratives constrain design possibility by reducing temporality to dichotomies of fast and slow. Their Temporal Design framework instead treats time as social coordination, directing designers to reveal the actors, practices and forces that sustain the temporal organisation of particular groups.</w:t>
      </w:r>
    </w:p>
    <w:p>
      <w:pPr>
        <w:pStyle w:val="Paragraf"/>
        <w:jc w:val="both"/>
      </w:pPr>
      <w:r>
        <w:rPr>
          <w:i w:val="0"/>
        </w:rPr>
        <w:t>A third register, more recent, extends temporal design beyond the human. Giaccardi and Redström (2020) argue that human-centred design is reaching the limits of what it can adequately give form to, and propose more-than-human design as a necessary reorientation. Wakkary (2021) develops designing-with as a practice conducted in a world where humans share the centre with nonhumans. Pschetz et al. (2024) bring these commitments back to temporality explicitly, proposing an agenda that draws attention to the interconnection of human and other-than-human times and exposes temporal power asymmetries across ecologies. Puig de la Bellacasa's (2017) analysis of care as an obligation in more-than-human worlds, and specifically her attention to the temporalities of care that resist the acceleration of productivist time, provides the ethical vocabulary this register requires.</w:t>
      </w:r>
    </w:p>
    <w:p>
      <w:pPr>
        <w:pStyle w:val="Balk-1"/>
      </w:pPr>
      <w:r>
        <w:t>2.8. The Gap: The Material Register</w:t>
      </w:r>
    </w:p>
    <w:p>
      <w:pPr>
        <w:pStyle w:val="Paragraf"/>
        <w:jc w:val="both"/>
      </w:pPr>
      <w:r>
        <w:rPr>
          <w:i w:val="0"/>
        </w:rPr>
        <w:t xml:space="preserve">Reading these registers together clarifies both the richness of design's temporal scholarship and its principal omission. Time has been well theorised as an environmental condition, as an experiential and social-coordinative condition, and increasingly as a more-than-human ethical condition. What remains comparatively underdeveloped is time as a </w:t>
      </w:r>
      <w:r>
        <w:rPr>
          <w:i/>
        </w:rPr>
        <w:t>material</w:t>
      </w:r>
      <w:r>
        <w:rPr>
          <w:i w:val="0"/>
        </w:rPr>
        <w:t xml:space="preserve"> condition: not the time in which a material is used or perceived, but the time that a material </w:t>
      </w:r>
      <w:r>
        <w:rPr>
          <w:i/>
        </w:rPr>
        <w:t>is</w:t>
      </w:r>
      <w:r>
        <w:rPr>
          <w:i w:val="0"/>
        </w:rPr>
        <w:t>.</w:t>
      </w:r>
    </w:p>
    <w:p>
      <w:pPr>
        <w:pStyle w:val="Paragraf"/>
        <w:jc w:val="both"/>
      </w:pPr>
      <w:r>
        <w:rPr>
          <w:i w:val="0"/>
        </w:rPr>
        <w:t>The distinction matters. Slow technology asks how an artefact can occupy a user's life differently; it does not require the artefact's substance to change. Temporal Design asks whose rhythms a system coordinates; it does not require the system's matter to have rhythms of its own. Weathering comes closest, but treats material change primarily as something the environment does to a stable substance. In each case the material substrate remains, at least implicitly, the stable term against which temporal variation is measured.</w:t>
      </w:r>
    </w:p>
    <w:p>
      <w:pPr>
        <w:pStyle w:val="Paragraf"/>
        <w:jc w:val="both"/>
      </w:pPr>
      <w:r>
        <w:rPr>
          <w:i w:val="0"/>
        </w:rPr>
        <w:t>This is precisely the assumption that biodesign cannot sustain. When the material is alive, or was recently alive, or remains metabolically active, its temporality is not a relation imposed upon it but a condition of its existence.</w:t>
      </w:r>
    </w:p>
    <w:p>
      <w:pPr>
        <w:pStyle w:val="Balk-1"/>
      </w:pPr>
      <w:r>
        <w:t>3. Method</w:t>
      </w:r>
    </w:p>
    <w:p>
      <w:pPr>
        <w:pStyle w:val="Paragraf"/>
        <w:jc w:val="both"/>
      </w:pPr>
      <w:r>
        <w:rPr>
          <w:i w:val="0"/>
        </w:rPr>
        <w:t>This article is a conceptual contribution rather than an empirical study. Its purpose is to develop theory by bringing bodies of literature into relation, and its validity therefore rests on the transparency of its selection and synthesis rather than on data collection (Jaakkola, 2020; Snyder, 2019). Following Jaakkola's (2020) typology of conceptual articles, the study adopts a theory synthesis design: it seeks to enhance understanding of design temporality by integrating perspectives from domains that have not previously been read together, and by proposing an organising framework that makes their relation explicit. This design was chosen over theory adaptation or typology development because the argument's core move is integrative. Neither design theory nor biodesign research alone contains the resources to reframe permanence, but their conjunction does.</w:t>
      </w:r>
    </w:p>
    <w:p>
      <w:pPr>
        <w:pStyle w:val="Paragraf"/>
        <w:jc w:val="both"/>
      </w:pPr>
      <w:r>
        <w:rPr>
          <w:i w:val="0"/>
        </w:rPr>
        <w:t>The literature was assembled as an integrative review in Snyder's (2019) sense, a purposive review appropriate when the aim is to synthesise and critique in order to generate new conceptual framing rather than to aggregate findings. Four corpora were identified: design history and sustainable design theory, addressing the historical construction of durability as a value (Bocken et al., 2016; Chapman, 2015; Cooper, 2010; Forty, 1986; Fry, 2009; McDonough and Braungart, 2002; Papanek, 1971); temporal design research in design studies, architecture and human-computer interaction (Brand, 1994; Hallnäs and Redström, 2001; Lynch, 1972; Mostafavi and Leatherbarrow, 1993; Pschetz and Bastian, 2018; Pschetz et al., 2024); biodesign and living-materials research, including definitional, methodological and empirical work on designing with organisms (Camere and Karana, 2018; Collet, 2013, 2021; Cruz and Beckett, 2016; Ertürkan et al., 2022; Ginsberg and Chieza, 2018; Jones et al., 2020; Karana et al., 2018; Karana et al., 2020; Karana, Barati, Rognoli and Zeeuw van der Laan, 2015; Myers, 2018; Rognoli, Bianchini, Maffei and Karana, 2015); and process philosophy, new materialism and more-than-human theory, providing the ontological vocabulary through which impermanence can be reconstructed (Barad, 2007; Bennett, 2010; Bergson, 1907/1998; Escobar, 2018; Giaccardi and Redström, 2020; Haraway, 2016; Heidegger, 1954/1977; Ingold, 2007, 2013; Latour, 1993; Luck, 2025; Puig de la Bellacasa, 2017; Wakkary, 2021; Whitehead, 1929/1978).</w:t>
      </w:r>
    </w:p>
    <w:p>
      <w:pPr>
        <w:pStyle w:val="Paragraf"/>
        <w:jc w:val="both"/>
      </w:pPr>
      <w:r>
        <w:rPr>
          <w:i w:val="0"/>
        </w:rPr>
        <w:t>Sources were selected on three criteria: conceptual centrality to the permanence-temporality problem; demonstrable influence within their own field, so that the synthesis engages positions actually operative in design discourse; and, for the biodesign corpus, sufficient specificity about material process to support claims about temporality rather than general advocacy for bio-based materials. Searches were conducted in Scopus, Web of Science, the ACM Digital Library, the Design Research Society Digital Library and Google Scholar, using combinations of the terms biodesign, living materials, material experience, temporality, impermanence, durability, decay, material agency and more-than-human design, and were extended through backward and forward citation tracking from the anchor texts in each corpus.</w:t>
      </w:r>
    </w:p>
    <w:p>
      <w:pPr>
        <w:pStyle w:val="Paragraf"/>
        <w:jc w:val="both"/>
      </w:pPr>
      <w:r>
        <w:rPr>
          <w:i w:val="0"/>
        </w:rPr>
        <w:t>Analysis proceeded in three passes. The first reconstructed the permanence paradigm as a historically situated value system and identified the arguments through which it has been defended and contested. The second read the biodesign corpus specifically for temporal claims, coding passages in which authors describe materials as growing, adapting, senescing, decomposing or requiring care into recurring temporal conditions. The third placed those conditions in dialogue with the philosophical corpus in order to determine whether they could be articulated as design values rather than merely as material behaviours. The framework presented in Section 4.2 is the output of the third pass.</w:t>
      </w:r>
    </w:p>
    <w:p>
      <w:pPr>
        <w:pStyle w:val="Paragraf"/>
        <w:jc w:val="both"/>
      </w:pPr>
      <w:r>
        <w:rPr>
          <w:i w:val="0"/>
        </w:rPr>
        <w:t>The study is conceptual and involves no human or animal participants, no personal data and no laboratory experimentation, so no ethics committee approval was required. The research and writing were conducted in accordance with the principles of research and publication ethics; all sources consulted are cited in the text and listed in the references.</w:t>
      </w:r>
    </w:p>
    <w:p>
      <w:pPr>
        <w:pStyle w:val="Paragraf"/>
        <w:jc w:val="both"/>
      </w:pPr>
      <w:r>
        <w:rPr>
          <w:i w:val="0"/>
        </w:rPr>
        <w:t>Two limitations follow from this design. First, a conceptual synthesis cannot establish that the proposed framework improves design outcomes; it can only establish that the framework is theoretically coherent and analytically distinguishable from existing ones. Second, the corpus is predominantly Anglophone and European, and the design-historical claim about permanence is therefore strongest for industrial-modern Western design culture. Section 2.6 addresses this limitation directly, but a genuinely comparative account would require a different study.</w:t>
      </w:r>
    </w:p>
    <w:p>
      <w:pPr>
        <w:pStyle w:val="Balk-1"/>
      </w:pPr>
      <w:r>
        <w:t>4. Findings</w:t>
      </w:r>
    </w:p>
    <w:p>
      <w:pPr>
        <w:pStyle w:val="Balk-1"/>
      </w:pPr>
      <w:r>
        <w:t>4.1. Biodesign as a Temporal Practice</w:t>
      </w:r>
    </w:p>
    <w:p>
      <w:pPr>
        <w:pStyle w:val="Balk-1"/>
      </w:pPr>
      <w:r>
        <w:t>4.1.1. Defining Biodesign</w:t>
      </w:r>
    </w:p>
    <w:p>
      <w:pPr>
        <w:pStyle w:val="Paragraf"/>
        <w:jc w:val="both"/>
      </w:pPr>
      <w:r>
        <w:rPr>
          <w:i w:val="0"/>
        </w:rPr>
        <w:t>Biodesign encompasses practices in which biological knowledge, organisms and processes become integral to design rather than merely referenced by it. Myers (2018) documents the emergence of practices that integrate biological processes into design and architecture across some seventy projects spanning industrial process, material engineering, architecture and art. Collet's (2013) exhibition "Alive: New Design Frontiers", the first international exhibition to examine biodesign through the lens of sustainability, proposed a framework distinguishing three pathways: nature as a model, nature as a co-worker and nature as a hackable system. The distinction is analytically useful here, because only the second and third involve the designer in an ongoing temporal relation with a living process; biomimetic abstraction of natural form leaves the permanence paradigm entirely intact.</w:t>
      </w:r>
    </w:p>
    <w:p>
      <w:pPr>
        <w:pStyle w:val="Paragraf"/>
        <w:jc w:val="both"/>
      </w:pPr>
      <w:r>
        <w:rPr>
          <w:i w:val="0"/>
        </w:rPr>
        <w:t>Camere and Karana (2018) provide the field's most systematic account of what they term growing design: the practice of fabricating materials from living organisms, in which microorganisms, fungi, algae and plants participate in the development of materials and artefacts. Rognoli et al. (2015) situate this within the broader phenomenon of do-it-yourself materials, in which designers create materials through self-devised techniques rather than specifying industrially standardised ones, and Karana et al. (2015) supply the Material Driven Design method through which such materials can be developed toward meaningful experiential qualities rather than technical properties alone.</w:t>
      </w:r>
    </w:p>
    <w:p>
      <w:pPr>
        <w:pStyle w:val="Balk-1"/>
      </w:pPr>
      <w:r>
        <w:t>4.1.2. Growing Design: Formation as Design Time</w:t>
      </w:r>
    </w:p>
    <w:p>
      <w:pPr>
        <w:pStyle w:val="Paragraf"/>
        <w:jc w:val="both"/>
      </w:pPr>
      <w:r>
        <w:rPr>
          <w:i w:val="0"/>
        </w:rPr>
        <w:t>An important consequence of this approach is that material formation becomes part of the design process rather than a preparatory stage preceding it. Karana et al. (2018) document this shift through a case study of designing with mycelium-based materials, tracing how a designer's engagement with fungal growth reshapes what a material property even means when the material is produced by an organism whose behaviour must be accommodated rather than specified. Jones et al. (2020) provide the technical counterpart in their review of engineered mycelium composites, describing fungal growth as a low-energy biofabrication method that upcycles agricultural by-products into alternatives to energy-intensive synthetic construction materials.</w:t>
      </w:r>
    </w:p>
    <w:p>
      <w:pPr>
        <w:pStyle w:val="Paragraf"/>
        <w:jc w:val="both"/>
      </w:pPr>
      <w:r>
        <w:rPr>
          <w:i w:val="0"/>
        </w:rPr>
        <w:t>Three temporal consequences follow. First, the duration of formation becomes a design variable: growth takes the time it takes, and this cannot be compressed arbitrarily without changing the material. Second, variance becomes constitutive rather than defective, since two batches grown under nominally identical conditions differ, which inverts the industrial logic of repeatability described in Section 2.2. Third, the resulting object is connected to a process that its final state does not fully describe; the artefact carries its formation history in its structure.</w:t>
      </w:r>
    </w:p>
    <w:p>
      <w:pPr>
        <w:pStyle w:val="Paragraf"/>
        <w:jc w:val="both"/>
      </w:pPr>
      <w:r>
        <w:rPr>
          <w:i w:val="0"/>
        </w:rPr>
        <w:t xml:space="preserve">Cruz and Beckett's (2016) work on bioreceptive design extends the argument to architecture from the opposite direction. Rather than growing a material and then arresting it, bioreceptive design engineers construction surfaces to </w:t>
      </w:r>
      <w:r>
        <w:rPr>
          <w:i/>
        </w:rPr>
        <w:t>invite</w:t>
      </w:r>
      <w:r>
        <w:rPr>
          <w:i w:val="0"/>
        </w:rPr>
        <w:t xml:space="preserve"> biological colonisation, controlling the growth patterns of organisms on the building envelope. Here the design object is explicitly incomplete at handover: its intended appearance and performance depend on a colonisation process that unfolds over subsequent seasons. Against the preservation logic of Section 2.3, in which biocides and coatings exist precisely to prevent this, bioreceptive design inverts the permanence paradigm at the level of specification.</w:t>
      </w:r>
    </w:p>
    <w:p>
      <w:pPr>
        <w:pStyle w:val="Balk-1"/>
      </w:pPr>
      <w:r>
        <w:t>4.1.3. Living Artefacts and the Vocabulary of Livingness</w:t>
      </w:r>
    </w:p>
    <w:p>
      <w:pPr>
        <w:pStyle w:val="Paragraf"/>
        <w:jc w:val="both"/>
      </w:pPr>
      <w:r>
        <w:rPr>
          <w:i w:val="0"/>
        </w:rPr>
        <w:t>Karana et al. (2020) extend the argument through the concept of living artefacts: artefacts in which organisms are kept alive in the design outcome to achieve functionalities, expressions and interactions unavailable to inert materials. Their framework identifies livingness as simultaneously biological, ecological and experiential, and considers artefacts whose characteristics may include sensing, growing, adapting and eventually dying. This is significant because it locates temporal transformation within the material experience of the artefact rather than treating time as a background variable against which the artefact is measured.</w:t>
      </w:r>
    </w:p>
    <w:p>
      <w:pPr>
        <w:pStyle w:val="Paragraf"/>
        <w:jc w:val="both"/>
      </w:pPr>
      <w:r>
        <w:rPr>
          <w:i w:val="0"/>
        </w:rPr>
        <w:t xml:space="preserve">Ertürkan et al. (2022) provide empirical grounding. Through term-frequency analysis of the relevant literature and in-depth interviews with eight biodesigners, they develop a living materials vocabulary of forty-five descriptive items clustered under five themes: origin, making, agency and autonomy, </w:t>
      </w:r>
      <w:r>
        <w:rPr>
          <w:i/>
        </w:rPr>
        <w:t>temporality</w:t>
      </w:r>
      <w:r>
        <w:rPr>
          <w:i w:val="0"/>
        </w:rPr>
        <w:t>, and impact. That temporality emerges inductively as one of five organising themes, from practitioners' own accounts rather than from a theoretical imposition, is direct evidence for the article's central claim. Designers working with living materials find that they cannot describe their materials without describing time.</w:t>
      </w:r>
    </w:p>
    <w:p>
      <w:pPr>
        <w:pStyle w:val="Balk-1"/>
      </w:pPr>
      <w:r>
        <w:t>4.1.4. Material Agency and Distributed Authorship</w:t>
      </w:r>
    </w:p>
    <w:p>
      <w:pPr>
        <w:pStyle w:val="Paragraf"/>
        <w:jc w:val="both"/>
      </w:pPr>
      <w:r>
        <w:rPr>
          <w:i w:val="0"/>
        </w:rPr>
        <w:t>Biodesign also challenges a purely instrumental understanding of materiality. New materialist perspectives have emphasised that matter should not be treated as passive substance subordinated to human intention. Bennett (2010) conceptualises matter as possessing capacities that participate in assemblages and produce effects beyond deliberate human intention. Ingold (2007, 2013) approaches making as an ongoing correspondence with materials, a following of forces and flows, rather than the imposition of form upon inert matter, and criticises the concept of materiality itself for abstracting away from the properties materials actually have. Barad's (2007) agential realism radicalises the position: entities do not precede their relations but emerge through intra-action, so that the boundary between designer and material is an effect of the practice rather than its starting point.</w:t>
      </w:r>
    </w:p>
    <w:p>
      <w:pPr>
        <w:pStyle w:val="Paragraf"/>
        <w:jc w:val="both"/>
      </w:pPr>
      <w:r>
        <w:rPr>
          <w:i w:val="0"/>
        </w:rPr>
        <w:t>This orientation has become consequential for design research. Luck (2025) characterises the new materialist turn in design research as a shift toward material agency, relationality, process and becoming-with, and toward an understanding of design as world-making rather than problem-solving. Such approaches do not eliminate human design intention; they complicate the assumption that outcomes are produced exclusively through human control.</w:t>
      </w:r>
    </w:p>
    <w:p>
      <w:pPr>
        <w:pStyle w:val="Paragraf"/>
        <w:jc w:val="both"/>
      </w:pPr>
      <w:r>
        <w:rPr>
          <w:i w:val="0"/>
        </w:rPr>
        <w:t>Within biodesign this is particularly acute, because biological systems possess behaviours that are only partially predictable and only partially controllable. Designing with living organisms involves negotiation with growth conditions, environmental variables, contamination risk, metabolic rates and organism response (Camere and Karana, 2018; Karana et al., 2018; Karana et al., 2020). Design becomes less a matter of fixing a final state and more a matter of establishing conditions under which a process may unfold. The authorship of the outcome is, in a non-metaphorical sense, distributed.</w:t>
      </w:r>
    </w:p>
    <w:p>
      <w:pPr>
        <w:pStyle w:val="Balk-1"/>
      </w:pPr>
      <w:r>
        <w:t>4.1.5. Care, Maintenance and Cohabitation</w:t>
      </w:r>
    </w:p>
    <w:p>
      <w:pPr>
        <w:pStyle w:val="Paragraf"/>
        <w:jc w:val="both"/>
      </w:pPr>
      <w:r>
        <w:rPr>
          <w:i w:val="0"/>
        </w:rPr>
        <w:t>Because living artefacts remain metabolically active, they require ongoing conditions of humidity, temperature, light and nutrients to persist. Karana et al. (2020) accordingly foreground care, symbiosis, cohabitation and adaptation in their account of living artefacts.</w:t>
      </w:r>
    </w:p>
    <w:p>
      <w:pPr>
        <w:pStyle w:val="Paragraf"/>
        <w:jc w:val="both"/>
      </w:pPr>
      <w:r>
        <w:rPr>
          <w:i w:val="0"/>
        </w:rPr>
        <w:t>This reframes maintenance. Under the permanence paradigm, maintenance is remedial: it counteracts a drift away from the designed state. Under a living-materials paradigm, care is constitutive: it is a condition of the artefact's continued existence rather than a repair of its deviation. Puig de la Bellacasa (2017) argues that care in more-than-human worlds involves temporalities that resist the productivist compression of time, requiring attentiveness at the pace of the cared-for rather than the carer. Applied to design, this suggests that a temporality-oriented practice does not merely tolerate slower or less controllable processes but organises itself around them.</w:t>
      </w:r>
    </w:p>
    <w:p>
      <w:pPr>
        <w:pStyle w:val="Balk-1"/>
      </w:pPr>
      <w:r>
        <w:t>4.1.6. From Product Lifespan to Material Lifecycle</w:t>
      </w:r>
    </w:p>
    <w:p>
      <w:pPr>
        <w:pStyle w:val="Paragraf"/>
        <w:jc w:val="both"/>
      </w:pPr>
      <w:r>
        <w:rPr>
          <w:i w:val="0"/>
        </w:rPr>
        <w:t>The permanence paradigm evaluates materials through the duration of the finished product. Biodesign makes a different temporal scale visible: the lifecycle of matter. The relevant sequence may include cultivation, harvesting, fabrication, use, transformation, senescence, decomposition and reintegration into a biological cycle. Material value can therefore be considered through the relationships between temporal stages rather than through duration alone, a position congruent with the biological-nutrient logic of cradle-to-cradle thinking (McDonough and Braungart, 2002) and with circular design strategy (Bocken et al., 2016), but grounded in material process rather than in system modelling.</w:t>
      </w:r>
    </w:p>
    <w:p>
      <w:pPr>
        <w:pStyle w:val="Paragraf"/>
        <w:jc w:val="both"/>
      </w:pPr>
      <w:r>
        <w:rPr>
          <w:i w:val="0"/>
        </w:rPr>
        <w:t>This distinction matters because a shorter product lifespan does not necessarily imply lower environmental value, just as a longer lifespan does not automatically imply higher value. The environmental implications of a material depend on the wider system within which its transformation occurs. A temporality-oriented perspective therefore requires attention to the pathways through which matter moves, and not only to the length of time for which a particular form is held stable. Tsing's (2015) account of fungal ecologies in disturbed landscapes offers a useful figure here: decomposition is not the end of a process but the mechanism by which life continues in ruined conditions. For design, this suggests that the terminus of a product's use phase can be specified as a transition rather than as a failure state.</w:t>
      </w:r>
    </w:p>
    <w:p>
      <w:pPr>
        <w:pStyle w:val="Balk-1"/>
      </w:pPr>
      <w:r>
        <w:t>4.1.7. Critical Caveats: Biodesign Is Not Automatically Ecological</w:t>
      </w:r>
    </w:p>
    <w:p>
      <w:pPr>
        <w:pStyle w:val="Paragraf"/>
        <w:jc w:val="both"/>
      </w:pPr>
      <w:r>
        <w:rPr>
          <w:i w:val="0"/>
        </w:rPr>
        <w:t>An argument that positions biodesign as a corrective to permanence must resist the assumption that biological origin guarantees ecological benefit. Three caveats are necessary.</w:t>
      </w:r>
    </w:p>
    <w:p>
      <w:pPr>
        <w:pStyle w:val="Paragraf"/>
        <w:jc w:val="both"/>
      </w:pPr>
      <w:r>
        <w:rPr>
          <w:i w:val="0"/>
        </w:rPr>
        <w:t>First, biodegradability is not regeneration. Zhu and Wang (2020) document the gap between the claims made for biodegradable plastics and their behaviour under real disposal conditions: many require sustained industrial composting temperatures unavailable in the waste streams they actually enter, and degradation rates in ambient environments are frequently negligible over multi-year periods. A material's capacity to decompose under laboratory conditions establishes little about its ecological trajectory, and the label can function as greenwashing. A temporality-oriented design theory that ignored this would reproduce, in inverted form, the error it diagnoses in the permanence paradigm: taking a single material property as a proxy for ecological value.</w:t>
      </w:r>
    </w:p>
    <w:p>
      <w:pPr>
        <w:pStyle w:val="Paragraf"/>
        <w:jc w:val="both"/>
      </w:pPr>
      <w:r>
        <w:rPr>
          <w:i w:val="0"/>
        </w:rPr>
        <w:t>Second, biodesign carries political and economic entanglements that its environmental framing can obscure. Ginsberg and Chieza (2018) explicitly unpack the narrative of biodesign as environmental saviour and situate it within economic, colonial and historical relations, raising questions of whose biological knowledge is drawn upon, whose land supplies feedstock, and whose futures the technology serves. Collet (2021) similarly notes that designing with living systems raises governance questions that design discourse is not yet well equipped to address.</w:t>
      </w:r>
    </w:p>
    <w:p>
      <w:pPr>
        <w:pStyle w:val="Paragraf"/>
        <w:jc w:val="both"/>
      </w:pPr>
      <w:r>
        <w:rPr>
          <w:i w:val="0"/>
        </w:rPr>
        <w:t xml:space="preserve">Third, the production conditions of biofabricated materials are not automatically low-impact. Sterile facilities, controlled atmospheres, substrate transport and post-processing all carry burdens that growth itself does not eliminate (Jones et al., 2020). The claim advanced here is therefore deliberately restricted: biodesign is analytically valuable because it makes material temporality </w:t>
      </w:r>
      <w:r>
        <w:rPr>
          <w:i/>
        </w:rPr>
        <w:t>unavoidable</w:t>
      </w:r>
      <w:r>
        <w:rPr>
          <w:i w:val="0"/>
        </w:rPr>
        <w:t xml:space="preserve"> and thereby exposes an assumption in design theory. It is not offered as an ecological solution, and its conceptual contribution does not depend on its environmental performance.</w:t>
      </w:r>
    </w:p>
    <w:p>
      <w:pPr>
        <w:pStyle w:val="Paragraf"/>
        <w:jc w:val="both"/>
      </w:pPr>
      <w:r>
        <w:rPr>
          <w:i w:val="0"/>
        </w:rPr>
        <w:t>Taken together, these characteristics support the interpretation of biodesign as a temporal practice in a strong sense. It does not simply introduce new biological sources into an otherwise conventional design process; it makes growth, transformation, adaptation, senescence, decay and regeneration into dimensions of material experience that cannot be bracketed. If materials are understood as processes rather than static entities, the permanence of a particular form appears as a temporary stabilisation rather than as the fundamental condition of existence.</w:t>
      </w:r>
    </w:p>
    <w:p>
      <w:pPr>
        <w:pStyle w:val="Balk-1"/>
      </w:pPr>
      <w:r>
        <w:t>4.2. Temporality as a Design Value</w:t>
      </w:r>
    </w:p>
    <w:p>
      <w:pPr>
        <w:pStyle w:val="Balk-1"/>
      </w:pPr>
      <w:r>
        <w:t>4.2.1. Impermanence as an Ontological Condition of Becoming</w:t>
      </w:r>
    </w:p>
    <w:p>
      <w:pPr>
        <w:pStyle w:val="Paragraf"/>
        <w:jc w:val="both"/>
      </w:pPr>
      <w:r>
        <w:rPr>
          <w:i w:val="0"/>
        </w:rPr>
        <w:t>Within dominant design discourse, impermanence is associated with instability, deterioration, fragility or failure, and design quality is evaluated according to an artefact's ability to maintain form, function and performance. Process-philosophical approaches challenge the assumption underlying this evaluation: that stability is the natural condition of material existence and change the exception requiring explanation.</w:t>
      </w:r>
    </w:p>
    <w:p>
      <w:pPr>
        <w:pStyle w:val="Paragraf"/>
        <w:jc w:val="both"/>
      </w:pPr>
      <w:r>
        <w:rPr>
          <w:i w:val="0"/>
        </w:rPr>
        <w:t>Bergson's (1907/1998) concept of duration provides the foundational statement. Reality, in his account, is continuous movement rather than a sequence of isolated states, and the analytical habit of decomposing movement into positions is a practical convenience that misdescribes what it analyses. Change is not something that happens to an entity; it is constitutive of the entity's existence. A stable state is therefore a temporary configuration within an ongoing process. Whitehead's (1929/1978) process metaphysics develops the position systematically: what we treat as enduring objects are better understood as patterns of process stable enough at human scales to appear as things.</w:t>
      </w:r>
    </w:p>
    <w:p>
      <w:pPr>
        <w:pStyle w:val="Paragraf"/>
        <w:jc w:val="both"/>
      </w:pPr>
      <w:r>
        <w:rPr>
          <w:i w:val="0"/>
        </w:rPr>
        <w:t>Ingold (2007, 2013) brings this into the domain of making. His critique of materiality as an abstraction, and his account of things as gatherings of the movements, forces and materials through which they come into being, dissolve the object-centred framing that the permanence paradigm requires. Bennett (2010) supplies the complementary claim: matter's capacity to produce effects beyond human intention means that treating it as inert is not merely a metaphysical error but a practical one.</w:t>
      </w:r>
    </w:p>
    <w:p>
      <w:pPr>
        <w:pStyle w:val="Paragraf"/>
        <w:jc w:val="both"/>
      </w:pPr>
      <w:r>
        <w:rPr>
          <w:i w:val="0"/>
        </w:rPr>
        <w:t>From these perspectives, impermanence is not reducible to disappearance or failure. It can be understood as an ontological condition of becoming, a condition in which entities participate continuously in transformation, interaction and relational exchange. Permanence, correspondingly, is a temporary stabilisation, an achievement maintained at a cost, rather than the natural opposite of change.</w:t>
      </w:r>
    </w:p>
    <w:p>
      <w:pPr>
        <w:pStyle w:val="Paragraf"/>
        <w:jc w:val="both"/>
      </w:pPr>
      <w:r>
        <w:rPr>
          <w:i w:val="0"/>
        </w:rPr>
        <w:t>Recognising this has a direct consequence for design evaluation. If stability is achieved rather than given, then the resources required to maintain it, among them coatings, biocides, climate control, maintenance labour and material selection for resistance, are properly counted as part of the design's cost rather than as neutral background. The permanence paradigm has tended to make these costs invisible by treating the stable state as the default.</w:t>
      </w:r>
    </w:p>
    <w:p>
      <w:pPr>
        <w:pStyle w:val="Balk-1"/>
      </w:pPr>
      <w:r>
        <w:t>4.2.2. From Oppositions to Orientations</w:t>
      </w:r>
    </w:p>
    <w:p>
      <w:pPr>
        <w:pStyle w:val="Paragraf"/>
        <w:jc w:val="both"/>
      </w:pPr>
      <w:r>
        <w:rPr>
          <w:i w:val="0"/>
        </w:rPr>
        <w:t>Temporality can be articulated through a set of paired design orientations (Table 1). These pairs should not be read as mutually exclusive categories or as a normative hierarchy. They describe a movement of emphasis from a paradigm centred on stabilisation toward one that also recognises transformation and relational process.</w:t>
      </w:r>
    </w:p>
    <w:p>
      <w:pPr>
        <w:pStyle w:val="Paragraf"/>
        <w:sectPr w:rsidR="006A6232" w:rsidRPr="006A6232" w:rsidSect="00327F76">
          <w:type w:val="continuous"/>
          <w:pgSz w:w="11906" w:h="16838" w:code="9"/>
          <w:pgMar w:top="1701" w:right="851" w:bottom="1418" w:left="851" w:header="1134" w:footer="851" w:gutter="0"/>
          <w:cols w:num="2" w:space="709"/>
          <w:docGrid w:linePitch="360"/>
        </w:sectPr>
      </w:pPr>
    </w:p>
    <w:p>
      <w:pPr>
        <w:pStyle w:val="Paragraf"/>
        <w:jc w:val="center"/>
      </w:pPr>
      <w:r>
        <w:rPr>
          <w:b/>
          <w:i w:val="0"/>
        </w:rPr>
        <w:t>Table 1. Paired Orientations in the Temporal Value Structure of Design</w:t>
      </w:r>
    </w:p>
    <w:tbl>
      <w:tblPr>
        <w:tblStyle w:val="TabloKlavuzu"/>
        <w:tblW w:type="auto" w:w="0"/>
        <w:tblLayout w:type="fixed"/>
        <w:tblLook w:firstColumn="1" w:firstRow="1" w:lastColumn="0" w:lastRow="0" w:noHBand="0" w:noVBand="1" w:val="04A0"/>
      </w:tblPr>
      <w:tblGrid>
        <w:gridCol w:w="3401"/>
        <w:gridCol w:w="3401"/>
        <w:gridCol w:w="3401"/>
      </w:tblGrid>
      <w:tr>
        <w:tc>
          <w:tcPr>
            <w:tcW w:type="dxa" w:w="2736"/>
          </w:tcPr>
          <w:p>
            <w:pPr>
              <w:spacing w:before="0" w:after="0"/>
            </w:pPr>
            <w:r>
              <w:rPr>
                <w:b/>
                <w:i w:val="0"/>
              </w:rPr>
              <w:t>Permanence-oriented value</w:t>
            </w:r>
          </w:p>
        </w:tc>
        <w:tc>
          <w:tcPr>
            <w:tcW w:type="dxa" w:w="2736"/>
          </w:tcPr>
          <w:p>
            <w:pPr>
              <w:spacing w:before="0" w:after="0"/>
            </w:pPr>
            <w:r>
              <w:rPr>
                <w:b/>
                <w:i w:val="0"/>
              </w:rPr>
              <w:t>Temporality-oriented value</w:t>
            </w:r>
          </w:p>
        </w:tc>
        <w:tc>
          <w:tcPr>
            <w:tcW w:type="dxa" w:w="4608"/>
          </w:tcPr>
          <w:p>
            <w:pPr>
              <w:spacing w:before="0" w:after="0"/>
            </w:pPr>
            <w:r>
              <w:rPr>
                <w:b/>
                <w:i w:val="0"/>
              </w:rPr>
              <w:t>What changes in the design question</w:t>
            </w:r>
          </w:p>
        </w:tc>
      </w:tr>
      <w:tr>
        <w:tc>
          <w:tcPr>
            <w:tcW w:type="dxa" w:w="2736"/>
          </w:tcPr>
          <w:p>
            <w:pPr>
              <w:spacing w:before="0" w:after="0"/>
            </w:pPr>
            <w:r>
              <w:rPr>
                <w:i w:val="0"/>
              </w:rPr>
              <w:t>Stability</w:t>
            </w:r>
          </w:p>
        </w:tc>
        <w:tc>
          <w:tcPr>
            <w:tcW w:type="dxa" w:w="2736"/>
          </w:tcPr>
          <w:p>
            <w:pPr>
              <w:spacing w:before="0" w:after="0"/>
            </w:pPr>
            <w:r>
              <w:rPr>
                <w:i w:val="0"/>
              </w:rPr>
              <w:t>Transformation</w:t>
            </w:r>
          </w:p>
        </w:tc>
        <w:tc>
          <w:tcPr>
            <w:tcW w:type="dxa" w:w="4608"/>
          </w:tcPr>
          <w:p>
            <w:pPr>
              <w:spacing w:before="0" w:after="0"/>
            </w:pPr>
            <w:r>
              <w:rPr>
                <w:i w:val="0"/>
              </w:rPr>
              <w:t>From "how is the state held?" to "how does the state move?"</w:t>
            </w:r>
          </w:p>
        </w:tc>
      </w:tr>
      <w:tr>
        <w:tc>
          <w:tcPr>
            <w:tcW w:type="dxa" w:w="2736"/>
          </w:tcPr>
          <w:p>
            <w:pPr>
              <w:spacing w:before="0" w:after="0"/>
            </w:pPr>
            <w:r>
              <w:rPr>
                <w:i w:val="0"/>
              </w:rPr>
              <w:t>Durability</w:t>
            </w:r>
          </w:p>
        </w:tc>
        <w:tc>
          <w:tcPr>
            <w:tcW w:type="dxa" w:w="2736"/>
          </w:tcPr>
          <w:p>
            <w:pPr>
              <w:spacing w:before="0" w:after="0"/>
            </w:pPr>
            <w:r>
              <w:rPr>
                <w:i w:val="0"/>
              </w:rPr>
              <w:t>Adaptability</w:t>
            </w:r>
          </w:p>
        </w:tc>
        <w:tc>
          <w:tcPr>
            <w:tcW w:type="dxa" w:w="4608"/>
          </w:tcPr>
          <w:p>
            <w:pPr>
              <w:spacing w:before="0" w:after="0"/>
            </w:pPr>
            <w:r>
              <w:rPr>
                <w:i w:val="0"/>
              </w:rPr>
              <w:t>From resisting change to accommodating it</w:t>
            </w:r>
          </w:p>
        </w:tc>
      </w:tr>
      <w:tr>
        <w:tc>
          <w:tcPr>
            <w:tcW w:type="dxa" w:w="2736"/>
          </w:tcPr>
          <w:p>
            <w:pPr>
              <w:spacing w:before="0" w:after="0"/>
            </w:pPr>
            <w:r>
              <w:rPr>
                <w:i w:val="0"/>
              </w:rPr>
              <w:t>Control</w:t>
            </w:r>
          </w:p>
        </w:tc>
        <w:tc>
          <w:tcPr>
            <w:tcW w:type="dxa" w:w="2736"/>
          </w:tcPr>
          <w:p>
            <w:pPr>
              <w:spacing w:before="0" w:after="0"/>
            </w:pPr>
            <w:r>
              <w:rPr>
                <w:i w:val="0"/>
              </w:rPr>
              <w:t>Co-existence</w:t>
            </w:r>
          </w:p>
        </w:tc>
        <w:tc>
          <w:tcPr>
            <w:tcW w:type="dxa" w:w="4608"/>
          </w:tcPr>
          <w:p>
            <w:pPr>
              <w:spacing w:before="0" w:after="0"/>
            </w:pPr>
            <w:r>
              <w:rPr>
                <w:i w:val="0"/>
              </w:rPr>
              <w:t>From determining outcomes to establishing conditions</w:t>
            </w:r>
          </w:p>
        </w:tc>
      </w:tr>
      <w:tr>
        <w:tc>
          <w:tcPr>
            <w:tcW w:type="dxa" w:w="2736"/>
          </w:tcPr>
          <w:p>
            <w:pPr>
              <w:spacing w:before="0" w:after="0"/>
            </w:pPr>
            <w:r>
              <w:rPr>
                <w:i w:val="0"/>
              </w:rPr>
              <w:t>Preservation</w:t>
            </w:r>
          </w:p>
        </w:tc>
        <w:tc>
          <w:tcPr>
            <w:tcW w:type="dxa" w:w="2736"/>
          </w:tcPr>
          <w:p>
            <w:pPr>
              <w:spacing w:before="0" w:after="0"/>
            </w:pPr>
            <w:r>
              <w:rPr>
                <w:i w:val="0"/>
              </w:rPr>
              <w:t>Regeneration</w:t>
            </w:r>
          </w:p>
        </w:tc>
        <w:tc>
          <w:tcPr>
            <w:tcW w:type="dxa" w:w="4608"/>
          </w:tcPr>
          <w:p>
            <w:pPr>
              <w:spacing w:before="0" w:after="0"/>
            </w:pPr>
            <w:r>
              <w:rPr>
                <w:i w:val="0"/>
              </w:rPr>
              <w:t>From arresting process to enabling its continuation</w:t>
            </w:r>
          </w:p>
        </w:tc>
      </w:tr>
      <w:tr>
        <w:tc>
          <w:tcPr>
            <w:tcW w:type="dxa" w:w="2736"/>
          </w:tcPr>
          <w:p>
            <w:pPr>
              <w:spacing w:before="0" w:after="0"/>
            </w:pPr>
            <w:r>
              <w:rPr>
                <w:i w:val="0"/>
              </w:rPr>
              <w:t>Fixed form</w:t>
            </w:r>
          </w:p>
        </w:tc>
        <w:tc>
          <w:tcPr>
            <w:tcW w:type="dxa" w:w="2736"/>
          </w:tcPr>
          <w:p>
            <w:pPr>
              <w:spacing w:before="0" w:after="0"/>
            </w:pPr>
            <w:r>
              <w:rPr>
                <w:i w:val="0"/>
              </w:rPr>
              <w:t>Becoming</w:t>
            </w:r>
          </w:p>
        </w:tc>
        <w:tc>
          <w:tcPr>
            <w:tcW w:type="dxa" w:w="4608"/>
          </w:tcPr>
          <w:p>
            <w:pPr>
              <w:spacing w:before="0" w:after="0"/>
            </w:pPr>
            <w:r>
              <w:rPr>
                <w:i w:val="0"/>
              </w:rPr>
              <w:t>From the object as result to the object as phase</w:t>
            </w:r>
          </w:p>
        </w:tc>
      </w:tr>
      <w:tr>
        <w:tc>
          <w:tcPr>
            <w:tcW w:type="dxa" w:w="2736"/>
          </w:tcPr>
          <w:p>
            <w:pPr>
              <w:spacing w:before="0" w:after="0"/>
            </w:pPr>
            <w:r>
              <w:rPr>
                <w:i w:val="0"/>
              </w:rPr>
              <w:t>Product</w:t>
            </w:r>
          </w:p>
        </w:tc>
        <w:tc>
          <w:tcPr>
            <w:tcW w:type="dxa" w:w="2736"/>
          </w:tcPr>
          <w:p>
            <w:pPr>
              <w:spacing w:before="0" w:after="0"/>
            </w:pPr>
            <w:r>
              <w:rPr>
                <w:i w:val="0"/>
              </w:rPr>
              <w:t>Process</w:t>
            </w:r>
          </w:p>
        </w:tc>
        <w:tc>
          <w:tcPr>
            <w:tcW w:type="dxa" w:w="4608"/>
          </w:tcPr>
          <w:p>
            <w:pPr>
              <w:spacing w:before="0" w:after="0"/>
            </w:pPr>
            <w:r>
              <w:rPr>
                <w:i w:val="0"/>
              </w:rPr>
              <w:t>From artefact boundaries to material trajectories</w:t>
            </w:r>
          </w:p>
        </w:tc>
      </w:tr>
      <w:tr>
        <w:tc>
          <w:tcPr>
            <w:tcW w:type="dxa" w:w="2736"/>
          </w:tcPr>
          <w:p>
            <w:pPr>
              <w:spacing w:before="0" w:after="0"/>
            </w:pPr>
            <w:r>
              <w:rPr>
                <w:i w:val="0"/>
              </w:rPr>
              <w:t>Material resistance</w:t>
            </w:r>
          </w:p>
        </w:tc>
        <w:tc>
          <w:tcPr>
            <w:tcW w:type="dxa" w:w="2736"/>
          </w:tcPr>
          <w:p>
            <w:pPr>
              <w:spacing w:before="0" w:after="0"/>
            </w:pPr>
            <w:r>
              <w:rPr>
                <w:i w:val="0"/>
              </w:rPr>
              <w:t>Material agency</w:t>
            </w:r>
          </w:p>
        </w:tc>
        <w:tc>
          <w:tcPr>
            <w:tcW w:type="dxa" w:w="4608"/>
          </w:tcPr>
          <w:p>
            <w:pPr>
              <w:spacing w:before="0" w:after="0"/>
            </w:pPr>
            <w:r>
              <w:rPr>
                <w:i w:val="0"/>
              </w:rPr>
              <w:t>From matter as substrate to matter as participant</w:t>
            </w:r>
          </w:p>
        </w:tc>
      </w:tr>
      <w:tr>
        <w:tc>
          <w:tcPr>
            <w:tcW w:type="dxa" w:w="2736"/>
          </w:tcPr>
          <w:p>
            <w:pPr>
              <w:spacing w:before="0" w:after="0"/>
            </w:pPr>
            <w:r>
              <w:rPr>
                <w:i w:val="0"/>
              </w:rPr>
              <w:t>Linear lifespan</w:t>
            </w:r>
          </w:p>
        </w:tc>
        <w:tc>
          <w:tcPr>
            <w:tcW w:type="dxa" w:w="2736"/>
          </w:tcPr>
          <w:p>
            <w:pPr>
              <w:spacing w:before="0" w:after="0"/>
            </w:pPr>
            <w:r>
              <w:rPr>
                <w:i w:val="0"/>
              </w:rPr>
              <w:t>Cyclical lifecycle</w:t>
            </w:r>
          </w:p>
        </w:tc>
        <w:tc>
          <w:tcPr>
            <w:tcW w:type="dxa" w:w="4608"/>
          </w:tcPr>
          <w:p>
            <w:pPr>
              <w:spacing w:before="0" w:after="0"/>
            </w:pPr>
            <w:r>
              <w:rPr>
                <w:i w:val="0"/>
              </w:rPr>
              <w:t>From duration to circulation</w:t>
            </w:r>
          </w:p>
        </w:tc>
      </w:tr>
      <w:tr>
        <w:tc>
          <w:tcPr>
            <w:tcW w:type="dxa" w:w="2736"/>
          </w:tcPr>
          <w:p>
            <w:pPr>
              <w:spacing w:before="0" w:after="0"/>
            </w:pPr>
            <w:r>
              <w:rPr>
                <w:i w:val="0"/>
              </w:rPr>
              <w:t>Human control</w:t>
            </w:r>
          </w:p>
        </w:tc>
        <w:tc>
          <w:tcPr>
            <w:tcW w:type="dxa" w:w="2736"/>
          </w:tcPr>
          <w:p>
            <w:pPr>
              <w:spacing w:before="0" w:after="0"/>
            </w:pPr>
            <w:r>
              <w:rPr>
                <w:i w:val="0"/>
              </w:rPr>
              <w:t>More-than-human relations</w:t>
            </w:r>
          </w:p>
        </w:tc>
        <w:tc>
          <w:tcPr>
            <w:tcW w:type="dxa" w:w="4608"/>
          </w:tcPr>
          <w:p>
            <w:pPr>
              <w:spacing w:before="0" w:after="0"/>
            </w:pPr>
            <w:r>
              <w:rPr>
                <w:i w:val="0"/>
              </w:rPr>
              <w:t>From single authorship to distributed authorship</w:t>
            </w:r>
          </w:p>
        </w:tc>
      </w:tr>
    </w:tbl>
    <w:p>
      <w:pPr>
        <w:pStyle w:val="Paragraf"/>
        <w:sectPr w:rsidR="006A6232" w:rsidRPr="006A6232" w:rsidSect="00327F76">
          <w:type w:val="continuous"/>
          <w:pgSz w:w="11906" w:h="16838" w:code="9"/>
          <w:pgMar w:top="1701" w:right="851" w:bottom="1418" w:left="851" w:header="1134" w:footer="851" w:gutter="0"/>
          <w:cols w:space="709"/>
          <w:docGrid w:linePitch="360"/>
        </w:sectPr>
      </w:pPr>
    </w:p>
    <w:p>
      <w:pPr>
        <w:pStyle w:val="Paragraf"/>
        <w:jc w:val="both"/>
      </w:pPr>
      <w:r>
        <w:rPr>
          <w:i w:val="0"/>
        </w:rPr>
        <w:t>The third column is included deliberately. A table of paired terms risks functioning as rhetoric rather than analysis; specifying what each pair changes about the design question makes the framework usable and falsifiable, since a design proposal either does or does not shift the question in the stated way.</w:t>
      </w:r>
    </w:p>
    <w:p>
      <w:pPr>
        <w:pStyle w:val="Balk-1"/>
      </w:pPr>
      <w:r>
        <w:t>4.2.3. Six Dimensions of Design Temporality</w:t>
      </w:r>
    </w:p>
    <w:p>
      <w:pPr>
        <w:pStyle w:val="Paragraf"/>
        <w:jc w:val="both"/>
      </w:pPr>
      <w:r>
        <w:rPr>
          <w:i w:val="0"/>
        </w:rPr>
        <w:t>Paired orientations establish a direction but do not permit specification. A designer persuaded by the argument still requires a means of stating what kind of temporality is intended, and a reviewer requires a means of assessing whether the intention was realised. Six dimensions are proposed as the analytical layer of the framework (Table 2). They are derived from the temporal conditions coded in the biodesign corpus and articulated through the philosophical vocabulary developed above.</w:t>
      </w:r>
    </w:p>
    <w:p>
      <w:pPr>
        <w:pStyle w:val="Paragraf"/>
        <w:sectPr w:rsidR="006A6232" w:rsidRPr="006A6232" w:rsidSect="00327F76">
          <w:type w:val="continuous"/>
          <w:pgSz w:w="11906" w:h="16838" w:code="9"/>
          <w:pgMar w:top="1701" w:right="851" w:bottom="1418" w:left="851" w:header="1134" w:footer="851" w:gutter="0"/>
          <w:cols w:num="2" w:space="709"/>
          <w:docGrid w:linePitch="360"/>
        </w:sectPr>
      </w:pPr>
    </w:p>
    <w:p>
      <w:pPr>
        <w:pStyle w:val="Paragraf"/>
        <w:jc w:val="center"/>
      </w:pPr>
      <w:r>
        <w:rPr>
          <w:b/>
          <w:i w:val="0"/>
        </w:rPr>
        <w:t>Table 2. Dimensions for Specifying Temporal Intent in Design</w:t>
      </w:r>
    </w:p>
    <w:tbl>
      <w:tblPr>
        <w:tblStyle w:val="TabloKlavuzu"/>
        <w:tblW w:type="auto" w:w="0"/>
        <w:tblLayout w:type="fixed"/>
        <w:tblLook w:firstColumn="1" w:firstRow="1" w:lastColumn="0" w:lastRow="0" w:noHBand="0" w:noVBand="1" w:val="04A0"/>
      </w:tblPr>
      <w:tblGrid>
        <w:gridCol w:w="3401"/>
        <w:gridCol w:w="3401"/>
        <w:gridCol w:w="3401"/>
      </w:tblGrid>
      <w:tr>
        <w:tc>
          <w:tcPr>
            <w:tcW w:type="dxa" w:w="2736"/>
          </w:tcPr>
          <w:p>
            <w:pPr>
              <w:spacing w:before="0" w:after="0"/>
            </w:pPr>
            <w:r>
              <w:rPr>
                <w:b/>
                <w:i w:val="0"/>
              </w:rPr>
              <w:t>Dimension</w:t>
            </w:r>
          </w:p>
        </w:tc>
        <w:tc>
          <w:tcPr>
            <w:tcW w:type="dxa" w:w="2736"/>
          </w:tcPr>
          <w:p>
            <w:pPr>
              <w:spacing w:before="0" w:after="0"/>
            </w:pPr>
            <w:r>
              <w:rPr>
                <w:b/>
                <w:i w:val="0"/>
              </w:rPr>
              <w:t>Question it answers</w:t>
            </w:r>
          </w:p>
        </w:tc>
        <w:tc>
          <w:tcPr>
            <w:tcW w:type="dxa" w:w="4608"/>
          </w:tcPr>
          <w:p>
            <w:pPr>
              <w:spacing w:before="0" w:after="0"/>
            </w:pPr>
            <w:r>
              <w:rPr>
                <w:b/>
                <w:i w:val="0"/>
              </w:rPr>
              <w:t>Range</w:t>
            </w:r>
          </w:p>
        </w:tc>
      </w:tr>
      <w:tr>
        <w:tc>
          <w:tcPr>
            <w:tcW w:type="dxa" w:w="2736"/>
          </w:tcPr>
          <w:p>
            <w:pPr>
              <w:spacing w:before="0" w:after="0"/>
            </w:pPr>
            <w:r>
              <w:rPr>
                <w:i w:val="0"/>
              </w:rPr>
              <w:t>Rate</w:t>
            </w:r>
          </w:p>
        </w:tc>
        <w:tc>
          <w:tcPr>
            <w:tcW w:type="dxa" w:w="2736"/>
          </w:tcPr>
          <w:p>
            <w:pPr>
              <w:spacing w:before="0" w:after="0"/>
            </w:pPr>
            <w:r>
              <w:rPr>
                <w:i w:val="0"/>
              </w:rPr>
              <w:t>How fast does the material change relative to the pace of use?</w:t>
            </w:r>
          </w:p>
        </w:tc>
        <w:tc>
          <w:tcPr>
            <w:tcW w:type="dxa" w:w="4608"/>
          </w:tcPr>
          <w:p>
            <w:pPr>
              <w:spacing w:before="0" w:after="0"/>
            </w:pPr>
            <w:r>
              <w:rPr>
                <w:i w:val="0"/>
              </w:rPr>
              <w:t>Imperceptible to faster than use</w:t>
            </w:r>
          </w:p>
        </w:tc>
      </w:tr>
      <w:tr>
        <w:tc>
          <w:tcPr>
            <w:tcW w:type="dxa" w:w="2736"/>
          </w:tcPr>
          <w:p>
            <w:pPr>
              <w:spacing w:before="0" w:after="0"/>
            </w:pPr>
            <w:r>
              <w:rPr>
                <w:i w:val="0"/>
              </w:rPr>
              <w:t>Directionality</w:t>
            </w:r>
          </w:p>
        </w:tc>
        <w:tc>
          <w:tcPr>
            <w:tcW w:type="dxa" w:w="2736"/>
          </w:tcPr>
          <w:p>
            <w:pPr>
              <w:spacing w:before="0" w:after="0"/>
            </w:pPr>
            <w:r>
              <w:rPr>
                <w:i w:val="0"/>
              </w:rPr>
              <w:t>Does change move toward a defined state, or is it open-ended?</w:t>
            </w:r>
          </w:p>
        </w:tc>
        <w:tc>
          <w:tcPr>
            <w:tcW w:type="dxa" w:w="4608"/>
          </w:tcPr>
          <w:p>
            <w:pPr>
              <w:spacing w:before="0" w:after="0"/>
            </w:pPr>
            <w:r>
              <w:rPr>
                <w:i w:val="0"/>
              </w:rPr>
              <w:t>Convergent to open-ended</w:t>
            </w:r>
          </w:p>
        </w:tc>
      </w:tr>
      <w:tr>
        <w:tc>
          <w:tcPr>
            <w:tcW w:type="dxa" w:w="2736"/>
          </w:tcPr>
          <w:p>
            <w:pPr>
              <w:spacing w:before="0" w:after="0"/>
            </w:pPr>
            <w:r>
              <w:rPr>
                <w:i w:val="0"/>
              </w:rPr>
              <w:t>Reversibility</w:t>
            </w:r>
          </w:p>
        </w:tc>
        <w:tc>
          <w:tcPr>
            <w:tcW w:type="dxa" w:w="2736"/>
          </w:tcPr>
          <w:p>
            <w:pPr>
              <w:spacing w:before="0" w:after="0"/>
            </w:pPr>
            <w:r>
              <w:rPr>
                <w:i w:val="0"/>
              </w:rPr>
              <w:t>Can a state be recovered, or is change cumulative?</w:t>
            </w:r>
          </w:p>
        </w:tc>
        <w:tc>
          <w:tcPr>
            <w:tcW w:type="dxa" w:w="4608"/>
          </w:tcPr>
          <w:p>
            <w:pPr>
              <w:spacing w:before="0" w:after="0"/>
            </w:pPr>
            <w:r>
              <w:rPr>
                <w:i w:val="0"/>
              </w:rPr>
              <w:t>Reversible to irreversible</w:t>
            </w:r>
          </w:p>
        </w:tc>
      </w:tr>
      <w:tr>
        <w:tc>
          <w:tcPr>
            <w:tcW w:type="dxa" w:w="2736"/>
          </w:tcPr>
          <w:p>
            <w:pPr>
              <w:spacing w:before="0" w:after="0"/>
            </w:pPr>
            <w:r>
              <w:rPr>
                <w:i w:val="0"/>
              </w:rPr>
              <w:t>Scale</w:t>
            </w:r>
          </w:p>
        </w:tc>
        <w:tc>
          <w:tcPr>
            <w:tcW w:type="dxa" w:w="2736"/>
          </w:tcPr>
          <w:p>
            <w:pPr>
              <w:spacing w:before="0" w:after="0"/>
            </w:pPr>
            <w:r>
              <w:rPr>
                <w:i w:val="0"/>
              </w:rPr>
              <w:t>Over what temporal horizon is the artefact assessed?</w:t>
            </w:r>
          </w:p>
        </w:tc>
        <w:tc>
          <w:tcPr>
            <w:tcW w:type="dxa" w:w="4608"/>
          </w:tcPr>
          <w:p>
            <w:pPr>
              <w:spacing w:before="0" w:after="0"/>
            </w:pPr>
            <w:r>
              <w:rPr>
                <w:i w:val="0"/>
              </w:rPr>
              <w:t>Use session to ecological time</w:t>
            </w:r>
          </w:p>
        </w:tc>
      </w:tr>
      <w:tr>
        <w:tc>
          <w:tcPr>
            <w:tcW w:type="dxa" w:w="2736"/>
          </w:tcPr>
          <w:p>
            <w:pPr>
              <w:spacing w:before="0" w:after="0"/>
            </w:pPr>
            <w:r>
              <w:rPr>
                <w:i w:val="0"/>
              </w:rPr>
              <w:t>Distribution of agency</w:t>
            </w:r>
          </w:p>
        </w:tc>
        <w:tc>
          <w:tcPr>
            <w:tcW w:type="dxa" w:w="2736"/>
          </w:tcPr>
          <w:p>
            <w:pPr>
              <w:spacing w:before="0" w:after="0"/>
            </w:pPr>
            <w:r>
              <w:rPr>
                <w:i w:val="0"/>
              </w:rPr>
              <w:t>Who or what determines the trajectory?</w:t>
            </w:r>
          </w:p>
        </w:tc>
        <w:tc>
          <w:tcPr>
            <w:tcW w:type="dxa" w:w="4608"/>
          </w:tcPr>
          <w:p>
            <w:pPr>
              <w:spacing w:before="0" w:after="0"/>
            </w:pPr>
            <w:r>
              <w:rPr>
                <w:i w:val="0"/>
              </w:rPr>
              <w:t>Designer-determined to organism-led</w:t>
            </w:r>
          </w:p>
        </w:tc>
      </w:tr>
      <w:tr>
        <w:tc>
          <w:tcPr>
            <w:tcW w:type="dxa" w:w="2736"/>
          </w:tcPr>
          <w:p>
            <w:pPr>
              <w:spacing w:before="0" w:after="0"/>
            </w:pPr>
            <w:r>
              <w:rPr>
                <w:i w:val="0"/>
              </w:rPr>
              <w:t>Terminus</w:t>
            </w:r>
          </w:p>
        </w:tc>
        <w:tc>
          <w:tcPr>
            <w:tcW w:type="dxa" w:w="2736"/>
          </w:tcPr>
          <w:p>
            <w:pPr>
              <w:spacing w:before="0" w:after="0"/>
            </w:pPr>
            <w:r>
              <w:rPr>
                <w:i w:val="0"/>
              </w:rPr>
              <w:t>What is the end condition, and into what system does matter pass?</w:t>
            </w:r>
          </w:p>
        </w:tc>
        <w:tc>
          <w:tcPr>
            <w:tcW w:type="dxa" w:w="4608"/>
          </w:tcPr>
          <w:p>
            <w:pPr>
              <w:spacing w:before="0" w:after="0"/>
            </w:pPr>
            <w:r>
              <w:rPr>
                <w:i w:val="0"/>
              </w:rPr>
              <w:t>Undefined to biological cycle</w:t>
            </w:r>
          </w:p>
        </w:tc>
      </w:tr>
    </w:tbl>
    <w:p>
      <w:pPr>
        <w:pStyle w:val="Paragraf"/>
        <w:sectPr w:rsidR="006A6232" w:rsidRPr="006A6232" w:rsidSect="00327F76">
          <w:type w:val="continuous"/>
          <w:pgSz w:w="11906" w:h="16838" w:code="9"/>
          <w:pgMar w:top="1701" w:right="851" w:bottom="1418" w:left="851" w:header="1134" w:footer="851" w:gutter="0"/>
          <w:cols w:space="709"/>
          <w:docGrid w:linePitch="360"/>
        </w:sectPr>
      </w:pPr>
    </w:p>
    <w:p>
      <w:pPr>
        <w:pStyle w:val="Paragraf"/>
        <w:jc w:val="both"/>
      </w:pPr>
      <w:r>
        <w:rPr>
          <w:i w:val="0"/>
        </w:rPr>
        <w:t>Figure 1 works the dimensions through a single comparison. Expanded polystyrene protective packaging and its mycelium-composite substitute serve the same function in the same form factor, the substitution Jones et al. (2020) identify as one of the field's most developed industrial applications, which isolates temporal specification from every other variable. The two artefacts separate on all six dimensions, and the separations are not reducible to one another: the shift in terminus is a claim about waste systems, the shift in distribution of agency a claim about who determines form, and neither follows from the other.</w:t>
      </w:r>
    </w:p>
    <w:p>
      <w:pPr>
        <w:pStyle w:val="Paragraf"/>
        <w:jc w:val="both"/>
      </w:pPr>
      <w:r>
        <w:rPr>
          <w:i w:val="0"/>
        </w:rPr>
        <w:t xml:space="preserve">The figure also makes visible a gap the framework is designed to expose. Expanded polystyrene is </w:t>
      </w:r>
      <w:r>
        <w:rPr>
          <w:i/>
        </w:rPr>
        <w:t>assessed</w:t>
      </w:r>
      <w:r>
        <w:rPr>
          <w:i w:val="0"/>
        </w:rPr>
        <w:t xml:space="preserve"> at the horizon of product life, but the horizon over which its matter actually persists is ecological, precisely the hyperobject temporality that exceeds ordinary perception and institutional attention (Adam, 1998; Morton, 2013). A framework that records only assessed duration cannot represent that discrepancy; one that separates scale from terminus can.</w:t>
      </w:r>
    </w:p>
    <w:p>
      <w:pPr>
        <w:pStyle w:val="Paragraf"/>
        <w:sectPr w:rsidR="006A6232" w:rsidRPr="006A6232" w:rsidSect="00327F76">
          <w:type w:val="continuous"/>
          <w:pgSz w:w="11906" w:h="16838" w:code="9"/>
          <w:pgMar w:top="1701" w:right="851" w:bottom="1418" w:left="851" w:header="1134" w:footer="851" w:gutter="0"/>
          <w:cols w:num="2" w:space="709"/>
          <w:docGrid w:linePitch="360"/>
        </w:sectPr>
      </w:pPr>
    </w:p>
    <w:p>
      <w:pPr>
        <w:jc w:val="center"/>
      </w:pPr>
      <w:r>
        <w:drawing>
          <wp:inline xmlns:a="http://schemas.openxmlformats.org/drawingml/2006/main" xmlns:pic="http://schemas.openxmlformats.org/drawingml/2006/picture">
            <wp:extent cx="6035040" cy="4963997"/>
            <wp:docPr id="1" name="Picture 1"/>
            <wp:cNvGraphicFramePr>
              <a:graphicFrameLocks noChangeAspect="1"/>
            </wp:cNvGraphicFramePr>
            <a:graphic>
              <a:graphicData uri="http://schemas.openxmlformats.org/drawingml/2006/picture">
                <pic:pic>
                  <pic:nvPicPr>
                    <pic:cNvPr id="0" name="Figure1_temporal_dimensions.png"/>
                    <pic:cNvPicPr/>
                  </pic:nvPicPr>
                  <pic:blipFill>
                    <a:blip r:embed="rId28"/>
                    <a:stretch>
                      <a:fillRect/>
                    </a:stretch>
                  </pic:blipFill>
                  <pic:spPr>
                    <a:xfrm>
                      <a:off x="0" y="0"/>
                      <a:ext cx="6035040" cy="4963997"/>
                    </a:xfrm>
                    <a:prstGeom prst="rect"/>
                  </pic:spPr>
                </pic:pic>
              </a:graphicData>
            </a:graphic>
          </wp:inline>
        </w:drawing>
      </w:r>
    </w:p>
    <w:p>
      <w:pPr>
        <w:pStyle w:val="Paragraf"/>
        <w:jc w:val="center"/>
      </w:pPr>
      <w:r>
        <w:rPr>
          <w:i/>
        </w:rPr>
        <w:t>Figure 1. The Six Dimensions Applied to a Single Functional Substitution</w:t>
      </w:r>
    </w:p>
    <w:p>
      <w:pPr>
        <w:pStyle w:val="Paragraf"/>
        <w:sectPr w:rsidR="006A6232" w:rsidRPr="006A6232" w:rsidSect="00327F76">
          <w:type w:val="continuous"/>
          <w:pgSz w:w="11906" w:h="16838" w:code="9"/>
          <w:pgMar w:top="1701" w:right="851" w:bottom="1418" w:left="851" w:header="1134" w:footer="851" w:gutter="0"/>
          <w:cols w:space="709"/>
          <w:docGrid w:linePitch="360"/>
        </w:sectPr>
      </w:pPr>
    </w:p>
    <w:p>
      <w:pPr>
        <w:pStyle w:val="Paragraf"/>
        <w:jc w:val="both"/>
      </w:pPr>
      <w:r>
        <w:rPr>
          <w:i w:val="0"/>
        </w:rPr>
        <w:t>The dimensions are analytically independent: a material may change rapidly but reversibly, or slowly but irreversibly; a designer-determined trajectory may nonetheless terminate in a biological cycle. Their value lies in preventing the collapse of temporality into the single axis of duration, which is precisely the reduction that Pschetz and Bastian (2018) identify as constraining design's temporal imagination.</w:t>
      </w:r>
    </w:p>
    <w:p>
      <w:pPr>
        <w:pStyle w:val="Balk-1"/>
      </w:pPr>
      <w:r>
        <w:t>4.2.4. Boundary Conditions: Where Permanence Remains the Right Value</w:t>
      </w:r>
    </w:p>
    <w:p>
      <w:pPr>
        <w:pStyle w:val="Paragraf"/>
        <w:jc w:val="both"/>
      </w:pPr>
      <w:r>
        <w:rPr>
          <w:i w:val="0"/>
        </w:rPr>
        <w:t>A framework that could not specify where it does not apply would be an ideology rather than a theory. Four boundary conditions are stated explicitly.</w:t>
      </w:r>
    </w:p>
    <w:p>
      <w:pPr>
        <w:pStyle w:val="Paragraf"/>
        <w:jc w:val="both"/>
      </w:pPr>
      <w:r>
        <w:rPr>
          <w:i w:val="0"/>
        </w:rPr>
        <w:t>Where failure carries risk to life, in structural elements, pressure vessels, medical implants and transport systems, predictable material performance across a specified life is not a modernist preference but an ethical requirement. Temporality-oriented reasoning applies to the end-of-life pathway of such components, not to their in-service stability.</w:t>
      </w:r>
    </w:p>
    <w:p>
      <w:pPr>
        <w:pStyle w:val="Paragraf"/>
        <w:jc w:val="both"/>
      </w:pPr>
      <w:r>
        <w:rPr>
          <w:i w:val="0"/>
        </w:rPr>
        <w:t>The clearest inversion of the argument concerns materials whose release is the hazard. Long-lived radioactive waste and persistent toxic substances demand containment across timescales that exceed institutional continuity, the very hyperobject temporality that Morton (2013) describes. Here permanence is precisely what is required, and the temporal problem is that human institutions cannot supply enough of it.</w:t>
      </w:r>
    </w:p>
    <w:p>
      <w:pPr>
        <w:pStyle w:val="Paragraf"/>
        <w:jc w:val="both"/>
      </w:pPr>
      <w:r>
        <w:rPr>
          <w:i w:val="0"/>
        </w:rPr>
        <w:t xml:space="preserve">Infrastructure and public buildings carry commitments that outlast the parties who make them. Brand's (1994) layered analysis is instructive: it argues for adaptability in the fast layers </w:t>
      </w:r>
      <w:r>
        <w:rPr>
          <w:i/>
        </w:rPr>
        <w:t>because</w:t>
      </w:r>
      <w:r>
        <w:rPr>
          <w:i w:val="0"/>
        </w:rPr>
        <w:t xml:space="preserve"> the slow layers endure, not instead of it.</w:t>
      </w:r>
    </w:p>
    <w:p>
      <w:pPr>
        <w:pStyle w:val="Paragraf"/>
        <w:jc w:val="both"/>
      </w:pPr>
      <w:r>
        <w:rPr>
          <w:i w:val="0"/>
        </w:rPr>
        <w:t>Finally, objects that carry memory, record or identity across generations serve a function that depends on persistence. DeSilvey's (2017) argument for curated decay is not a general licence to let heritage go; it is a case-specific argument for choosing, deliberately and with justification, which transformations to accompany and which to arrest.</w:t>
      </w:r>
    </w:p>
    <w:p>
      <w:pPr>
        <w:pStyle w:val="Paragraf"/>
        <w:jc w:val="both"/>
      </w:pPr>
      <w:r>
        <w:rPr>
          <w:i w:val="0"/>
        </w:rPr>
        <w:t xml:space="preserve">In each case the framework's contribution is not to overturn permanence but to require that it be </w:t>
      </w:r>
      <w:r>
        <w:rPr>
          <w:i/>
        </w:rPr>
        <w:t>argued for</w:t>
      </w:r>
      <w:r>
        <w:rPr>
          <w:i w:val="0"/>
        </w:rPr>
        <w:t xml:space="preserve"> rather than assumed, and, where it is chosen, that the resources needed to sustain it and the terminus it implies be made explicit.</w:t>
      </w:r>
    </w:p>
    <w:p>
      <w:pPr>
        <w:pStyle w:val="Balk-1"/>
      </w:pPr>
      <w:r>
        <w:t>5. Discussion</w:t>
      </w:r>
    </w:p>
    <w:p>
      <w:pPr>
        <w:pStyle w:val="Balk-1"/>
      </w:pPr>
      <w:r>
        <w:t>5.1. What the Synthesis Contributes</w:t>
      </w:r>
    </w:p>
    <w:p>
      <w:pPr>
        <w:pStyle w:val="Paragraf"/>
        <w:jc w:val="both"/>
      </w:pPr>
      <w:r>
        <w:rPr>
          <w:i w:val="0"/>
        </w:rPr>
        <w:t>The argument developed here makes three contributions that neither of its constituent literatures makes alone.</w:t>
      </w:r>
    </w:p>
    <w:p>
      <w:pPr>
        <w:pStyle w:val="Paragraf"/>
        <w:jc w:val="both"/>
      </w:pPr>
      <w:r>
        <w:rPr>
          <w:i w:val="0"/>
        </w:rPr>
        <w:t xml:space="preserve">The first is a relocation of design's temporal debate into the material register. Section 2.7 established that design research has theorised time environmentally, experientially and ethically, but has largely retained a stable material substrate as the term against which temporal variation is measured. Biodesign removes that substrate. The contribution is not the observation that living materials change, which biodesign research has documented thoroughly, but the argument that this change constitutes a </w:t>
      </w:r>
      <w:r>
        <w:rPr>
          <w:i/>
        </w:rPr>
        <w:t>theoretical</w:t>
      </w:r>
      <w:r>
        <w:rPr>
          <w:i w:val="0"/>
        </w:rPr>
        <w:t xml:space="preserve"> problem for design's value structure and not only a </w:t>
      </w:r>
      <w:r>
        <w:rPr>
          <w:i/>
        </w:rPr>
        <w:t>practical</w:t>
      </w:r>
      <w:r>
        <w:rPr>
          <w:i w:val="0"/>
        </w:rPr>
        <w:t xml:space="preserve"> problem for material specification.</w:t>
      </w:r>
    </w:p>
    <w:p>
      <w:pPr>
        <w:pStyle w:val="Paragraf"/>
        <w:jc w:val="both"/>
      </w:pPr>
      <w:r>
        <w:rPr>
          <w:i w:val="0"/>
        </w:rPr>
        <w:t>The second is the reconstruction of impermanence as an achievement rather than a deficit. The inversion set out in Section 4.2.1, treating stability as the state requiring explanation and maintenance, has a concrete methodological consequence. It renders visible the coatings, biocides, climate control and maintenance labour through which permanence is produced, and brings them into the account of a design's cost. This reframing is available in principle from process philosophy alone, but it acquires practical traction only where materials that will not hold still make the cost of holding them still apparent.</w:t>
      </w:r>
    </w:p>
    <w:p>
      <w:pPr>
        <w:pStyle w:val="Paragraf"/>
        <w:jc w:val="both"/>
      </w:pPr>
      <w:r>
        <w:rPr>
          <w:i w:val="0"/>
        </w:rPr>
        <w:t>The third is the provision of an analytical layer. Much writing on temporality in design remains at the level of orientation, and orientations are difficult to argue about because they cannot be wrong in any particular case. The six dimensions permit a proposal to be described precisely enough to be contested: a claim that a project embraces impermanence can be tested against what it specifies for rate, directionality, reversibility, scale, agency and terminus.</w:t>
      </w:r>
    </w:p>
    <w:p>
      <w:pPr>
        <w:pStyle w:val="Balk-1"/>
      </w:pPr>
      <w:r>
        <w:t>5.2. Implications for Practice, Education and Evaluation</w:t>
      </w:r>
    </w:p>
    <w:p>
      <w:pPr>
        <w:pStyle w:val="Paragraf"/>
        <w:jc w:val="both"/>
      </w:pPr>
      <w:r>
        <w:rPr>
          <w:i w:val="0"/>
        </w:rPr>
        <w:t>For practice, the framework suggests that temporal intent should be specified as deliberately as material and formal intent. A design brief that states a target lifespan has specified one dimension of six; specifying the remaining five, particularly terminus and distribution of agency, changes what the brief asks of the designer and what counts as a satisfactory answer.</w:t>
      </w:r>
    </w:p>
    <w:p>
      <w:pPr>
        <w:pStyle w:val="Paragraf"/>
        <w:jc w:val="both"/>
      </w:pPr>
      <w:r>
        <w:rPr>
          <w:i w:val="0"/>
        </w:rPr>
        <w:t>For education, the argument bears on how material knowledge is taught. Material property tables in design curricula characterise strength, stiffness, density, thermal behaviour and cost; they rarely characterise how a material behaves over time except as durability or degradation resistance. The Material Driven Design method (Karana et al., 2015) already moves material teaching toward experiential qualities; adding temporal characterisation is a modest extension with substantial consequences, since students who learn to ask what a material will become are asking a different question from those who learn what it can withstand.</w:t>
      </w:r>
    </w:p>
    <w:p>
      <w:pPr>
        <w:pStyle w:val="Paragraf"/>
        <w:jc w:val="both"/>
      </w:pPr>
      <w:r>
        <w:rPr>
          <w:i w:val="0"/>
        </w:rPr>
        <w:t>For evaluation, in juries, competitions and peer review, the framework offers a vocabulary for assessing proposals that do not aim at durability without defaulting either to dismissal or to uncritical enthusiasm. A project whose material decomposes can be assessed on whether its terminus is specified and achievable, whether its rate is compatible with its use, and whether the distribution of agency it claims is real or decorative.</w:t>
      </w:r>
    </w:p>
    <w:p>
      <w:pPr>
        <w:pStyle w:val="Balk-1"/>
      </w:pPr>
      <w:r>
        <w:t>5.3. Objections and Limitations</w:t>
      </w:r>
    </w:p>
    <w:p>
      <w:pPr>
        <w:pStyle w:val="Paragraf"/>
        <w:jc w:val="both"/>
      </w:pPr>
      <w:r>
        <w:rPr>
          <w:i w:val="0"/>
        </w:rPr>
        <w:t>The proposal is not a licence for short life. The alternative to permanence is not disposability or planned obsolescence, and the two must be sharply distinguished. Planned obsolescence is a permanence-paradigm strategy operating in bad faith: it depends on the object being understood as a stable product whose replacement can be scheduled, and it says nothing about material trajectory. A temporality-oriented approach is defined by circulation and specified terminus, not by brevity. Neither permanence nor impermanence is intrinsically sustainable; their value depends on sourcing, production, use, transformation and reintegration (Bocken et al., 2016; Escobar, 2018; Fry, 2009).</w:t>
      </w:r>
    </w:p>
    <w:p>
      <w:pPr>
        <w:pStyle w:val="Paragraf"/>
        <w:jc w:val="both"/>
      </w:pPr>
      <w:r>
        <w:rPr>
          <w:i w:val="0"/>
        </w:rPr>
        <w:t>Material agency should not be overstated. Recognising material agency does not entail that materials are designers in any literal sense, nor does it dissolve human responsibility. The concept directs attention to the ways in which material properties, biological processes, environmental conditions and human intentions jointly shape outcomes (Barad, 2007; Bennett, 2010; Ingold, 2013; Luck, 2025). There is a real risk that distributed authorship becomes a rhetorical device diffusing accountability for decisions that remain, in fact, human ones. The dimension of distribution of agency is intended partly as a check against this: it asks the designer to state concretely which determinations were ceded and which were retained.</w:t>
      </w:r>
    </w:p>
    <w:p>
      <w:pPr>
        <w:pStyle w:val="Paragraf"/>
        <w:jc w:val="both"/>
      </w:pPr>
      <w:r>
        <w:rPr>
          <w:i w:val="0"/>
        </w:rPr>
        <w:t>The historical claim is culturally bounded. As Section 2.6 acknowledged, the permanence paradigm is strongest as a description of industrial-modern Western design culture. The framework's applicability to design traditions organised around maintenance, replacement or ritual reconstruction is an open question.</w:t>
      </w:r>
    </w:p>
    <w:p>
      <w:pPr>
        <w:pStyle w:val="Paragraf"/>
        <w:jc w:val="both"/>
      </w:pPr>
      <w:r>
        <w:rPr>
          <w:i w:val="0"/>
        </w:rPr>
        <w:t>Finally, conceptual synthesis cannot demonstrate efficacy. The framework is offered as theoretically coherent and analytically usable; whether its adoption improves design outcomes, and whether designers find the six dimensions tractable in practice, are empirical questions this article does not answer. Four lines of work follow: applying the dimensions to a corpus of biodesign projects to test whether they discriminate usefully; studying how people evaluate artefacts that visibly change, and under what conditions transformation is experienced as meaningful rather than as failure; developing representations of temporal behaviour comparable in usability to existing material property data; and comparative historical work on design cultures in which impermanence has been normative.</w:t>
      </w:r>
    </w:p>
    <w:p>
      <w:pPr>
        <w:pStyle w:val="Balk-1"/>
      </w:pPr>
      <w:r>
        <w:t>6. Conclusions</w:t>
      </w:r>
    </w:p>
    <w:p>
      <w:pPr>
        <w:pStyle w:val="Paragraf"/>
        <w:jc w:val="both"/>
      </w:pPr>
      <w:r>
        <w:rPr>
          <w:i w:val="0"/>
        </w:rPr>
        <w:t>This article has argued that permanence is not a neutral or universal characteristic of successful design. Its prominence is historically connected to modernity's emphasis on stability, predictability, control, standardisation and preservation, and was codified through industrial production into criteria that acquired the appearance of technical necessity (Bauman, 2000; Forty, 1986; Giddens, 1990). Durability continues to deliver genuine social, functional and environmental benefits, and the article has not disputed the arguments for it (Chapman, 2015; Cooper, 2010). But ecological conditions demonstrate that material persistence cannot be evaluated independently of the cycles in which materials participate, and that persistence and responsibility can come apart (Adam, 1998; Fry, 2009; Morton, 2013).</w:t>
      </w:r>
    </w:p>
    <w:p>
      <w:pPr>
        <w:pStyle w:val="Paragraf"/>
        <w:jc w:val="both"/>
      </w:pPr>
      <w:r>
        <w:rPr>
          <w:i w:val="0"/>
        </w:rPr>
        <w:t>Design research has already developed a substantial temporal literature, theorising time as an environmental, experiential, social and more-than-human condition (Brand, 1994; Hallnäs and Redström, 2001; Lynch, 1972; Mostafavi and Leatherbarrow, 1993; Pschetz and Bastian, 2018; Pschetz et al., 2024). Its comparatively underdeveloped register is the material one, in which time is not the medium in which an artefact is used or perceived but a condition of what the artefact substantively is.</w:t>
      </w:r>
    </w:p>
    <w:p>
      <w:pPr>
        <w:pStyle w:val="Paragraf"/>
        <w:jc w:val="both"/>
      </w:pPr>
      <w:r>
        <w:rPr>
          <w:i w:val="0"/>
        </w:rPr>
        <w:t>Biodesign supplies that register. Through engagement with living organisms and biological processes, it makes growth, adaptation, transformation, senescence and decomposition operative within design practice, and does so in a way that cannot be bracketed out of material specification (Camere and Karana, 2018; Karana et al., 2018; Karana et al., 2020; Myers, 2018). That temporality emerges inductively as one of five organising themes in practitioners' own accounts of living materials (Ertürkan et al., 2022) indicates that this is a condition of the work rather than a theoretical imposition upon it. Biodesign therefore permits the designed object to be reconsidered not as a finished and stable entity but as a temporary configuration within ongoing material processes, while its own ecological and political entanglements (Ginsberg and Chieza, 2018; Zhu and Wang, 2020) prevent it from being treated as a solution.</w:t>
      </w:r>
    </w:p>
    <w:p>
      <w:pPr>
        <w:pStyle w:val="Paragraf"/>
        <w:jc w:val="both"/>
      </w:pPr>
      <w:r>
        <w:rPr>
          <w:i w:val="0"/>
        </w:rPr>
        <w:t>Drawing on process philosophy and new materialist design research, the article has proposed that impermanence be understood as an ontological condition of becoming rather than as material failure, with permanence reconceived as a temporary and costly stabilisation (Bennett, 2010; Bergson, 1907/1998; Ingold, 2013; Luck, 2025; Whitehead, 1929/1978). On this basis it has offered a two-part framework: paired orientations that state a direction of movement in design's temporal value structure, and six dimensions through which temporal intent can be specified, assessed and contested. Boundary conditions have been stated explicitly, and they are substantial: in safety-critical, containment, infrastructural and cultural-transmission contexts, permanence remains the correct value.</w:t>
      </w:r>
    </w:p>
    <w:p>
      <w:pPr>
        <w:pStyle w:val="Paragraf"/>
        <w:jc w:val="both"/>
      </w:pPr>
      <w:r>
        <w:rPr>
          <w:i w:val="0"/>
        </w:rPr>
        <w:t>The aim is therefore not to replace permanence with impermanence but to broaden the temporal imagination of design, and to require that temporal choices be argued rather than inherited. Such a framework allows design theory to ask not only how objects can endure, but how materials can transform meaningfully, participate in ecological cycles, and remain open to processes of becoming. Biodesign thus offers not only new materials and fabrication strategies, but an occasion to reconsider what it means for something to be designed in time.</w:t>
      </w:r>
    </w:p>
    <w:p>
      <w:pPr>
        <w:pStyle w:val="Balk-1"/>
      </w:pPr>
      <w:r>
        <w:t>Authors' Contributions</w:t>
      </w:r>
    </w:p>
    <w:p>
      <w:pPr>
        <w:pStyle w:val="Paragraf"/>
        <w:jc w:val="both"/>
      </w:pPr>
      <w:r>
        <w:rPr>
          <w:i w:val="0"/>
        </w:rPr>
        <w:t>The study was designed, researched and written by the author, who is responsible for the conceptual framework, the literature synthesis, the figure and the final manuscript.</w:t>
      </w:r>
    </w:p>
    <w:p>
      <w:pPr>
        <w:pStyle w:val="Balk-1"/>
      </w:pPr>
      <w:r>
        <w:t>Conflict of Interest</w:t>
      </w:r>
    </w:p>
    <w:p>
      <w:pPr>
        <w:pStyle w:val="Paragraf"/>
        <w:jc w:val="both"/>
      </w:pPr>
      <w:r>
        <w:rPr>
          <w:i w:val="0"/>
        </w:rPr>
        <w:t>No conflict of interest has been declared by the author.</w:t>
      </w:r>
    </w:p>
    <w:p>
      <w:pPr>
        <w:pStyle w:val="Balk-1"/>
      </w:pPr>
      <w:r>
        <w:t>References</w:t>
      </w:r>
    </w:p>
    <w:p>
      <w:pPr>
        <w:pStyle w:val="Kaynaklar"/>
      </w:pPr>
      <w:r>
        <w:rPr>
          <w:i w:val="0"/>
        </w:rPr>
        <w:t xml:space="preserve">Adam, B. (1998). </w:t>
      </w:r>
      <w:r>
        <w:rPr>
          <w:i/>
        </w:rPr>
        <w:t>Timescapes of modernity: The environment and invisible hazards</w:t>
      </w:r>
      <w:r>
        <w:rPr>
          <w:i w:val="0"/>
        </w:rPr>
        <w:t>. London, UK: Routledge.</w:t>
      </w:r>
    </w:p>
    <w:p>
      <w:pPr>
        <w:pStyle w:val="Kaynaklar"/>
      </w:pPr>
      <w:r>
        <w:rPr>
          <w:i w:val="0"/>
        </w:rPr>
        <w:t xml:space="preserve">Barad, K. (2007). </w:t>
      </w:r>
      <w:r>
        <w:rPr>
          <w:i/>
        </w:rPr>
        <w:t>Meeting the universe halfway: Quantum physics and the entanglement of matter and meaning</w:t>
      </w:r>
      <w:r>
        <w:rPr>
          <w:i w:val="0"/>
        </w:rPr>
        <w:t>. Durham, NC: Duke University Press.</w:t>
      </w:r>
    </w:p>
    <w:p>
      <w:pPr>
        <w:pStyle w:val="Kaynaklar"/>
      </w:pPr>
      <w:r>
        <w:rPr>
          <w:i w:val="0"/>
        </w:rPr>
        <w:t xml:space="preserve">Bauman, Z. (2000). </w:t>
      </w:r>
      <w:r>
        <w:rPr>
          <w:i/>
        </w:rPr>
        <w:t>Liquid modernity</w:t>
      </w:r>
      <w:r>
        <w:rPr>
          <w:i w:val="0"/>
        </w:rPr>
        <w:t>. Cambridge, UK: Polity Press.</w:t>
      </w:r>
    </w:p>
    <w:p>
      <w:pPr>
        <w:pStyle w:val="Kaynaklar"/>
      </w:pPr>
      <w:r>
        <w:rPr>
          <w:i w:val="0"/>
        </w:rPr>
        <w:t xml:space="preserve">Bennett, J. (2010). </w:t>
      </w:r>
      <w:r>
        <w:rPr>
          <w:i/>
        </w:rPr>
        <w:t>Vibrant matter: A political ecology of things</w:t>
      </w:r>
      <w:r>
        <w:rPr>
          <w:i w:val="0"/>
        </w:rPr>
        <w:t>. Durham, NC: Duke University Press.</w:t>
      </w:r>
    </w:p>
    <w:p>
      <w:pPr>
        <w:pStyle w:val="Kaynaklar"/>
      </w:pPr>
      <w:r>
        <w:rPr>
          <w:i w:val="0"/>
        </w:rPr>
        <w:t xml:space="preserve">Bergson, H. (1998). </w:t>
      </w:r>
      <w:r>
        <w:rPr>
          <w:i/>
        </w:rPr>
        <w:t>Creative evolution</w:t>
      </w:r>
      <w:r>
        <w:rPr>
          <w:i w:val="0"/>
        </w:rPr>
        <w:t xml:space="preserve"> (A. Mitchell, Trans.). Mineola, NY: Dover. (Original work published 1907)</w:t>
      </w:r>
    </w:p>
    <w:p>
      <w:pPr>
        <w:pStyle w:val="Kaynaklar"/>
      </w:pPr>
      <w:r>
        <w:rPr>
          <w:i w:val="0"/>
        </w:rPr>
        <w:t xml:space="preserve">Bocken, N. M. P., de Pauw, I., Bakker, C. &amp; van der Grinten, B. (2016). Product design and business model strategies for a circular economy. </w:t>
      </w:r>
      <w:r>
        <w:rPr>
          <w:i/>
        </w:rPr>
        <w:t>Journal of Industrial and Production Engineering</w:t>
      </w:r>
      <w:r>
        <w:rPr>
          <w:i w:val="0"/>
        </w:rPr>
        <w:t>, 33(5), 308–320. doi: https://doi.org/10.1080/21681015.2016.1172124</w:t>
      </w:r>
    </w:p>
    <w:p>
      <w:pPr>
        <w:pStyle w:val="Kaynaklar"/>
      </w:pPr>
      <w:r>
        <w:rPr>
          <w:i w:val="0"/>
        </w:rPr>
        <w:t xml:space="preserve">Brand, S. (1994). </w:t>
      </w:r>
      <w:r>
        <w:rPr>
          <w:i/>
        </w:rPr>
        <w:t>How buildings learn: What happens after they are built</w:t>
      </w:r>
      <w:r>
        <w:rPr>
          <w:i w:val="0"/>
        </w:rPr>
        <w:t>. New York, NY: Viking.</w:t>
      </w:r>
    </w:p>
    <w:p>
      <w:pPr>
        <w:pStyle w:val="Kaynaklar"/>
      </w:pPr>
      <w:r>
        <w:rPr>
          <w:i w:val="0"/>
        </w:rPr>
        <w:t xml:space="preserve">Camere, S. &amp; Karana, E. (2018). Fabricating materials from living organisms: An emerging design practice. </w:t>
      </w:r>
      <w:r>
        <w:rPr>
          <w:i/>
        </w:rPr>
        <w:t>Journal of Cleaner Production</w:t>
      </w:r>
      <w:r>
        <w:rPr>
          <w:i w:val="0"/>
        </w:rPr>
        <w:t>, 186, 570–584. doi: https://doi.org/10.1016/j.jclepro.2018.03.081</w:t>
      </w:r>
    </w:p>
    <w:p>
      <w:pPr>
        <w:pStyle w:val="Kaynaklar"/>
      </w:pPr>
      <w:r>
        <w:rPr>
          <w:i w:val="0"/>
        </w:rPr>
        <w:t xml:space="preserve">Chapman, J. (2015). </w:t>
      </w:r>
      <w:r>
        <w:rPr>
          <w:i/>
        </w:rPr>
        <w:t>Emotionally durable design: Objects, experiences and empathy</w:t>
      </w:r>
      <w:r>
        <w:rPr>
          <w:i w:val="0"/>
        </w:rPr>
        <w:t xml:space="preserve"> (2nd ed.). London, UK: Routledge.</w:t>
      </w:r>
    </w:p>
    <w:p>
      <w:pPr>
        <w:pStyle w:val="Kaynaklar"/>
      </w:pPr>
      <w:r>
        <w:rPr>
          <w:i w:val="0"/>
        </w:rPr>
        <w:t xml:space="preserve">Collet, C. (2013). </w:t>
      </w:r>
      <w:r>
        <w:rPr>
          <w:i/>
        </w:rPr>
        <w:t>Alive: New design frontiers</w:t>
      </w:r>
      <w:r>
        <w:rPr>
          <w:i w:val="0"/>
        </w:rPr>
        <w:t xml:space="preserve"> [Exhibition catalogue]. Paris, France: Fondation EDF.</w:t>
      </w:r>
    </w:p>
    <w:p>
      <w:pPr>
        <w:pStyle w:val="Kaynaklar"/>
      </w:pPr>
      <w:r>
        <w:rPr>
          <w:i w:val="0"/>
        </w:rPr>
        <w:t xml:space="preserve">Collet, C. (2021). Designing our future bio-materiality. </w:t>
      </w:r>
      <w:r>
        <w:rPr>
          <w:i/>
        </w:rPr>
        <w:t>AI &amp; Society</w:t>
      </w:r>
      <w:r>
        <w:rPr>
          <w:i w:val="0"/>
        </w:rPr>
        <w:t>, 36(4), 1331–1342. doi: https://doi.org/10.1007/s00146-020-01013-y</w:t>
      </w:r>
    </w:p>
    <w:p>
      <w:pPr>
        <w:pStyle w:val="Kaynaklar"/>
      </w:pPr>
      <w:r>
        <w:rPr>
          <w:i w:val="0"/>
        </w:rPr>
        <w:t xml:space="preserve">Cooper, T. (Ed.). (2010). </w:t>
      </w:r>
      <w:r>
        <w:rPr>
          <w:i/>
        </w:rPr>
        <w:t>Longer lasting products: Alternatives to the throwaway society</w:t>
      </w:r>
      <w:r>
        <w:rPr>
          <w:i w:val="0"/>
        </w:rPr>
        <w:t>. Farnham, UK: Gower.</w:t>
      </w:r>
    </w:p>
    <w:p>
      <w:pPr>
        <w:pStyle w:val="Kaynaklar"/>
      </w:pPr>
      <w:r>
        <w:rPr>
          <w:i w:val="0"/>
        </w:rPr>
        <w:t xml:space="preserve">Cruz, M. &amp; Beckett, R. (2016). Bioreceptive design: A novel approach to biodigital materiality. </w:t>
      </w:r>
      <w:r>
        <w:rPr>
          <w:i/>
        </w:rPr>
        <w:t>Architectural Research Quarterly</w:t>
      </w:r>
      <w:r>
        <w:rPr>
          <w:i w:val="0"/>
        </w:rPr>
        <w:t>, 20(1), 51–64. doi: https://doi.org/10.1017/S1359135516000130</w:t>
      </w:r>
    </w:p>
    <w:p>
      <w:pPr>
        <w:pStyle w:val="Kaynaklar"/>
      </w:pPr>
      <w:r>
        <w:rPr>
          <w:i w:val="0"/>
        </w:rPr>
        <w:t xml:space="preserve">DeSilvey, C. (2017). </w:t>
      </w:r>
      <w:r>
        <w:rPr>
          <w:i/>
        </w:rPr>
        <w:t>Curated decay: Heritage beyond saving</w:t>
      </w:r>
      <w:r>
        <w:rPr>
          <w:i w:val="0"/>
        </w:rPr>
        <w:t>. Minneapolis, MN: University of Minnesota Press.</w:t>
      </w:r>
    </w:p>
    <w:p>
      <w:pPr>
        <w:pStyle w:val="Kaynaklar"/>
      </w:pPr>
      <w:r>
        <w:rPr>
          <w:i w:val="0"/>
        </w:rPr>
        <w:t xml:space="preserve">Ertürkan, H., Karana, E. &amp; Mugge, R. (2022). Is this alive? Towards a vocabulary for understanding and communicating living material experiences. </w:t>
      </w:r>
      <w:r>
        <w:rPr>
          <w:i/>
        </w:rPr>
        <w:t>DRS2022 Conference Proceedings</w:t>
      </w:r>
      <w:r>
        <w:rPr>
          <w:i w:val="0"/>
        </w:rPr>
        <w:t>, Bilbao. doi: https://doi.org/10.21606/drs.2022.796</w:t>
      </w:r>
    </w:p>
    <w:p>
      <w:pPr>
        <w:pStyle w:val="Kaynaklar"/>
      </w:pPr>
      <w:r>
        <w:rPr>
          <w:i w:val="0"/>
        </w:rPr>
        <w:t xml:space="preserve">Escobar, A. (2018). </w:t>
      </w:r>
      <w:r>
        <w:rPr>
          <w:i/>
        </w:rPr>
        <w:t>Designs for the pluriverse: Radical interdependence, autonomy, and the making of worlds</w:t>
      </w:r>
      <w:r>
        <w:rPr>
          <w:i w:val="0"/>
        </w:rPr>
        <w:t>. Durham, NC: Duke University Press.</w:t>
      </w:r>
    </w:p>
    <w:p>
      <w:pPr>
        <w:pStyle w:val="Kaynaklar"/>
      </w:pPr>
      <w:r>
        <w:rPr>
          <w:i w:val="0"/>
        </w:rPr>
        <w:t xml:space="preserve">Forty, A. (1986). </w:t>
      </w:r>
      <w:r>
        <w:rPr>
          <w:i/>
        </w:rPr>
        <w:t>Objects of desire: Design and society since 1750</w:t>
      </w:r>
      <w:r>
        <w:rPr>
          <w:i w:val="0"/>
        </w:rPr>
        <w:t>. London, UK: Thames &amp; Hudson.</w:t>
      </w:r>
    </w:p>
    <w:p>
      <w:pPr>
        <w:pStyle w:val="Kaynaklar"/>
      </w:pPr>
      <w:r>
        <w:rPr>
          <w:i w:val="0"/>
        </w:rPr>
        <w:t xml:space="preserve">Fry, T. (2009). </w:t>
      </w:r>
      <w:r>
        <w:rPr>
          <w:i/>
        </w:rPr>
        <w:t>Design futuring: Sustainability, ethics and new practice</w:t>
      </w:r>
      <w:r>
        <w:rPr>
          <w:i w:val="0"/>
        </w:rPr>
        <w:t>. Oxford, UK: Berg.</w:t>
      </w:r>
    </w:p>
    <w:p>
      <w:pPr>
        <w:pStyle w:val="Kaynaklar"/>
      </w:pPr>
      <w:r>
        <w:rPr>
          <w:i w:val="0"/>
        </w:rPr>
        <w:t xml:space="preserve">Giaccardi, E. &amp; Redström, J. (2020). Technology and more-than-human design. </w:t>
      </w:r>
      <w:r>
        <w:rPr>
          <w:i/>
        </w:rPr>
        <w:t>Design Issues</w:t>
      </w:r>
      <w:r>
        <w:rPr>
          <w:i w:val="0"/>
        </w:rPr>
        <w:t>, 36(4), 33–44. doi: https://doi.org/10.1162/desi_a_00612</w:t>
      </w:r>
    </w:p>
    <w:p>
      <w:pPr>
        <w:pStyle w:val="Kaynaklar"/>
      </w:pPr>
      <w:r>
        <w:rPr>
          <w:i w:val="0"/>
        </w:rPr>
        <w:t xml:space="preserve">Giddens, A. (1990). </w:t>
      </w:r>
      <w:r>
        <w:rPr>
          <w:i/>
        </w:rPr>
        <w:t>The consequences of modernity</w:t>
      </w:r>
      <w:r>
        <w:rPr>
          <w:i w:val="0"/>
        </w:rPr>
        <w:t>. Stanford, CA: Stanford University Press.</w:t>
      </w:r>
    </w:p>
    <w:p>
      <w:pPr>
        <w:pStyle w:val="Kaynaklar"/>
      </w:pPr>
      <w:r>
        <w:rPr>
          <w:i w:val="0"/>
        </w:rPr>
        <w:t xml:space="preserve">Ginsberg, A. D. &amp; Chieza, N. (2018). Editorial: Other biological futures. </w:t>
      </w:r>
      <w:r>
        <w:rPr>
          <w:i/>
        </w:rPr>
        <w:t>Journal of Design and Science</w:t>
      </w:r>
      <w:r>
        <w:rPr>
          <w:i w:val="0"/>
        </w:rPr>
        <w:t>, 4. doi: https://doi.org/10.21428/566868b5</w:t>
      </w:r>
    </w:p>
    <w:p>
      <w:pPr>
        <w:pStyle w:val="Kaynaklar"/>
      </w:pPr>
      <w:r>
        <w:rPr>
          <w:i w:val="0"/>
        </w:rPr>
        <w:t xml:space="preserve">Hallnäs, L. &amp; Redström, J. (2001). Slow technology: Designing for reflection. </w:t>
      </w:r>
      <w:r>
        <w:rPr>
          <w:i/>
        </w:rPr>
        <w:t>Personal and Ubiquitous Computing</w:t>
      </w:r>
      <w:r>
        <w:rPr>
          <w:i w:val="0"/>
        </w:rPr>
        <w:t>, 5(3), 201–212. doi: https://doi.org/10.1007/PL00000019</w:t>
      </w:r>
    </w:p>
    <w:p>
      <w:pPr>
        <w:pStyle w:val="Kaynaklar"/>
      </w:pPr>
      <w:r>
        <w:rPr>
          <w:i w:val="0"/>
        </w:rPr>
        <w:t xml:space="preserve">Haraway, D. J. (2016). </w:t>
      </w:r>
      <w:r>
        <w:rPr>
          <w:i/>
        </w:rPr>
        <w:t>Staying with the trouble: Making kin in the Chthulucene</w:t>
      </w:r>
      <w:r>
        <w:rPr>
          <w:i w:val="0"/>
        </w:rPr>
        <w:t>. Durham, NC: Duke University Press.</w:t>
      </w:r>
    </w:p>
    <w:p>
      <w:pPr>
        <w:pStyle w:val="Kaynaklar"/>
      </w:pPr>
      <w:r>
        <w:rPr>
          <w:i w:val="0"/>
        </w:rPr>
        <w:t xml:space="preserve">Heidegger, M. (1977). </w:t>
      </w:r>
      <w:r>
        <w:rPr>
          <w:i/>
        </w:rPr>
        <w:t>The question concerning technology and other essays</w:t>
      </w:r>
      <w:r>
        <w:rPr>
          <w:i w:val="0"/>
        </w:rPr>
        <w:t xml:space="preserve"> (W. Lovitt, Trans.). New York, NY: Harper &amp; Row. (Original work published 1954)</w:t>
      </w:r>
    </w:p>
    <w:p>
      <w:pPr>
        <w:pStyle w:val="Kaynaklar"/>
      </w:pPr>
      <w:r>
        <w:rPr>
          <w:i w:val="0"/>
        </w:rPr>
        <w:t xml:space="preserve">Ingold, T. (2007). Materials against materiality. </w:t>
      </w:r>
      <w:r>
        <w:rPr>
          <w:i/>
        </w:rPr>
        <w:t>Archaeological Dialogues</w:t>
      </w:r>
      <w:r>
        <w:rPr>
          <w:i w:val="0"/>
        </w:rPr>
        <w:t>, 14(1), 1–16. doi: https://doi.org/10.1017/S1380203807002127</w:t>
      </w:r>
    </w:p>
    <w:p>
      <w:pPr>
        <w:pStyle w:val="Kaynaklar"/>
      </w:pPr>
      <w:r>
        <w:rPr>
          <w:i w:val="0"/>
        </w:rPr>
        <w:t xml:space="preserve">Ingold, T. (2013). </w:t>
      </w:r>
      <w:r>
        <w:rPr>
          <w:i/>
        </w:rPr>
        <w:t>Making: Anthropology, archaeology, art and architecture</w:t>
      </w:r>
      <w:r>
        <w:rPr>
          <w:i w:val="0"/>
        </w:rPr>
        <w:t>. London, UK: Routledge.</w:t>
      </w:r>
    </w:p>
    <w:p>
      <w:pPr>
        <w:pStyle w:val="Kaynaklar"/>
      </w:pPr>
      <w:r>
        <w:rPr>
          <w:i w:val="0"/>
        </w:rPr>
        <w:t xml:space="preserve">Jaakkola, E. (2020). Designing conceptual articles: Four approaches. </w:t>
      </w:r>
      <w:r>
        <w:rPr>
          <w:i/>
        </w:rPr>
        <w:t>AMS Review</w:t>
      </w:r>
      <w:r>
        <w:rPr>
          <w:i w:val="0"/>
        </w:rPr>
        <w:t>, 10(1–2), 18–26. doi: https://doi.org/10.1007/s13162-020-00161-0</w:t>
      </w:r>
    </w:p>
    <w:p>
      <w:pPr>
        <w:pStyle w:val="Kaynaklar"/>
      </w:pPr>
      <w:r>
        <w:rPr>
          <w:i w:val="0"/>
        </w:rPr>
        <w:t xml:space="preserve">Jones, M., Mautner, A., Luenco, S., Bismarck, A. &amp; John, S. (2020). Engineered mycelium composite construction materials from fungal biorefineries: A critical review. </w:t>
      </w:r>
      <w:r>
        <w:rPr>
          <w:i/>
        </w:rPr>
        <w:t>Materials &amp; Design</w:t>
      </w:r>
      <w:r>
        <w:rPr>
          <w:i w:val="0"/>
        </w:rPr>
        <w:t>, 187, 108397. doi: https://doi.org/10.1016/j.matdes.2019.108397</w:t>
      </w:r>
    </w:p>
    <w:p>
      <w:pPr>
        <w:pStyle w:val="Kaynaklar"/>
      </w:pPr>
      <w:r>
        <w:rPr>
          <w:i w:val="0"/>
        </w:rPr>
        <w:t xml:space="preserve">Karana, E., Barati, B. &amp; Giaccardi, E. (2020). Living artefacts: Conceptualizing livingness as a material quality in everyday artefacts. </w:t>
      </w:r>
      <w:r>
        <w:rPr>
          <w:i/>
        </w:rPr>
        <w:t>International Journal of Design</w:t>
      </w:r>
      <w:r>
        <w:rPr>
          <w:i w:val="0"/>
        </w:rPr>
        <w:t>, 14(3), 37–53.</w:t>
      </w:r>
    </w:p>
    <w:p>
      <w:pPr>
        <w:pStyle w:val="Kaynaklar"/>
      </w:pPr>
      <w:r>
        <w:rPr>
          <w:i w:val="0"/>
        </w:rPr>
        <w:t xml:space="preserve">Karana, E., Barati, B., Rognoli, V. &amp; Zeeuw van der Laan, A. (2015). Material driven design (MDD): A method to design for material experiences. </w:t>
      </w:r>
      <w:r>
        <w:rPr>
          <w:i/>
        </w:rPr>
        <w:t>International Journal of Design</w:t>
      </w:r>
      <w:r>
        <w:rPr>
          <w:i w:val="0"/>
        </w:rPr>
        <w:t>, 9(2), 35–54.</w:t>
      </w:r>
    </w:p>
    <w:p>
      <w:pPr>
        <w:pStyle w:val="Kaynaklar"/>
      </w:pPr>
      <w:r>
        <w:rPr>
          <w:i w:val="0"/>
        </w:rPr>
        <w:t xml:space="preserve">Karana, E., Blauwhoff, D., Hultink, E.-J. &amp; Camere, S. (2018). When the material grows: A case study on designing (with) mycelium-based materials. </w:t>
      </w:r>
      <w:r>
        <w:rPr>
          <w:i/>
        </w:rPr>
        <w:t>International Journal of Design</w:t>
      </w:r>
      <w:r>
        <w:rPr>
          <w:i w:val="0"/>
        </w:rPr>
        <w:t>, 12(2), 119–136.</w:t>
      </w:r>
    </w:p>
    <w:p>
      <w:pPr>
        <w:pStyle w:val="Kaynaklar"/>
      </w:pPr>
      <w:r>
        <w:rPr>
          <w:i w:val="0"/>
        </w:rPr>
        <w:t xml:space="preserve">Koren, L. (1994). </w:t>
      </w:r>
      <w:r>
        <w:rPr>
          <w:i/>
        </w:rPr>
        <w:t>Wabi-sabi for artists, designers, poets and philosophers</w:t>
      </w:r>
      <w:r>
        <w:rPr>
          <w:i w:val="0"/>
        </w:rPr>
        <w:t>. Berkeley, CA: Stone Bridge Press.</w:t>
      </w:r>
    </w:p>
    <w:p>
      <w:pPr>
        <w:pStyle w:val="Kaynaklar"/>
      </w:pPr>
      <w:r>
        <w:rPr>
          <w:i w:val="0"/>
        </w:rPr>
        <w:t xml:space="preserve">Latour, B. (1993). </w:t>
      </w:r>
      <w:r>
        <w:rPr>
          <w:i/>
        </w:rPr>
        <w:t>We have never been modern</w:t>
      </w:r>
      <w:r>
        <w:rPr>
          <w:i w:val="0"/>
        </w:rPr>
        <w:t xml:space="preserve"> (C. Porter, Trans.). Cambridge, MA: Harvard University Press.</w:t>
      </w:r>
    </w:p>
    <w:p>
      <w:pPr>
        <w:pStyle w:val="Kaynaklar"/>
      </w:pPr>
      <w:r>
        <w:rPr>
          <w:i w:val="0"/>
        </w:rPr>
        <w:t xml:space="preserve">Luck, R. (2025). From practices to matter: Social science and new materialist reorientation of ways of knowing, being and becoming-with in design research. </w:t>
      </w:r>
      <w:r>
        <w:rPr>
          <w:i/>
        </w:rPr>
        <w:t>Designing</w:t>
      </w:r>
      <w:r>
        <w:rPr>
          <w:i w:val="0"/>
        </w:rPr>
        <w:t>, 1(1), 18–23. doi: https://doi.org/10.1177/30497671251400138</w:t>
      </w:r>
    </w:p>
    <w:p>
      <w:pPr>
        <w:pStyle w:val="Kaynaklar"/>
      </w:pPr>
      <w:r>
        <w:rPr>
          <w:i w:val="0"/>
        </w:rPr>
        <w:t xml:space="preserve">Lynch, K. (1972). </w:t>
      </w:r>
      <w:r>
        <w:rPr>
          <w:i/>
        </w:rPr>
        <w:t>What time is this place?</w:t>
      </w:r>
      <w:r>
        <w:rPr>
          <w:i w:val="0"/>
        </w:rPr>
        <w:t xml:space="preserve"> Cambridge, MA: MIT Press.</w:t>
      </w:r>
    </w:p>
    <w:p>
      <w:pPr>
        <w:pStyle w:val="Kaynaklar"/>
      </w:pPr>
      <w:r>
        <w:rPr>
          <w:i w:val="0"/>
        </w:rPr>
        <w:t xml:space="preserve">McDonough, W. &amp; Braungart, M. (2002). </w:t>
      </w:r>
      <w:r>
        <w:rPr>
          <w:i/>
        </w:rPr>
        <w:t>Cradle to cradle: Remaking the way we make things</w:t>
      </w:r>
      <w:r>
        <w:rPr>
          <w:i w:val="0"/>
        </w:rPr>
        <w:t>. New York, NY: North Point Press.</w:t>
      </w:r>
    </w:p>
    <w:p>
      <w:pPr>
        <w:pStyle w:val="Kaynaklar"/>
      </w:pPr>
      <w:r>
        <w:rPr>
          <w:i w:val="0"/>
        </w:rPr>
        <w:t xml:space="preserve">Morton, T. (2013). </w:t>
      </w:r>
      <w:r>
        <w:rPr>
          <w:i/>
        </w:rPr>
        <w:t>Hyperobjects: Philosophy and ecology after the end of the world</w:t>
      </w:r>
      <w:r>
        <w:rPr>
          <w:i w:val="0"/>
        </w:rPr>
        <w:t>. Minneapolis, MN: University of Minnesota Press.</w:t>
      </w:r>
    </w:p>
    <w:p>
      <w:pPr>
        <w:pStyle w:val="Kaynaklar"/>
      </w:pPr>
      <w:r>
        <w:rPr>
          <w:i w:val="0"/>
        </w:rPr>
        <w:t xml:space="preserve">Mostafavi, M. &amp; Leatherbarrow, D. (1993). </w:t>
      </w:r>
      <w:r>
        <w:rPr>
          <w:i/>
        </w:rPr>
        <w:t>On weathering: The life of buildings in time</w:t>
      </w:r>
      <w:r>
        <w:rPr>
          <w:i w:val="0"/>
        </w:rPr>
        <w:t>. Cambridge, MA: MIT Press.</w:t>
      </w:r>
    </w:p>
    <w:p>
      <w:pPr>
        <w:pStyle w:val="Kaynaklar"/>
      </w:pPr>
      <w:r>
        <w:rPr>
          <w:i w:val="0"/>
        </w:rPr>
        <w:t xml:space="preserve">Myers, W. (2018). </w:t>
      </w:r>
      <w:r>
        <w:rPr>
          <w:i/>
        </w:rPr>
        <w:t>Bio design: Nature, science, creativity</w:t>
      </w:r>
      <w:r>
        <w:rPr>
          <w:i w:val="0"/>
        </w:rPr>
        <w:t xml:space="preserve"> (2nd ed.). New York, NY: Museum of Modern Art. (Original work published 2012)</w:t>
      </w:r>
    </w:p>
    <w:p>
      <w:pPr>
        <w:pStyle w:val="Kaynaklar"/>
      </w:pPr>
      <w:r>
        <w:rPr>
          <w:i w:val="0"/>
        </w:rPr>
        <w:t xml:space="preserve">Papanek, V. (1971). </w:t>
      </w:r>
      <w:r>
        <w:rPr>
          <w:i/>
        </w:rPr>
        <w:t>Design for the real world: Human ecology and social change</w:t>
      </w:r>
      <w:r>
        <w:rPr>
          <w:i w:val="0"/>
        </w:rPr>
        <w:t>. New York, NY: Pantheon Books.</w:t>
      </w:r>
    </w:p>
    <w:p>
      <w:pPr>
        <w:pStyle w:val="Kaynaklar"/>
      </w:pPr>
      <w:r>
        <w:rPr>
          <w:i w:val="0"/>
        </w:rPr>
        <w:t xml:space="preserve">Pschetz, L. &amp; Bastian, M. (2018). Temporal design: Rethinking time in design. </w:t>
      </w:r>
      <w:r>
        <w:rPr>
          <w:i/>
        </w:rPr>
        <w:t>Design Studies</w:t>
      </w:r>
      <w:r>
        <w:rPr>
          <w:i w:val="0"/>
        </w:rPr>
        <w:t>, 56, 169–184. doi: https://doi.org/10.1016/j.destud.2017.10.007</w:t>
      </w:r>
    </w:p>
    <w:p>
      <w:pPr>
        <w:pStyle w:val="Kaynaklar"/>
      </w:pPr>
      <w:r>
        <w:rPr>
          <w:i w:val="0"/>
        </w:rPr>
        <w:t xml:space="preserve">Pschetz, L., Gebker, M., Wieland, S. &amp; Bastian, M. (2024). Designing temporal ecologies: Reframing multispecies temporalities through design. </w:t>
      </w:r>
      <w:r>
        <w:rPr>
          <w:i/>
        </w:rPr>
        <w:t>DRS2024 Conference Proceedings</w:t>
      </w:r>
      <w:r>
        <w:rPr>
          <w:i w:val="0"/>
        </w:rPr>
        <w:t>, Boston. doi: https://doi.org/10.21606/drs.2024.1068</w:t>
      </w:r>
    </w:p>
    <w:p>
      <w:pPr>
        <w:pStyle w:val="Kaynaklar"/>
      </w:pPr>
      <w:r>
        <w:rPr>
          <w:i w:val="0"/>
        </w:rPr>
        <w:t xml:space="preserve">Puig de la Bellacasa, M. (2017). </w:t>
      </w:r>
      <w:r>
        <w:rPr>
          <w:i/>
        </w:rPr>
        <w:t>Matters of care: Speculative ethics in more than human worlds</w:t>
      </w:r>
      <w:r>
        <w:rPr>
          <w:i w:val="0"/>
        </w:rPr>
        <w:t>. Minneapolis, MN: University of Minnesota Press.</w:t>
      </w:r>
    </w:p>
    <w:p>
      <w:pPr>
        <w:pStyle w:val="Kaynaklar"/>
      </w:pPr>
      <w:r>
        <w:rPr>
          <w:i w:val="0"/>
        </w:rPr>
        <w:t xml:space="preserve">Rognoli, V., Bianchini, M., Maffei, S. &amp; Karana, E. (2015). DIY materials. </w:t>
      </w:r>
      <w:r>
        <w:rPr>
          <w:i/>
        </w:rPr>
        <w:t>Materials &amp; Design</w:t>
      </w:r>
      <w:r>
        <w:rPr>
          <w:i w:val="0"/>
        </w:rPr>
        <w:t>, 86, 692–702. doi: https://doi.org/10.1016/j.matdes.2015.07.020</w:t>
      </w:r>
    </w:p>
    <w:p>
      <w:pPr>
        <w:pStyle w:val="Kaynaklar"/>
      </w:pPr>
      <w:r>
        <w:rPr>
          <w:i w:val="0"/>
        </w:rPr>
        <w:t xml:space="preserve">Snyder, H. (2019). Literature review as a research methodology: An overview and guidelines. </w:t>
      </w:r>
      <w:r>
        <w:rPr>
          <w:i/>
        </w:rPr>
        <w:t>Journal of Business Research</w:t>
      </w:r>
      <w:r>
        <w:rPr>
          <w:i w:val="0"/>
        </w:rPr>
        <w:t>, 104, 333–339. doi: https://doi.org/10.1016/j.jbusres.2019.07.039</w:t>
      </w:r>
    </w:p>
    <w:p>
      <w:pPr>
        <w:pStyle w:val="Kaynaklar"/>
      </w:pPr>
      <w:r>
        <w:rPr>
          <w:i w:val="0"/>
        </w:rPr>
        <w:t xml:space="preserve">Tsing, A. L. (2015). </w:t>
      </w:r>
      <w:r>
        <w:rPr>
          <w:i/>
        </w:rPr>
        <w:t>The mushroom at the end of the world: On the possibility of life in capitalist ruins</w:t>
      </w:r>
      <w:r>
        <w:rPr>
          <w:i w:val="0"/>
        </w:rPr>
        <w:t>. Princeton, NJ: Princeton University Press.</w:t>
      </w:r>
    </w:p>
    <w:p>
      <w:pPr>
        <w:pStyle w:val="Kaynaklar"/>
      </w:pPr>
      <w:r>
        <w:rPr>
          <w:i w:val="0"/>
        </w:rPr>
        <w:t xml:space="preserve">Wakkary, R. (2021). </w:t>
      </w:r>
      <w:r>
        <w:rPr>
          <w:i/>
        </w:rPr>
        <w:t>Things we could design: For more than human-centered worlds</w:t>
      </w:r>
      <w:r>
        <w:rPr>
          <w:i w:val="0"/>
        </w:rPr>
        <w:t>. Cambridge, MA: MIT Press.</w:t>
      </w:r>
    </w:p>
    <w:p>
      <w:pPr>
        <w:pStyle w:val="Kaynaklar"/>
      </w:pPr>
      <w:r>
        <w:rPr>
          <w:i w:val="0"/>
        </w:rPr>
        <w:t xml:space="preserve">Whitehead, A. N. (1978). </w:t>
      </w:r>
      <w:r>
        <w:rPr>
          <w:i/>
        </w:rPr>
        <w:t>Process and reality: An essay in cosmology</w:t>
      </w:r>
      <w:r>
        <w:rPr>
          <w:i w:val="0"/>
        </w:rPr>
        <w:t xml:space="preserve"> (D. R. Griffin &amp; D. W. Sherburne, Eds.). New York, NY: Free Press. (Original work published 1929)</w:t>
      </w:r>
    </w:p>
    <w:p>
      <w:pPr>
        <w:pStyle w:val="Kaynaklar"/>
      </w:pPr>
      <w:r>
        <w:rPr>
          <w:i w:val="0"/>
        </w:rPr>
        <w:t xml:space="preserve">Zhu, J. &amp; Wang, C. (2020). Biodegradable plastics: Green hope or greenwashing? </w:t>
      </w:r>
      <w:r>
        <w:rPr>
          <w:i/>
        </w:rPr>
        <w:t>Marine Pollution Bulletin</w:t>
      </w:r>
      <w:r>
        <w:rPr>
          <w:i w:val="0"/>
        </w:rPr>
        <w:t>, 161(Part B), 111774. doi: https://doi.org/10.1016/j.marpolbul.2020.111774</w:t>
      </w:r>
    </w:p>
    <w:sectPr w:rsidR="006A6232" w:rsidRPr="006A6232" w:rsidSect="00327F76">
      <w:footerReference w:type="default" r:id="rId25"/>
      <w:type w:val="continuous"/>
      <w:pgSz w:w="11906" w:h="16838" w:code="9"/>
      <w:pgMar w:top="1701" w:right="851" w:bottom="1418" w:left="851" w:header="1134" w:footer="851" w:gutter="0"/>
      <w:cols w:num="2"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C93" w:rsidRDefault="00D16C93" w:rsidP="00C70BE8">
      <w:r>
        <w:separator/>
      </w:r>
    </w:p>
  </w:endnote>
  <w:endnote w:type="continuationSeparator" w:id="0">
    <w:p w:rsidR="00D16C93" w:rsidRDefault="00D16C93" w:rsidP="00C70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Default="008508D9" w:rsidP="00B31B99">
    <w:pPr>
      <w:pStyle w:val="AltBilgi"/>
      <w:tabs>
        <w:tab w:val="clear" w:pos="4536"/>
        <w:tab w:val="clear" w:pos="9072"/>
        <w:tab w:val="left" w:pos="3217"/>
      </w:tabs>
    </w:pPr>
    <w:r>
      <w:rPr>
        <w:noProof/>
        <w:lang w:eastAsia="tr-TR"/>
      </w:rPr>
      <mc:AlternateContent>
        <mc:Choice Requires="wps">
          <w:drawing>
            <wp:anchor distT="0" distB="0" distL="114300" distR="114300" simplePos="0" relativeHeight="251659264" behindDoc="0" locked="0" layoutInCell="1" allowOverlap="1" wp14:anchorId="1146A40B" wp14:editId="5E0FFF01">
              <wp:simplePos x="0" y="0"/>
              <wp:positionH relativeFrom="column">
                <wp:posOffset>3768</wp:posOffset>
              </wp:positionH>
              <wp:positionV relativeFrom="paragraph">
                <wp:posOffset>32997</wp:posOffset>
              </wp:positionV>
              <wp:extent cx="6512996" cy="678787"/>
              <wp:effectExtent l="0" t="0" r="2540" b="7620"/>
              <wp:wrapNone/>
              <wp:docPr id="7" name="Metin Kutusu 7"/>
              <wp:cNvGraphicFramePr/>
              <a:graphic xmlns:a="http://schemas.openxmlformats.org/drawingml/2006/main">
                <a:graphicData uri="http://schemas.microsoft.com/office/word/2010/wordprocessingShape">
                  <wps:wsp>
                    <wps:cNvSpPr txBox="1"/>
                    <wps:spPr>
                      <a:xfrm>
                        <a:off x="0" y="0"/>
                        <a:ext cx="6512996" cy="678787"/>
                      </a:xfrm>
                      <a:prstGeom prst="rect">
                        <a:avLst/>
                      </a:prstGeom>
                      <a:solidFill>
                        <a:schemeClr val="lt1"/>
                      </a:solidFill>
                      <a:ln w="6350">
                        <a:noFill/>
                      </a:ln>
                    </wps:spPr>
                    <wps:txbx>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2"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3"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6A40B" id="_x0000_t202" coordsize="21600,21600" o:spt="202" path="m,l,21600r21600,l21600,xe">
              <v:stroke joinstyle="miter"/>
              <v:path gradientshapeok="t" o:connecttype="rect"/>
            </v:shapetype>
            <v:shape id="Metin Kutusu 7" o:spid="_x0000_s1026" type="#_x0000_t202" style="position:absolute;left:0;text-align:left;margin-left:.3pt;margin-top:2.6pt;width:512.85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" fillcolor="white [3201]" stroked="f" strokeweight=".5pt">
              <v:textbox inset="0,0,0,0">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4"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5"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v:textbox>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880506"/>
      <w:docPartObj>
        <w:docPartGallery w:val="Page Numbers (Bottom of Page)"/>
        <w:docPartUnique/>
      </w:docPartObj>
    </w:sdtPr>
    <w:sdtEndPr/>
    <w:sdtContent>
      <w:p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rsidR="008508D9" w:rsidRDefault="00D16C93" w:rsidP="005A665B">
        <w:pPr>
          <w:pStyle w:val="AltBilgi"/>
          <w:jc w:val="right"/>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C93" w:rsidRDefault="00D16C93" w:rsidP="00C70BE8">
      <w:r>
        <w:separator/>
      </w:r>
    </w:p>
  </w:footnote>
  <w:footnote w:type="continuationSeparator" w:id="0">
    <w:p w:rsidR="00D16C93" w:rsidRDefault="00D16C93" w:rsidP="00C70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C70BE8" w:rsidRDefault="008508D9" w:rsidP="000B51EB">
    <w:pPr>
      <w:pStyle w:val="stBilgi"/>
      <w:tabs>
        <w:tab w:val="clear" w:pos="9072"/>
        <w:tab w:val="right" w:pos="9781"/>
      </w:tabs>
      <w:spacing w:after="240"/>
      <w:rPr>
        <w:szCs w:val="20"/>
      </w:rPr>
    </w:pPr>
    <w:r w:rsidRPr="00C70BE8">
      <w:t>ESOGÜ Müh</w:t>
    </w:r>
    <w:r>
      <w:t>.</w:t>
    </w:r>
    <w:r w:rsidRPr="00C70BE8">
      <w:t xml:space="preserve"> Mim</w:t>
    </w:r>
    <w:r>
      <w:t>.</w:t>
    </w:r>
    <w:r w:rsidRPr="00C70BE8">
      <w:t xml:space="preserve"> Fak</w:t>
    </w:r>
    <w:r>
      <w:t>.</w:t>
    </w:r>
    <w:r w:rsidRPr="00C70BE8">
      <w:t xml:space="preserve"> Derg</w:t>
    </w:r>
    <w:r>
      <w:t>isi</w:t>
    </w:r>
    <w:r w:rsidRPr="00C70BE8">
      <w:t xml:space="preserve"> 202</w:t>
    </w:r>
    <w:r>
      <w:t>3</w:t>
    </w:r>
    <w:r w:rsidRPr="00C70BE8">
      <w:t xml:space="preserve">, </w:t>
    </w:r>
    <w:r>
      <w:t>31</w:t>
    </w:r>
    <w:r w:rsidRPr="00C70BE8">
      <w:t xml:space="preserve">(1), </w:t>
    </w:r>
    <w:r w:rsidR="008F476F">
      <w:t>xx</w:t>
    </w:r>
    <w:r w:rsidRPr="00C70BE8">
      <w:t>-xx</w:t>
    </w:r>
    <w:r w:rsidRPr="00C70BE8">
      <w:tab/>
    </w:r>
    <w:r w:rsidRPr="00C70BE8">
      <w:tab/>
    </w:r>
    <w:r w:rsidRPr="00C70BE8">
      <w:rPr>
        <w:lang w:val="en-US"/>
      </w:rPr>
      <w:t>J ESOGU Eng</w:t>
    </w:r>
    <w:r>
      <w:rPr>
        <w:lang w:val="en-US"/>
      </w:rPr>
      <w:t>.</w:t>
    </w:r>
    <w:r w:rsidRPr="00C70BE8">
      <w:rPr>
        <w:lang w:val="en-US"/>
      </w:rPr>
      <w:t xml:space="preserve"> Arch</w:t>
    </w:r>
    <w:r>
      <w:rPr>
        <w:lang w:val="en-US"/>
      </w:rPr>
      <w:t>.</w:t>
    </w:r>
    <w:r w:rsidRPr="00C70BE8">
      <w:rPr>
        <w:lang w:val="en-US"/>
      </w:rPr>
      <w:t xml:space="preserve"> Fac.</w:t>
    </w:r>
    <w:r w:rsidRPr="00C70BE8">
      <w:t xml:space="preserve"> 202</w:t>
    </w:r>
    <w:r>
      <w:t>3</w:t>
    </w:r>
    <w:r w:rsidRPr="00C70BE8">
      <w:t xml:space="preserve">, </w:t>
    </w:r>
    <w:r>
      <w:t>31</w:t>
    </w:r>
    <w:r w:rsidRPr="00C70BE8">
      <w:t>(1), xx-xx</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1115F8" w:rsidRDefault="008508D9" w:rsidP="00D2632C">
    <w:pPr>
      <w:pStyle w:val="stBilgi"/>
      <w:tabs>
        <w:tab w:val="clear" w:pos="9072"/>
        <w:tab w:val="right" w:pos="9781"/>
      </w:tabs>
      <w:spacing w:after="240"/>
      <w:rPr>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B286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2CF0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629C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5DCE7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88EC3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C42B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20C9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068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5076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24A06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BE8"/>
    <w:rsid w:val="0005285E"/>
    <w:rsid w:val="00074A21"/>
    <w:rsid w:val="000B51EB"/>
    <w:rsid w:val="000C01FF"/>
    <w:rsid w:val="000D33FD"/>
    <w:rsid w:val="001115F8"/>
    <w:rsid w:val="001524E0"/>
    <w:rsid w:val="001708AF"/>
    <w:rsid w:val="0018467B"/>
    <w:rsid w:val="001A5A63"/>
    <w:rsid w:val="001B4DB6"/>
    <w:rsid w:val="001C1749"/>
    <w:rsid w:val="001D192A"/>
    <w:rsid w:val="001F0281"/>
    <w:rsid w:val="001F477A"/>
    <w:rsid w:val="0021557F"/>
    <w:rsid w:val="002176A7"/>
    <w:rsid w:val="0024716A"/>
    <w:rsid w:val="0029381A"/>
    <w:rsid w:val="002A4FE0"/>
    <w:rsid w:val="002E3A95"/>
    <w:rsid w:val="002E4050"/>
    <w:rsid w:val="003177E3"/>
    <w:rsid w:val="00327F76"/>
    <w:rsid w:val="00346321"/>
    <w:rsid w:val="00364C00"/>
    <w:rsid w:val="00373440"/>
    <w:rsid w:val="003F5788"/>
    <w:rsid w:val="004053A9"/>
    <w:rsid w:val="00426FD5"/>
    <w:rsid w:val="00470109"/>
    <w:rsid w:val="004822F1"/>
    <w:rsid w:val="004A04CF"/>
    <w:rsid w:val="004C0BDD"/>
    <w:rsid w:val="004D5766"/>
    <w:rsid w:val="00511196"/>
    <w:rsid w:val="0054363D"/>
    <w:rsid w:val="00547F3F"/>
    <w:rsid w:val="00560301"/>
    <w:rsid w:val="00596A9D"/>
    <w:rsid w:val="005A37CC"/>
    <w:rsid w:val="005A665B"/>
    <w:rsid w:val="005F1F42"/>
    <w:rsid w:val="00625F8F"/>
    <w:rsid w:val="006349B2"/>
    <w:rsid w:val="006A128A"/>
    <w:rsid w:val="006A6232"/>
    <w:rsid w:val="006C3759"/>
    <w:rsid w:val="006D2E68"/>
    <w:rsid w:val="006F7841"/>
    <w:rsid w:val="0071687A"/>
    <w:rsid w:val="00737114"/>
    <w:rsid w:val="007503C1"/>
    <w:rsid w:val="00787882"/>
    <w:rsid w:val="007A72E9"/>
    <w:rsid w:val="00810D2B"/>
    <w:rsid w:val="008160FA"/>
    <w:rsid w:val="008356F4"/>
    <w:rsid w:val="00837AC0"/>
    <w:rsid w:val="008508D9"/>
    <w:rsid w:val="008A20AC"/>
    <w:rsid w:val="008A5472"/>
    <w:rsid w:val="008F476F"/>
    <w:rsid w:val="009B28B5"/>
    <w:rsid w:val="00A61E10"/>
    <w:rsid w:val="00AC0298"/>
    <w:rsid w:val="00AC2205"/>
    <w:rsid w:val="00AD1CFF"/>
    <w:rsid w:val="00B00525"/>
    <w:rsid w:val="00B0339C"/>
    <w:rsid w:val="00B31B99"/>
    <w:rsid w:val="00BF277A"/>
    <w:rsid w:val="00C1067C"/>
    <w:rsid w:val="00C2767F"/>
    <w:rsid w:val="00C64948"/>
    <w:rsid w:val="00C70BE8"/>
    <w:rsid w:val="00C95777"/>
    <w:rsid w:val="00CC59AF"/>
    <w:rsid w:val="00D16C93"/>
    <w:rsid w:val="00D25B85"/>
    <w:rsid w:val="00D2632C"/>
    <w:rsid w:val="00D60C61"/>
    <w:rsid w:val="00D83FA7"/>
    <w:rsid w:val="00DC3F82"/>
    <w:rsid w:val="00DE4CC1"/>
    <w:rsid w:val="00E64386"/>
    <w:rsid w:val="00EB2BF6"/>
    <w:rsid w:val="00EC2F99"/>
    <w:rsid w:val="00ED1610"/>
    <w:rsid w:val="00F20599"/>
    <w:rsid w:val="00F63973"/>
    <w:rsid w:val="00FE6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5B1DB"/>
  <w15:docId w15:val="{C0A3C1AF-3613-4ABB-ADD6-015C5706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tr-T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unhideWhenUsed/>
    <w:qFormat/>
    <w:rsid w:val="001524E0"/>
    <w:pPr>
      <w:spacing w:line="240" w:lineRule="auto"/>
      <w:contextualSpacing/>
    </w:pPr>
    <w:rPr>
      <w:rFonts w:ascii="Cambria" w:hAnsi="Cambria"/>
      <w:color w:val="000000" w:themeColor="text1"/>
      <w:sz w:val="20"/>
    </w:rPr>
  </w:style>
  <w:style w:type="paragraph" w:styleId="Balk1">
    <w:name w:val="heading 1"/>
    <w:aliases w:val="Makale Başlığı 2"/>
    <w:basedOn w:val="Normal"/>
    <w:next w:val="Normal"/>
    <w:link w:val="Balk1Char"/>
    <w:uiPriority w:val="99"/>
    <w:unhideWhenUsed/>
    <w:rsid w:val="00EB2BF6"/>
    <w:pPr>
      <w:keepNext/>
      <w:keepLines/>
      <w:jc w:val="center"/>
      <w:outlineLvl w:val="0"/>
    </w:pPr>
    <w:rPr>
      <w:rFonts w:eastAsiaTheme="majorEastAsia" w:cstheme="majorBidi"/>
      <w:b/>
      <w:color w:val="auto"/>
      <w:sz w:val="24"/>
      <w:szCs w:val="32"/>
    </w:rPr>
  </w:style>
  <w:style w:type="paragraph" w:styleId="Balk2">
    <w:name w:val="heading 2"/>
    <w:basedOn w:val="Normal"/>
    <w:next w:val="Normal"/>
    <w:link w:val="Balk2Char"/>
    <w:uiPriority w:val="99"/>
    <w:unhideWhenUsed/>
    <w:rsid w:val="006D2E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9"/>
    <w:unhideWhenUsed/>
    <w:rsid w:val="006D2E68"/>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70BE8"/>
    <w:pPr>
      <w:tabs>
        <w:tab w:val="center" w:pos="4536"/>
        <w:tab w:val="right" w:pos="9072"/>
      </w:tabs>
    </w:pPr>
  </w:style>
  <w:style w:type="character" w:customStyle="1" w:styleId="stBilgiChar">
    <w:name w:val="Üst Bilgi Char"/>
    <w:basedOn w:val="VarsaylanParagrafYazTipi"/>
    <w:link w:val="stBilgi"/>
    <w:uiPriority w:val="99"/>
    <w:rsid w:val="00560301"/>
    <w:rPr>
      <w:rFonts w:ascii="Cambria" w:hAnsi="Cambria"/>
      <w:color w:val="000000" w:themeColor="text1"/>
      <w:sz w:val="20"/>
    </w:rPr>
  </w:style>
  <w:style w:type="paragraph" w:styleId="AltBilgi">
    <w:name w:val="footer"/>
    <w:basedOn w:val="Normal"/>
    <w:link w:val="AltBilgiChar"/>
    <w:uiPriority w:val="99"/>
    <w:unhideWhenUsed/>
    <w:rsid w:val="00C70BE8"/>
    <w:pPr>
      <w:tabs>
        <w:tab w:val="center" w:pos="4536"/>
        <w:tab w:val="right" w:pos="9072"/>
      </w:tabs>
    </w:pPr>
  </w:style>
  <w:style w:type="character" w:customStyle="1" w:styleId="AltBilgiChar">
    <w:name w:val="Alt Bilgi Char"/>
    <w:basedOn w:val="VarsaylanParagrafYazTipi"/>
    <w:link w:val="AltBilgi"/>
    <w:uiPriority w:val="99"/>
    <w:rsid w:val="00560301"/>
    <w:rPr>
      <w:rFonts w:ascii="Cambria" w:hAnsi="Cambria"/>
      <w:color w:val="000000" w:themeColor="text1"/>
      <w:sz w:val="20"/>
    </w:rPr>
  </w:style>
  <w:style w:type="paragraph" w:customStyle="1" w:styleId="YazarAd">
    <w:name w:val="Yazar Adı"/>
    <w:basedOn w:val="Normal"/>
    <w:next w:val="Normal"/>
    <w:link w:val="YazarAdChar"/>
    <w:uiPriority w:val="3"/>
    <w:qFormat/>
    <w:rsid w:val="001F0281"/>
    <w:pPr>
      <w:jc w:val="center"/>
    </w:pPr>
  </w:style>
  <w:style w:type="character" w:customStyle="1" w:styleId="Balk1Char">
    <w:name w:val="Başlık 1 Char"/>
    <w:aliases w:val="Makale Başlığı 2 Char"/>
    <w:basedOn w:val="VarsaylanParagrafYazTipi"/>
    <w:link w:val="Balk1"/>
    <w:uiPriority w:val="99"/>
    <w:rsid w:val="00074A21"/>
    <w:rPr>
      <w:rFonts w:ascii="Cambria" w:eastAsiaTheme="majorEastAsia" w:hAnsi="Cambria" w:cstheme="majorBidi"/>
      <w:b/>
      <w:szCs w:val="32"/>
    </w:rPr>
  </w:style>
  <w:style w:type="character" w:styleId="AklamaBavurusu">
    <w:name w:val="annotation reference"/>
    <w:basedOn w:val="VarsaylanParagrafYazTipi"/>
    <w:uiPriority w:val="99"/>
    <w:semiHidden/>
    <w:unhideWhenUsed/>
    <w:rsid w:val="001F0281"/>
    <w:rPr>
      <w:sz w:val="16"/>
      <w:szCs w:val="16"/>
    </w:rPr>
  </w:style>
  <w:style w:type="character" w:customStyle="1" w:styleId="YazarAdChar">
    <w:name w:val="Yazar Adı Char"/>
    <w:basedOn w:val="VarsaylanParagrafYazTipi"/>
    <w:link w:val="YazarAd"/>
    <w:uiPriority w:val="3"/>
    <w:rsid w:val="001524E0"/>
    <w:rPr>
      <w:rFonts w:ascii="Cambria" w:hAnsi="Cambria"/>
      <w:color w:val="000000" w:themeColor="text1"/>
      <w:sz w:val="20"/>
    </w:rPr>
  </w:style>
  <w:style w:type="paragraph" w:styleId="AklamaMetni">
    <w:name w:val="annotation text"/>
    <w:basedOn w:val="Normal"/>
    <w:link w:val="AklamaMetniChar"/>
    <w:uiPriority w:val="99"/>
    <w:semiHidden/>
    <w:unhideWhenUsed/>
    <w:rsid w:val="001F0281"/>
    <w:rPr>
      <w:szCs w:val="20"/>
    </w:rPr>
  </w:style>
  <w:style w:type="character" w:customStyle="1" w:styleId="AklamaMetniChar">
    <w:name w:val="Açıklama Metni Char"/>
    <w:basedOn w:val="VarsaylanParagrafYazTipi"/>
    <w:link w:val="AklamaMetni"/>
    <w:uiPriority w:val="99"/>
    <w:semiHidden/>
    <w:rsid w:val="001F0281"/>
    <w:rPr>
      <w:rFonts w:ascii="Cambria" w:hAnsi="Cambria"/>
      <w:color w:val="000000" w:themeColor="text1"/>
      <w:sz w:val="20"/>
      <w:szCs w:val="20"/>
    </w:rPr>
  </w:style>
  <w:style w:type="character" w:styleId="Kpr">
    <w:name w:val="Hyperlink"/>
    <w:basedOn w:val="VarsaylanParagrafYazTipi"/>
    <w:uiPriority w:val="99"/>
    <w:unhideWhenUsed/>
    <w:rsid w:val="00EC2F99"/>
    <w:rPr>
      <w:color w:val="0563C1" w:themeColor="hyperlink"/>
      <w:u w:val="single"/>
    </w:rPr>
  </w:style>
  <w:style w:type="table" w:styleId="TabloKlavuzu">
    <w:name w:val="Table Grid"/>
    <w:basedOn w:val="NormalTablo"/>
    <w:uiPriority w:val="59"/>
    <w:rsid w:val="00AD1CFF"/>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afifVurgulama">
    <w:name w:val="Subtle Emphasis"/>
    <w:basedOn w:val="VarsaylanParagrafYazTipi"/>
    <w:uiPriority w:val="99"/>
    <w:unhideWhenUsed/>
    <w:rsid w:val="005F1F42"/>
  </w:style>
  <w:style w:type="paragraph" w:customStyle="1" w:styleId="zet">
    <w:name w:val="Özet"/>
    <w:basedOn w:val="Normal"/>
    <w:uiPriority w:val="2"/>
    <w:qFormat/>
    <w:rsid w:val="005F1F42"/>
    <w:rPr>
      <w:rFonts w:eastAsia="Calibri"/>
      <w:i/>
      <w:szCs w:val="22"/>
    </w:rPr>
  </w:style>
  <w:style w:type="paragraph" w:styleId="DipnotMetni">
    <w:name w:val="footnote text"/>
    <w:basedOn w:val="Normal"/>
    <w:next w:val="Normal"/>
    <w:link w:val="DipnotMetniChar"/>
    <w:uiPriority w:val="99"/>
    <w:semiHidden/>
    <w:unhideWhenUsed/>
    <w:rsid w:val="00CC59AF"/>
    <w:rPr>
      <w:szCs w:val="20"/>
    </w:rPr>
  </w:style>
  <w:style w:type="character" w:customStyle="1" w:styleId="Balk2Char">
    <w:name w:val="Başlık 2 Char"/>
    <w:basedOn w:val="VarsaylanParagrafYazTipi"/>
    <w:link w:val="Balk2"/>
    <w:uiPriority w:val="99"/>
    <w:rsid w:val="00560301"/>
    <w:rPr>
      <w:rFonts w:asciiTheme="majorHAnsi" w:eastAsiaTheme="majorEastAsia" w:hAnsiTheme="majorHAnsi" w:cstheme="majorBidi"/>
      <w:color w:val="2E74B5" w:themeColor="accent1" w:themeShade="BF"/>
      <w:sz w:val="26"/>
      <w:szCs w:val="26"/>
    </w:rPr>
  </w:style>
  <w:style w:type="character" w:customStyle="1" w:styleId="DipnotMetniChar">
    <w:name w:val="Dipnot Metni Char"/>
    <w:basedOn w:val="VarsaylanParagrafYazTipi"/>
    <w:link w:val="DipnotMetni"/>
    <w:uiPriority w:val="99"/>
    <w:semiHidden/>
    <w:rsid w:val="00CC59AF"/>
    <w:rPr>
      <w:rFonts w:ascii="Cambria" w:hAnsi="Cambria"/>
      <w:color w:val="000000" w:themeColor="text1"/>
      <w:sz w:val="20"/>
      <w:szCs w:val="20"/>
    </w:rPr>
  </w:style>
  <w:style w:type="character" w:styleId="DipnotBavurusu">
    <w:name w:val="footnote reference"/>
    <w:basedOn w:val="VarsaylanParagrafYazTipi"/>
    <w:uiPriority w:val="99"/>
    <w:semiHidden/>
    <w:unhideWhenUsed/>
    <w:rsid w:val="001C1749"/>
    <w:rPr>
      <w:vertAlign w:val="superscript"/>
    </w:rPr>
  </w:style>
  <w:style w:type="character" w:customStyle="1" w:styleId="Balk3Char">
    <w:name w:val="Başlık 3 Char"/>
    <w:basedOn w:val="VarsaylanParagrafYazTipi"/>
    <w:link w:val="Balk3"/>
    <w:uiPriority w:val="99"/>
    <w:rsid w:val="00560301"/>
    <w:rPr>
      <w:rFonts w:asciiTheme="majorHAnsi" w:eastAsiaTheme="majorEastAsia" w:hAnsiTheme="majorHAnsi" w:cstheme="majorBidi"/>
      <w:color w:val="1F4D78" w:themeColor="accent1" w:themeShade="7F"/>
    </w:rPr>
  </w:style>
  <w:style w:type="paragraph" w:styleId="AklamaKonusu">
    <w:name w:val="annotation subject"/>
    <w:basedOn w:val="AklamaMetni"/>
    <w:next w:val="AklamaMetni"/>
    <w:link w:val="AklamaKonusuChar"/>
    <w:uiPriority w:val="99"/>
    <w:semiHidden/>
    <w:unhideWhenUsed/>
    <w:rsid w:val="001F0281"/>
    <w:rPr>
      <w:b/>
      <w:bCs/>
    </w:rPr>
  </w:style>
  <w:style w:type="character" w:customStyle="1" w:styleId="AklamaKonusuChar">
    <w:name w:val="Açıklama Konusu Char"/>
    <w:basedOn w:val="AklamaMetniChar"/>
    <w:link w:val="AklamaKonusu"/>
    <w:uiPriority w:val="99"/>
    <w:semiHidden/>
    <w:rsid w:val="001F0281"/>
    <w:rPr>
      <w:rFonts w:ascii="Cambria" w:hAnsi="Cambria"/>
      <w:b/>
      <w:bCs/>
      <w:color w:val="000000" w:themeColor="text1"/>
      <w:sz w:val="20"/>
      <w:szCs w:val="20"/>
    </w:rPr>
  </w:style>
  <w:style w:type="paragraph" w:styleId="BalonMetni">
    <w:name w:val="Balloon Text"/>
    <w:basedOn w:val="Normal"/>
    <w:link w:val="BalonMetniChar"/>
    <w:uiPriority w:val="99"/>
    <w:semiHidden/>
    <w:unhideWhenUsed/>
    <w:rsid w:val="001F0281"/>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F0281"/>
    <w:rPr>
      <w:rFonts w:ascii="Segoe UI" w:hAnsi="Segoe UI" w:cs="Segoe UI"/>
      <w:color w:val="000000" w:themeColor="text1"/>
      <w:sz w:val="18"/>
      <w:szCs w:val="18"/>
    </w:rPr>
  </w:style>
  <w:style w:type="paragraph" w:customStyle="1" w:styleId="Balk-1">
    <w:name w:val="Başlık-1"/>
    <w:basedOn w:val="Normal"/>
    <w:next w:val="Paragraf"/>
    <w:link w:val="Balk-1Char"/>
    <w:uiPriority w:val="1"/>
    <w:qFormat/>
    <w:rsid w:val="00AC0298"/>
    <w:pPr>
      <w:spacing w:before="240"/>
      <w:jc w:val="left"/>
    </w:pPr>
    <w:rPr>
      <w:b/>
    </w:rPr>
  </w:style>
  <w:style w:type="paragraph" w:customStyle="1" w:styleId="Paragraf">
    <w:name w:val="Paragraf"/>
    <w:basedOn w:val="Normal"/>
    <w:link w:val="ParagrafChar"/>
    <w:uiPriority w:val="6"/>
    <w:qFormat/>
    <w:rsid w:val="00810D2B"/>
    <w:pPr>
      <w:spacing w:before="120"/>
      <w:contextualSpacing w:val="0"/>
    </w:pPr>
  </w:style>
  <w:style w:type="character" w:customStyle="1" w:styleId="Balk-1Char">
    <w:name w:val="Başlık-1 Char"/>
    <w:basedOn w:val="VarsaylanParagrafYazTipi"/>
    <w:link w:val="Balk-1"/>
    <w:uiPriority w:val="1"/>
    <w:rsid w:val="001524E0"/>
    <w:rPr>
      <w:rFonts w:ascii="Cambria" w:hAnsi="Cambria"/>
      <w:b/>
      <w:color w:val="000000" w:themeColor="text1"/>
      <w:sz w:val="20"/>
    </w:rPr>
  </w:style>
  <w:style w:type="paragraph" w:styleId="ResimYazs">
    <w:name w:val="caption"/>
    <w:basedOn w:val="Normal"/>
    <w:next w:val="Normal"/>
    <w:uiPriority w:val="99"/>
    <w:unhideWhenUsed/>
    <w:rsid w:val="00C64948"/>
    <w:pPr>
      <w:spacing w:after="200" w:line="276" w:lineRule="auto"/>
      <w:contextualSpacing w:val="0"/>
      <w:jc w:val="left"/>
    </w:pPr>
    <w:rPr>
      <w:rFonts w:ascii="Calibri" w:eastAsia="Calibri" w:hAnsi="Calibri"/>
      <w:b/>
      <w:bCs/>
      <w:color w:val="auto"/>
      <w:szCs w:val="20"/>
    </w:rPr>
  </w:style>
  <w:style w:type="character" w:customStyle="1" w:styleId="ParagrafChar">
    <w:name w:val="Paragraf Char"/>
    <w:basedOn w:val="VarsaylanParagrafYazTipi"/>
    <w:link w:val="Paragraf"/>
    <w:uiPriority w:val="6"/>
    <w:rsid w:val="001524E0"/>
    <w:rPr>
      <w:rFonts w:ascii="Cambria" w:hAnsi="Cambria"/>
      <w:color w:val="000000" w:themeColor="text1"/>
      <w:sz w:val="20"/>
    </w:rPr>
  </w:style>
  <w:style w:type="paragraph" w:customStyle="1" w:styleId="Eitlik">
    <w:name w:val="Eşitlik"/>
    <w:basedOn w:val="Normal"/>
    <w:next w:val="Paragraf"/>
    <w:uiPriority w:val="4"/>
    <w:qFormat/>
    <w:rsid w:val="00373440"/>
    <w:pPr>
      <w:tabs>
        <w:tab w:val="left" w:pos="0"/>
        <w:tab w:val="right" w:pos="4678"/>
      </w:tabs>
      <w:jc w:val="left"/>
    </w:pPr>
    <w:rPr>
      <w:rFonts w:ascii="Cambria Math" w:hAnsi="Cambria Math"/>
      <w:szCs w:val="20"/>
    </w:rPr>
  </w:style>
  <w:style w:type="character" w:styleId="YerTutucuMetni">
    <w:name w:val="Placeholder Text"/>
    <w:basedOn w:val="VarsaylanParagrafYazTipi"/>
    <w:uiPriority w:val="99"/>
    <w:semiHidden/>
    <w:rsid w:val="00373440"/>
    <w:rPr>
      <w:color w:val="808080"/>
    </w:rPr>
  </w:style>
  <w:style w:type="paragraph" w:customStyle="1" w:styleId="Kaynaklar">
    <w:name w:val="Kaynaklar"/>
    <w:basedOn w:val="Normal"/>
    <w:next w:val="Paragraf"/>
    <w:uiPriority w:val="5"/>
    <w:qFormat/>
    <w:rsid w:val="00E64386"/>
    <w:pPr>
      <w:spacing w:before="120" w:after="200"/>
      <w:ind w:left="284" w:hanging="284"/>
      <w:contextualSpacing w:val="0"/>
    </w:pPr>
    <w:rPr>
      <w:szCs w:val="20"/>
    </w:rPr>
  </w:style>
  <w:style w:type="paragraph" w:customStyle="1" w:styleId="MakaleBal">
    <w:name w:val="Makale Başlığı"/>
    <w:basedOn w:val="Balk1"/>
    <w:next w:val="Normal"/>
    <w:qFormat/>
    <w:rsid w:val="00152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dx.doi.org/10.31796/ogummf.330136"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arxiv.org/ftp/arxiv/papers/1504/1504.0257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10" Type="http://schemas.openxmlformats.org/officeDocument/2006/relationships/hyperlink" Target="mailto:eposta@aaa.edu.tr"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orcid.org/" TargetMode="External"/><Relationship Id="rId14" Type="http://schemas.openxmlformats.org/officeDocument/2006/relationships/header" Target="header2.xml"/><Relationship Id="rId22" Type="http://schemas.openxmlformats.org/officeDocument/2006/relationships/hyperlink" Target="http://www.tk.org.tr/index.php/TK" TargetMode="External"/><Relationship Id="rId27" Type="http://schemas.openxmlformats.org/officeDocument/2006/relationships/theme" Target="theme/theme1.xml"/><Relationship Id="rId28" Type="http://schemas.openxmlformats.org/officeDocument/2006/relationships/image" Target="media/image9.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hyperlink" Target="http://creativecommons.org/licenses/by/4.0/" TargetMode="External"/><Relationship Id="rId1" Type="http://schemas.openxmlformats.org/officeDocument/2006/relationships/image" Target="media/image1.png"/><Relationship Id="rId5" Type="http://schemas.openxmlformats.org/officeDocument/2006/relationships/hyperlink" Target="http://creativecommons.org/licenses/by/4.0/" TargetMode="External"/><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38DC-7CE4-4647-A47F-FFB0D0C0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5941</TotalTime>
  <Pages>3</Pages>
  <Words>1335</Words>
  <Characters>7610</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MelihİPHAR</dc:creator>
  <cp:keywords/>
  <dc:description/>
  <cp:lastModifiedBy>MelihİPHAR</cp:lastModifiedBy>
  <cp:revision>11</cp:revision>
  <dcterms:created xsi:type="dcterms:W3CDTF">2022-12-27T09:16:00Z</dcterms:created>
  <dcterms:modified xsi:type="dcterms:W3CDTF">2023-01-31T10:10:00Z</dcterms:modified>
</cp:coreProperties>
</file>