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i w:val="false"/>
          <w:iCs w:val="false"/>
          <w:sz w:val="28"/>
          <w:szCs w:val="28"/>
        </w:rPr>
        <w:t xml:space="preserve">Eşdeğer ısıl performans varsayımı altında biyo-bazlı yapı kabuğu malzemelerinin seçimi: kurgunun sonuç üzerindeki belirleyiciliği</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Öne Çıkanlar</w:t>
      </w:r>
    </w:p>
    <w:p>
      <w:pPr>
        <w:pStyle w:val="ListParagraph"/>
        <w:numPr>
          <w:ilvl w:val="0"/>
          <w:numId w:val="1"/>
        </w:numPr>
        <w:spacing w:after="0" w:before="0" w:line="360" w:lineRule="auto"/>
        <w:jc w:val="left"/>
      </w:pPr>
      <w:r>
        <w:rPr>
          <w:rFonts w:ascii="Times New Roman" w:cs="Times New Roman" w:eastAsia="Times New Roman" w:hAnsi="Times New Roman"/>
          <w:b w:val="false"/>
          <w:bCs w:val="false"/>
          <w:i w:val="false"/>
          <w:iCs w:val="false"/>
          <w:sz w:val="18"/>
          <w:szCs w:val="18"/>
        </w:rPr>
        <w:t xml:space="preserve">Sabit ısıl geçirgenlik hedefi iklim bölgesine göre sıralama farkı üretmez</w:t>
      </w:r>
    </w:p>
    <w:p>
      <w:pPr>
        <w:pStyle w:val="ListParagraph"/>
        <w:numPr>
          <w:ilvl w:val="0"/>
          <w:numId w:val="1"/>
        </w:numPr>
        <w:spacing w:after="0" w:before="0" w:line="360" w:lineRule="auto"/>
        <w:jc w:val="left"/>
      </w:pPr>
      <w:r>
        <w:rPr>
          <w:rFonts w:ascii="Times New Roman" w:cs="Times New Roman" w:eastAsia="Times New Roman" w:hAnsi="Times New Roman"/>
          <w:b w:val="false"/>
          <w:bCs w:val="false"/>
          <w:i w:val="false"/>
          <w:iCs w:val="false"/>
          <w:sz w:val="18"/>
          <w:szCs w:val="18"/>
        </w:rPr>
        <w:t xml:space="preserve">Ağırlıklandırma yöntemi biyo-bazlı malzemeleri yönlü biçimde geriye iter</w:t>
      </w:r>
    </w:p>
    <w:p>
      <w:pPr>
        <w:pStyle w:val="ListParagraph"/>
        <w:numPr>
          <w:ilvl w:val="0"/>
          <w:numId w:val="1"/>
        </w:numPr>
        <w:spacing w:after="0" w:before="0" w:line="360" w:lineRule="auto"/>
        <w:jc w:val="left"/>
      </w:pPr>
      <w:r>
        <w:rPr>
          <w:rFonts w:ascii="Times New Roman" w:cs="Times New Roman" w:eastAsia="Times New Roman" w:hAnsi="Times New Roman"/>
          <w:b w:val="false"/>
          <w:bCs w:val="false"/>
          <w:i w:val="false"/>
          <w:iCs w:val="false"/>
          <w:sz w:val="18"/>
          <w:szCs w:val="18"/>
        </w:rPr>
        <w:t xml:space="preserve">Sistem sınırı birinci sırayı tüm bölgelerde değiştirir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Öz</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Biyo-bazlı yapı kabuğu malzemelerinin karşılaştırılmasında yaygın olarak eşdeğer ısıl performans kurgusu kullanılmakta, sonuçların iklim koşullarına göre değişeceği ise örtük olarak varsayılmaktadır. Bu çalışmada söz konusu kurgunun kendisi, TS 825:2024'ün altı derece gün bölgesi çerçevesinde sınanmıştır. On dört biyo-bazlı ve dört konvansiyonel alternatif, ısı iletkenliği, birim kütle, alansal ısıl kapasite, yaşam döngüsü karbonu, yangına tepki, yaşam sonu senaryosu, nem duyarlılığı ve duvar kalınlığı ölçütleriyle değerlendirilmiştir. Ağırlıklar entropi, CRITIC ve eşit ağırlık yöntemleriyle, sıralama TOPSIS ve VIKOR ile üretilmiştir. Üç sonuç elde edilmiştir. Sabit ısıl geçirgenlik hedefine dayalı kurgu, gerekli kalınlığın malzemeden bağımsız bir çarpanla ölçeklenmesi nedeniyle iklim bölgesine göre sıralama farkı üretememektedir; yuvarlama devre dışı bırakıldığında bölgeler arası sıra korelasyonu tam olarak birdir. Ağırlıklandırma yönteminin seçimi biyo-bazlı alternatiflerin sıralamadaki yerini yönlü biçimde belirlemektedir. Yaşam döngüsü sistem sınırının seçimi ise birinci sıradaki malzemeyi tüm bölgelerde değiştirmektedir. Bulgular, bir malzeme sıralamasının ancak onu üreten kurgu eksiksiz beyan edildiğinde yorumlanabileceğini göstermektedir.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bCs/>
          <w:i w:val="false"/>
          <w:iCs w:val="false"/>
          <w:sz w:val="18"/>
          <w:szCs w:val="18"/>
        </w:rPr>
        <w:t xml:space="preserve">Anahtar Kelimeler:</w:t>
      </w:r>
      <w:r>
        <w:rPr>
          <w:rFonts w:ascii="Times New Roman" w:cs="Times New Roman" w:eastAsia="Times New Roman" w:hAnsi="Times New Roman"/>
          <w:b w:val="false"/>
          <w:bCs w:val="false"/>
          <w:i w:val="false"/>
          <w:iCs w:val="false"/>
          <w:sz w:val="18"/>
          <w:szCs w:val="18"/>
        </w:rPr>
        <w:t xml:space="preserve"> Biyo-bazlı yalıtım, çok ölçütlü karar verme, yaşam döngüsü sistem sınırı, TS 825, ağırlıklandırma</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Selection of bio-based building envelope materials under the equivalent thermal performance assumption: how the framing determines the result</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Highlights</w:t>
      </w:r>
    </w:p>
    <w:p>
      <w:pPr>
        <w:pStyle w:val="ListParagraph"/>
        <w:numPr>
          <w:ilvl w:val="0"/>
          <w:numId w:val="1"/>
        </w:numPr>
        <w:spacing w:after="0" w:before="0" w:line="360" w:lineRule="auto"/>
        <w:jc w:val="left"/>
      </w:pPr>
      <w:r>
        <w:rPr>
          <w:rFonts w:ascii="Times New Roman" w:cs="Times New Roman" w:eastAsia="Times New Roman" w:hAnsi="Times New Roman"/>
          <w:b w:val="false"/>
          <w:bCs w:val="false"/>
          <w:i w:val="false"/>
          <w:iCs w:val="false"/>
          <w:sz w:val="18"/>
          <w:szCs w:val="18"/>
        </w:rPr>
        <w:t xml:space="preserve">A fixed thermal transmittance target yields no climate-zone ranking difference</w:t>
      </w:r>
    </w:p>
    <w:p>
      <w:pPr>
        <w:pStyle w:val="ListParagraph"/>
        <w:numPr>
          <w:ilvl w:val="0"/>
          <w:numId w:val="1"/>
        </w:numPr>
        <w:spacing w:after="0" w:before="0" w:line="360" w:lineRule="auto"/>
        <w:jc w:val="left"/>
      </w:pPr>
      <w:r>
        <w:rPr>
          <w:rFonts w:ascii="Times New Roman" w:cs="Times New Roman" w:eastAsia="Times New Roman" w:hAnsi="Times New Roman"/>
          <w:b w:val="false"/>
          <w:bCs w:val="false"/>
          <w:i w:val="false"/>
          <w:iCs w:val="false"/>
          <w:sz w:val="18"/>
          <w:szCs w:val="18"/>
        </w:rPr>
        <w:t xml:space="preserve">The weighting method systematically disadvantages bio-based alternatives</w:t>
      </w:r>
    </w:p>
    <w:p>
      <w:pPr>
        <w:pStyle w:val="ListParagraph"/>
        <w:numPr>
          <w:ilvl w:val="0"/>
          <w:numId w:val="1"/>
        </w:numPr>
        <w:spacing w:after="0" w:before="0" w:line="360" w:lineRule="auto"/>
        <w:jc w:val="left"/>
      </w:pPr>
      <w:r>
        <w:rPr>
          <w:rFonts w:ascii="Times New Roman" w:cs="Times New Roman" w:eastAsia="Times New Roman" w:hAnsi="Times New Roman"/>
          <w:b w:val="false"/>
          <w:bCs w:val="false"/>
          <w:i w:val="false"/>
          <w:iCs w:val="false"/>
          <w:sz w:val="18"/>
          <w:szCs w:val="18"/>
        </w:rPr>
        <w:t xml:space="preserve">The system boundary changes the top-ranked material in every climate zone</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Abstract</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Comparisons of bio-based building envelope materials commonly rely on an equivalent thermal performance framing, while implicitly assuming that results vary with climate. This study tests that framing itself within the six degree-day zones of TS 825:2024. Fourteen bio-based and four conventional alternatives are evaluated against thermal conductivity, unit mass, areal heat capacity, life-cycle carbon, reaction to fire, end-of-life scenario, moisture sensitivity and wall thickness. Weights are derived by entropy, CRITIC and equal weighting; rankings by TOPSIS and VIKOR. Three results are obtained. A framing based on a fixed thermal transmittance target cannot produce a climate-zone ranking difference, because the required thickness scales by a material-independent factor; with rounding disabled, the inter-zone rank correlation is exactly unity. The choice of weighting method determines the position of bio-based alternatives in a directional manner. The choice of life-cycle system boundary changes the top-ranked material in every zone. The findings show that a material ranking is interpretable only when the framing that produced it is fully declared.</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bCs/>
          <w:i w:val="false"/>
          <w:iCs w:val="false"/>
          <w:sz w:val="18"/>
          <w:szCs w:val="18"/>
        </w:rPr>
        <w:t xml:space="preserve">Key Words:</w:t>
      </w:r>
      <w:r>
        <w:rPr>
          <w:rFonts w:ascii="Times New Roman" w:cs="Times New Roman" w:eastAsia="Times New Roman" w:hAnsi="Times New Roman"/>
          <w:b w:val="false"/>
          <w:bCs w:val="false"/>
          <w:i w:val="false"/>
          <w:iCs w:val="false"/>
          <w:sz w:val="18"/>
          <w:szCs w:val="18"/>
        </w:rPr>
        <w:t xml:space="preserve"> Bio-based insulation, multi-criteria decision making, life cycle system boundary, TS 825, weighting</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1. Giriş </w:t>
      </w:r>
      <w:r>
        <w:rPr>
          <w:rFonts w:ascii="Times New Roman" w:cs="Times New Roman" w:eastAsia="Times New Roman" w:hAnsi="Times New Roman"/>
          <w:b/>
          <w:bCs/>
          <w:i w:val="false"/>
          <w:iCs w:val="false"/>
          <w:sz w:val="16"/>
          <w:szCs w:val="16"/>
        </w:rPr>
        <w:t xml:space="preserve">(Introduction)</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Binalar, Türkiye'nin nihai enerji tüketiminde en büyük paylardan birine sahiptir; konut ve hizmet binaları 2023 yılında toplam nihai enerji tüketiminin yaklaşık üçte birini oluşturmuştur. Bu payın büyüklüğü, yapı kabuğunun ısıl performansını konfor meselesi olmaktan çıkarıp enerji politikasının doğrudan konusu hâline getirmektedir. TS 825 Binalarda Isı Yalıtımı Kuralları standardı 2024 yılında revize edilmiş, 20 Şubat 2025 tarihli tebliğle 1 Nisan 2025 itibarıyla zorunlu standart olarak yürürlüğe girmiştir [1]. Revizyon iki yapısal değişiklik getirmiştir: derece gün bölgesi sayısı dörtten altıya çıkarılmış ve binaların yalnızca ısıtma ihtiyacına göre tasarlanması dönemi sona ererek soğutma ihtiyacı da hesaba dâhil edilmiştir. Tavsiye edilen ısıl geçirgenlik değerleri iyileştirilmiş, yıllık enerji limitleri 120–150 kWh/m²·yıl düzeyinden 70–90 kWh/m²·yıl düzeyine çekilmiştir [2].</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 düzenleyici değişim, yapı kabuğunda kullanılacak yalıtım malzemesinin seçimini yeniden gündeme getirmektedir. Gerekli yalıtım kalınlıklarının artması, malzeme başına düşen kütlenin ve dolayısıyla gömülü karbonun da artması anlamına gelir. İşletme enerjisi düştükçe bir yapı bileşeninin toplam yaşam döngüsü etkisi içinde gömülü karbonun payı görece büyümekte, bu da malzeme seçimini enerji verimliliği tartışmasının merkezine taşımaktadır [3].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Biyo-bazlı yapı malzemeleri bu noktada iki nedenle öne çıkmaktadır. Birincisi, üretim aşaması emisyonları mineral ve petrokimya esaslı muadillerine kıyasla düşüktür. İkincisi ve daha belirleyicisi, lignoselülozik yapıları nedeniyle büyüme sürecinde atmosferden aldıkları karbonu bileşen ömrü boyunca depolarlar [4]. Ne var ki biyojenik karbonun muhasebeleştirilmesi tartışmalıdır; depolamanın geçici olup olmadığı ve hangi zaman ufkunda hesaba katılacağı üzerine yöntem tartışması sürmektedir [5-7].</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Literatürdeki ısı iletkenlik değerleri malzeme grubuna göre belirgin biçimde ayrışmaktadır. Lif keçelerinde λ = 0,031–0,046 W/mK aralığı raporlanmakta [8], koyun yünü kompozitlerinde ρ = 30–138,7 kg/m³ ve λ = 0,0324–0,0436 W/mK ölçülmüştür [9]. Ahşap lifi levhalarda λ = 0,038 W/mK ve c = 2100 J/kgK düzeyleri bildirilmektedir [10]. Tarımsal atık esaslı panellerde tablo belirgin biçimde değişir: ayçiçeği sapı özünden üretilen bağlayıcısız levhalarda λ = 0,038–0,042 W/mK gibi rekabetçi değerler elde edilirken [11], pirinç kavuzu esaslı levhalarda λ = 0,064–0,140 W/mK raporlanmaktadır [12, 13]. Miselyum kompozitleri bu grubun en oynak verili üyesidir; on dokuz çalışmayı derleyen bir inceleme λ değerlerinin 0,026–0,180 W/mK bandında dağıldığını göstermektedir [14, 15]. Bu tablo iki sonuca işaret eder: biyo-bazlı malzeme tek bir performans sınıfı değildir ve veri kalitesi malzemeye göre büyük ölçüde değişmektedir.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Yapı malzemesi seçimi, birbiriyle çatışan ölçütler içerdiği için çok ölçütlü karar verme yöntemlerinin yerleşik uygulama alanıdır. Yalıtım malzemelerinin sürdürülebilir seçimine odaklanan sistematik bir derleme, alanda ağırlıklı olarak AHP ile ağırlıklandırma ve TOPSIS ile sıralama yapıldığını ortaya koymaktadır [16]. Daha güncel çalışmalar bulanık gösterimler ve farklı yöntemleri de kullanmakta [17], dış duvar seçeneklerinin AHP, ANP ve TOPSIS ile karşılaştırıldığı örnekler bulunmaktadır [18]. Biyo-bazlı malzemelere odaklanan Avrupa ölçekli bir karar analizi, ahşap lifi ve mantarın farklı ağırlık senaryoları altında istikrarlı biçimde ilk sıralarda yer aldığını raporlamaktadır [19].</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Ağırlıklandırma yönteminin sonuca etkisi bu literatürde bilinen bir konudur. Farklı ağırlıklandırma yöntemlerinin sıralamalar arasında kayda değer farklar ürettiği ve sonuçların güvenilirliğinin doğrudan ağırlıklandırmanın güvenilirliğine bağlı olduğu ifade edilmektedir [20, 21]. Objektif yöntemler içinde Shannon entropisi ve CRITIC en yaygın ikilidir; entropi karar matrisindeki yayılımı yüksek ölçütlere daha büyük ağırlık verirken, CRITIC standart sapmanın yanı sıra ölçütler arası korelasyonu da hesaba katar [22, 23]. Dolayısıyla bu çalışma, ağırlıklandırma yönteminin sonucu etkilediği biçiminde genel bir sav ileri sürmemektedir; ele alınan soru daha dar ve yönlüdür.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 çerçevede üç araştırma sorusu tanımlanmıştır. Birincisi, sabit ısıl geçirgenlik hedefine dayalı bir seçim modelinde altı derece gün bölgesi arasında sıralama farkı oluşup oluşmadığıdır. İkincisi, uygulanabilirlik kısıtı ve iklim dengesi modele dâhil edildiğinde bölge etkisinin hangi koşulda ortaya çıktığıdır. Üçüncüsü, ağırlıklandırma ve sistem sınırı seçimlerinin biyo-bazlı alternatiflerin sıralamadaki yerini ne ölçüde belirlediğidir. Çalışmanın amacı belirli bir malzemeyi en iyi ilan etmek değil, karşılaştırmada kullanılan kurgunun kendisini sınamaktır.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 Teorik Metot </w:t>
      </w:r>
      <w:r>
        <w:rPr>
          <w:rFonts w:ascii="Times New Roman" w:cs="Times New Roman" w:eastAsia="Times New Roman" w:hAnsi="Times New Roman"/>
          <w:b/>
          <w:bCs/>
          <w:i w:val="false"/>
          <w:iCs w:val="false"/>
          <w:sz w:val="16"/>
          <w:szCs w:val="16"/>
        </w:rPr>
        <w:t xml:space="preserve">(Theoretical Method)</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Çalışmanın genel akışı Şekil 1'de verilmiştir.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drawing>
          <wp:inline distT="0" distB="0" distL="0" distR="0">
            <wp:extent cx="50387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38725" cy="310515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i w:val="false"/>
          <w:iCs w:val="false"/>
          <w:sz w:val="18"/>
          <w:szCs w:val="18"/>
        </w:rPr>
        <w:t xml:space="preserve">Şekil 1.</w:t>
      </w:r>
      <w:r>
        <w:rPr>
          <w:rFonts w:ascii="Times New Roman" w:cs="Times New Roman" w:eastAsia="Times New Roman" w:hAnsi="Times New Roman"/>
          <w:b w:val="false"/>
          <w:bCs w:val="false"/>
          <w:i w:val="false"/>
          <w:iCs w:val="false"/>
          <w:sz w:val="18"/>
          <w:szCs w:val="18"/>
        </w:rPr>
        <w:t xml:space="preserve"> Model akış şeması </w:t>
      </w:r>
      <w:r>
        <w:rPr>
          <w:rFonts w:ascii="Times New Roman" w:cs="Times New Roman" w:eastAsia="Times New Roman" w:hAnsi="Times New Roman"/>
          <w:b/>
          <w:bCs/>
          <w:i w:val="false"/>
          <w:iCs w:val="false"/>
          <w:sz w:val="16"/>
          <w:szCs w:val="16"/>
        </w:rPr>
        <w:t xml:space="preserve">(Model flow chart)</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2.1. Fonksiyonel Birim ve Orantılılık Önermesi </w:t>
      </w:r>
      <w:r>
        <w:rPr>
          <w:rFonts w:ascii="Times New Roman" w:cs="Times New Roman" w:eastAsia="Times New Roman" w:hAnsi="Times New Roman"/>
          <w:b/>
          <w:bCs/>
          <w:i w:val="false"/>
          <w:iCs w:val="false"/>
          <w:sz w:val="16"/>
          <w:szCs w:val="16"/>
        </w:rPr>
        <w:t xml:space="preserve">(Functional Unit and the Proportionality Proposition)</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Karşılaştırma birimi, TS 825:2024'ün ilgili derece gün bölgesi için tavsiye ettiği ısıl geçirgenlik değerini sağlayan 1 m² dış duvar bileşenidir. Malzemeleri doğrudan ısı iletkenlik katsayısına göre karşılaştırmak yanıltıcı olur; eşdeğer ısıl performans koşulu her malzemenin farklı kalınlıkta kullanılmasını gerektirir ve bu fark kütleye, gömülü karbona ve kaybedilen kullanım alanına yansır. Toplam ısıl direnç, yalıtım katmanı ile diğer katmanların ve yüzeysel dirençlerin toplamıdır: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1/U_b = R_diğer + d/λ     (1)</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Buradan, b bölgesinde m malzemesi için gereken yalıtım kalınlığı:</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d_{m,b} = λ_m (1/U_b − R_diğer) = λ_m K_b     (2)</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Eş. 2'deki K_b terimi yalnızca bölgeye bağlıdır ve malzemeden bağımsızdır. Kalınlık, uygulama gerçekliğine uygun olarak en yakın santimetreye yuvarlanmıştır.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bCs/>
          <w:i w:val="false"/>
          <w:iCs w:val="false"/>
          <w:sz w:val="18"/>
          <w:szCs w:val="18"/>
        </w:rPr>
        <w:t xml:space="preserve">Önerme.</w:t>
      </w:r>
      <w:r>
        <w:rPr>
          <w:rFonts w:ascii="Times New Roman" w:cs="Times New Roman" w:eastAsia="Times New Roman" w:hAnsi="Times New Roman"/>
          <w:b w:val="false"/>
          <w:bCs w:val="false"/>
          <w:i w:val="false"/>
          <w:iCs w:val="false"/>
          <w:sz w:val="18"/>
          <w:szCs w:val="18"/>
        </w:rPr>
        <w:t xml:space="preserve"> Karar matrisinin her sütunu ya bölgeden bağımsız bir malzeme özelliğidir ya da x_{m,b} = φ(m) K_b biçiminde yazılabilir. Bu koşulda, sütun bazlı ölçek değişimine duyarsız bir normalizasyon kullanan her sıralama yöntemi tüm bölgelerde özdeş sıralama üretir.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Kalınlıktan türeyen büyüklüklerin tamamı ortak K_b çarpanını taşır: birim kütle λρK_b, gömülü karbon λρεK_b, alansal ısıl kapasite λρcK_b ve kalınlık kaybı λK_b biçimindedir. Geriye kalan ölçütler malzeme özellikleridir ve bölgeye göre değişmez. TOPSIS'in vektörel normalizasyonunda j sütunu için:</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r_{mj} = φ_j(m) K_b / [Σ_i φ_j(i)² K_b²]^(1/2) = φ_j(m) / [Σ_i φ_j(i)²]^(1/2)     (3)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K_b tam olarak sadeleşir ve normalize matris bölgeden bağımsız hâle gelir. Aynı sadeleşme VIKOR'un min-maks normalizasyonunda ve entropi ile CRITIC'in dayandığı normalize sütun istatistiklerinde de gerçekleşir; dolayısıyla ağırlıklar da bölgeye göre değişmez.</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2.2. Alternatifler ve Ölçüt Seti </w:t>
      </w:r>
      <w:r>
        <w:rPr>
          <w:rFonts w:ascii="Times New Roman" w:cs="Times New Roman" w:eastAsia="Times New Roman" w:hAnsi="Times New Roman"/>
          <w:b/>
          <w:bCs/>
          <w:i w:val="false"/>
          <w:iCs w:val="false"/>
          <w:sz w:val="16"/>
          <w:szCs w:val="16"/>
        </w:rPr>
        <w:t xml:space="preserve">(Alternatives and Criteria Set)</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On dört biyo-bazlı ve dört konvansiyonel olmak üzere on sekiz alternatif değerlendirilmiştir (Tablo 1). Konvansiyonel grup kıyas amacıyla dâhil edilmiş, biyo-bazlı olanın üstün olduğu varsayımı sınanmaksızın kabul edilmemiştir. Ölçüt seti Tablo 2'de verilmiştir.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1.</w:t>
      </w:r>
      <w:r>
        <w:rPr>
          <w:rFonts w:ascii="Times New Roman" w:cs="Times New Roman" w:eastAsia="Times New Roman" w:hAnsi="Times New Roman"/>
          <w:b w:val="false"/>
          <w:bCs w:val="false"/>
          <w:i w:val="false"/>
          <w:iCs w:val="false"/>
          <w:sz w:val="18"/>
          <w:szCs w:val="18"/>
        </w:rPr>
        <w:t xml:space="preserve"> Değerlendirilen alternatifler </w:t>
      </w:r>
      <w:r>
        <w:rPr>
          <w:rFonts w:ascii="Times New Roman" w:cs="Times New Roman" w:eastAsia="Times New Roman" w:hAnsi="Times New Roman"/>
          <w:b/>
          <w:bCs/>
          <w:i w:val="false"/>
          <w:iCs w:val="false"/>
          <w:sz w:val="16"/>
          <w:szCs w:val="16"/>
        </w:rPr>
        <w:t xml:space="preserve">(Alternatives evaluated)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Kod</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Malzeme</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Grup</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λ (W/mK)</w:t>
            </w:r>
          </w:p>
        </w:tc>
        <w:tc>
          <w:tcPr>
            <w:tcW w:type="dxa" w:w="181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ρ (kg/m³)</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M01</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Ahşap lifi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Lifli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0,038</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50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M02</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Kenevir lifi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Lifli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Keten lifi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Lifli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0,038</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35</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M04</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Koyun yünü</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Lifli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0,038</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60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Geri dönüşüm tekstil</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Lifli levha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0,039</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35</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M06</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Selüloz (püskürtme)</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Dökme/dolgu</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50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M07</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Kenevir-kireç (hempcrete)</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Dökme/dolgu</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0,060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330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M08</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Saman balya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Dökme/dolgu</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0,060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M09</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Genleştirilmiş mantar (ICB)</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Kabuk/atık esaslı</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0,045</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110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M10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Pirinç kavuzu paneli</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Kabuk/atık esaslı</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0,070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400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M11</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Ayçiçeği sapı özü paneli</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Kabuk/atık esaslı</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75</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M12</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Şeker kamışı küspesi paneli</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Kabuk/atık esaslı</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0,055</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250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M13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Fındık kabuğu esaslı panel</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Kabuk/atık esaslı</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0,060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300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M14</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Miselyum esaslı kompozit</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Büyütülmüş</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0,047</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120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R01</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EPS</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Kıyas</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0,035</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R02</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XPS</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Kıyas</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0,032</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32</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R03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Taşyünü</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Kıyas</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0,037</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29</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R04</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Camyünü</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Kıyas</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0,035</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20</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2.</w:t>
      </w:r>
      <w:r>
        <w:rPr>
          <w:rFonts w:ascii="Times New Roman" w:cs="Times New Roman" w:eastAsia="Times New Roman" w:hAnsi="Times New Roman"/>
          <w:b w:val="false"/>
          <w:bCs w:val="false"/>
          <w:i w:val="false"/>
          <w:iCs w:val="false"/>
          <w:sz w:val="18"/>
          <w:szCs w:val="18"/>
        </w:rPr>
        <w:t xml:space="preserve"> Ölçüt seti ve yönleri </w:t>
      </w:r>
      <w:r>
        <w:rPr>
          <w:rFonts w:ascii="Times New Roman" w:cs="Times New Roman" w:eastAsia="Times New Roman" w:hAnsi="Times New Roman"/>
          <w:b/>
          <w:bCs/>
          <w:i w:val="false"/>
          <w:iCs w:val="false"/>
          <w:sz w:val="16"/>
          <w:szCs w:val="16"/>
        </w:rPr>
        <w:t xml:space="preserve">(Criteria set and optimisation directions)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Kod</w:t>
            </w:r>
          </w:p>
        </w:tc>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Ölçüt</w:t>
            </w:r>
          </w:p>
        </w:tc>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Birim</w:t>
            </w:r>
          </w:p>
        </w:tc>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Yön</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Ö1</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Isı iletkenliği</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küçük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Ö2</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Birim kütle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küçük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Ö3</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Alansal ısıl kapasite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büyük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Ö5</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Gömülü karbon</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küçük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Ö6</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Biyojenik karbon</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küçük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Ö7</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Yangına tepki</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büyük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Ö9</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Yaşam sonu senaryosu</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büyük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Ö10</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Nem/küf duyarlılığı</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küçük</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Ö11</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Duvar kalınlığı kaybı</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küçük</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Isıl ve fiziksel özellikler hakemli kaynaklardan, gömülü ve biyojenik karbon ile yaşam sonu modülleri ÖKOBAUDAT veri tabanından alınmıştır [24]. Her hücre için kaynak ve 1–5 arası veri kalitesi puanı kaydedilmiştir. Veri tabanı kayıtları kg, m² ve m³ başına beyan edildiğinden birim normalizasyonu uygulanmış; beyan edilen birimi kütleye güvenle çevrilemeyen kayıtlar, çevrim çarpanı yer tutucu olan kayıtlar ve yalıtım sınıflandırması dışındaki ürünler elenmiştir.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Eksik değerler sıfıra çevrilmemiştir; sıfıra çevirme bir ölçütü görünmez biçimde etkisizleştirir. Eksik oranı %50'yi aşan ölçüt modelden çıkarılmıştır. Bu kural gereği gömülü karbon ve maliyet ölçütleri ana çalıştırmada yer almamış, model sekiz ölçütle yürütülmüştür. Gömülü karbonun etkisi, veri bakımından tam olan on bir alternatiflik alt küme üzerinde ayrıca incelenmiştir.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2.3. Hesap Temelinin Doğrulanması </w:t>
      </w:r>
      <w:r>
        <w:rPr>
          <w:rFonts w:ascii="Times New Roman" w:cs="Times New Roman" w:eastAsia="Times New Roman" w:hAnsi="Times New Roman"/>
          <w:b/>
          <w:bCs/>
          <w:i w:val="false"/>
          <w:iCs w:val="false"/>
          <w:sz w:val="16"/>
          <w:szCs w:val="16"/>
        </w:rPr>
        <w:t xml:space="preserve">(Validation of the Calculation Basis)</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Eş. 2'deki R_diğer parametresi bağımsız bir kaynakla kalibre edilmiştir. TS 825:2024 için yayımlanmış asgari yalıtım kalınlığı tablosu, dört il ve iki ısı iletkenlik değeri için sekiz veri noktası sunmaktadır [2]. R_diğer = 0,30 m²K/W alındığında hesaplanan kalınlıklar bu sekiz noktanın tamamıyla örtüşmektedir (Tablo 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3.</w:t>
      </w:r>
      <w:r>
        <w:rPr>
          <w:rFonts w:ascii="Times New Roman" w:cs="Times New Roman" w:eastAsia="Times New Roman" w:hAnsi="Times New Roman"/>
          <w:b w:val="false"/>
          <w:bCs w:val="false"/>
          <w:i w:val="false"/>
          <w:iCs w:val="false"/>
          <w:sz w:val="18"/>
          <w:szCs w:val="18"/>
        </w:rPr>
        <w:t xml:space="preserve"> Hesaplanan yalıtım kalınlıklarının yayımlanmış tabloyla karşılaştırılması </w:t>
      </w:r>
      <w:r>
        <w:rPr>
          <w:rFonts w:ascii="Times New Roman" w:cs="Times New Roman" w:eastAsia="Times New Roman" w:hAnsi="Times New Roman"/>
          <w:b/>
          <w:bCs/>
          <w:i w:val="false"/>
          <w:iCs w:val="false"/>
          <w:sz w:val="16"/>
          <w:szCs w:val="16"/>
        </w:rPr>
        <w:t xml:space="preserve">(Calculated insulation thicknesses versus the published table)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İl (bölge)</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U (W/m²K)</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λ (W/mK)</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Hesaplanan (cm)</w:t>
            </w:r>
          </w:p>
        </w:tc>
        <w:tc>
          <w:tcPr>
            <w:tcW w:type="dxa" w:w="181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Yayımlanmış (cm)</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Antalya (1)</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0,45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7</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7</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Antalya (1)</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0,45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8</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8</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İstanbul (3)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0,40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8</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8</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İstanbul (3)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0,40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9</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9</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Ankara (4)</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0,35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9</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9</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Ankara (4)</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0,35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10</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Erzurum (6)</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0,035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13</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13</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Erzurum (6)</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0,040</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15</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 15</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2.4. İklim Verisi ve İklim Dengesi </w:t>
      </w:r>
      <w:r>
        <w:rPr>
          <w:rFonts w:ascii="Times New Roman" w:cs="Times New Roman" w:eastAsia="Times New Roman" w:hAnsi="Times New Roman"/>
          <w:b/>
          <w:bCs/>
          <w:i w:val="false"/>
          <w:iCs w:val="false"/>
          <w:sz w:val="16"/>
          <w:szCs w:val="16"/>
        </w:rPr>
        <w:t xml:space="preserve">(Climate Data and Climate Balance)</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İklim verisi PVGIS servisinden alınmıştır [25]: aylık ortalama dış hava sıcaklıkları ERA5 kaynaklı, düşey yüzeylere gelen yön bazlı aylık ortalama ışınım şiddetleri PVGIS-SARAH2 kaynaklıdır; her ikisi de 2018–2020 ortalamalarıdır. Enerji hesabı, il–bölge eşleşmesi bağımsız olarak doğrulanabilen dört bölge için yürütülmüştür.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Her bölge için ısıtma derece günü (IDG) ve soğutma derece günü (SDG) hesaplanmış, soğutma payı σ_b = SDG/(IDG+SDG) olarak tanımlanmıştır. Isıtma tabanı 20 °C, soğutma tabanı 22 °C alınmıştır; 26 °C tasarım sıcaklığı aylık ortalamalarla birlikte kullanıldığında Türkiye'de nadiren aşıldığından anlamlı bir gradyan üretmemektedir.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2.5. Ağırlıklandırma ve İklim Ayarı </w:t>
      </w:r>
      <w:r>
        <w:rPr>
          <w:rFonts w:ascii="Times New Roman" w:cs="Times New Roman" w:eastAsia="Times New Roman" w:hAnsi="Times New Roman"/>
          <w:b/>
          <w:bCs/>
          <w:i w:val="false"/>
          <w:iCs w:val="false"/>
          <w:sz w:val="16"/>
          <w:szCs w:val="16"/>
        </w:rPr>
        <w:t xml:space="preserve">(Weighting and Climate Adjustment)</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Üç objektif yöntem karşılaştırmalı olarak kullanılmıştır. Shannon entropisinde normalize matris üzerinden e_j = −k Σ_m p_{mj} ln p_{mj} ve k = 1/ln n ile w_j ∝ 1 − e_j hesaplanır. CRITIC'te C_j = σ_j Σ_k (1 − ρ_{jk}) ile standart sapmanın yanı sıra ölçütler arası korelasyon da hesaba katılır. Eşit ağırlık w_j = 1/m kontrol kurgusudur. Uzman anketine dayalı subjektif ağırlıklandırma, yanıt havuzuna bağımlılığı ortadan kaldırmak ve tekrarlanabilirliği korumak amacıyla bilinçli olarak kullanılmamıştır.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Bölgeye bağlı ağırlık ayarı şu biçimdedir: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w′_j = w_j (1 + α s_j(b))     (4)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Burada alansal ısıl kapasite için s_j(b) = σ_b, nem duyarlılığı için s_j(b) = 1 − σ_b alınır; diğer ölçütlerde s_j = 0'dır. Gerekçe fizikseldir: ısıl kütle kazançların kullanılabilirliğini artırdığı için kazançların paya sahip olduğu bölgelerde anlamlıdır, yoğuşma ve küf riski ise ısıtma sezonunun uzunluğuyla ağırlaşır. Duyarlılık parametresi α temel çalıştırmada 1,0 alınmıştır. Eş. 4, K_b ile orantılı olmayan bir yapı ürettiği için 2.1'deki önermenin kapsamı dışındadır.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2.6. Sıralama ve Uygulanabilirlik Kısıtı </w:t>
      </w:r>
      <w:r>
        <w:rPr>
          <w:rFonts w:ascii="Times New Roman" w:cs="Times New Roman" w:eastAsia="Times New Roman" w:hAnsi="Times New Roman"/>
          <w:b/>
          <w:bCs/>
          <w:i w:val="false"/>
          <w:iCs w:val="false"/>
          <w:sz w:val="16"/>
          <w:szCs w:val="16"/>
        </w:rPr>
        <w:t xml:space="preserve">(Ranking and Buildability Constraint)</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TOPSIS birincil yöntemdir; ağırlıklı normalize matris üzerinden ideal ve negatif ideal çözümlere Öklid uzaklıkları hesaplanarak yakınlık katsayısı C_m = d⁻_m/(d⁺_m + d⁻_m) elde edilir. VIKOR (v = 0,5) yöntem tutarlılığı kontrolü için kullanılmıştır. Sıralamalar Spearman sıra korelasyonu ile karşılaştırılmıştır.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Duvar bileşeninde uygulanabilir kabul edilen azami yalıtım kalınlığı aşıldığında alternatif, o bölge için uygun kümeden çıkarılmıştır. Temel çalıştırmada bu eşik 20 cm alınmıştır. Kısıt, Eş. 2 gereği bölgeye göre farklı alternatifleri elediğinden uygun küme bölgeye bağımlı hâle gelir.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2.7. Yaşam Döngüsü Sistem Sınırı </w:t>
      </w:r>
      <w:r>
        <w:rPr>
          <w:rFonts w:ascii="Times New Roman" w:cs="Times New Roman" w:eastAsia="Times New Roman" w:hAnsi="Times New Roman"/>
          <w:b/>
          <w:bCs/>
          <w:i w:val="false"/>
          <w:iCs w:val="false"/>
          <w:sz w:val="16"/>
          <w:szCs w:val="16"/>
        </w:rPr>
        <w:t xml:space="preserve">(Life Cycle System Boundary)</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Ürün beyanı modülleri kullanılarak üç sistem sınırı tanımlanmıştır [26]: S1 yalnızca A1–A3 modüllerini (beşikten kapıya, biyojenik alım dâhil), S2 buna C3 ve C4 modüllerini (beşikten mezara), S3 ise ek olarak D modülünü kapsar. Çifte sayımı önlemek için bu analizde gömülü karbon ve biyojenik karbon ayrı ölçüt olarak kullanılmamış, yerlerini tek bir yaşam döngüsü karbonu ölçütü almıştır.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Yaşam sonu senaryosunun sonucu ne ölçüde belirlediğini ölçmek için, C3 modülünde beyan edilen salımın gerçekleşen oranı φ bir duyarlılık parametresi olarak tanımlanmıştır. φ = 1 beyan edilen senaryoyu, φ = 0 depolanan biyojenik karbonun hiç salınmadığı sınır durumu temsil eder.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2.8. Referans Konut ve Aylık Enerji Hesabı </w:t>
      </w:r>
      <w:r>
        <w:rPr>
          <w:rFonts w:ascii="Times New Roman" w:cs="Times New Roman" w:eastAsia="Times New Roman" w:hAnsi="Times New Roman"/>
          <w:b/>
          <w:bCs/>
          <w:i w:val="false"/>
          <w:iCs w:val="false"/>
          <w:sz w:val="16"/>
          <w:szCs w:val="16"/>
        </w:rPr>
        <w:t xml:space="preserve">(Reference Dwelling and Monthly Energy Calculation)</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Doğrulama adımı, tam tanımlı temsili bir referans konut üzerinde yürütülmüştür: 24,0 × 12,0 m plan, beş kat, 2,80 m kat yüksekliği, 4032 m³ brüt hacim, 1440 m² şartlandırılmış döşeme alanı, 184,8 m² pencere alanı ve 0,393 A/V oranı. Binanın özgül ısı kaybı H = H_T + H_V biçiminde, iletim bileşeni H_T = U_D A_opak + U_P A_pencere + 0,8 U_T A_çatı + 0,5 U_t A_taban ve havalandırma bileşeni H_V = 0,33 A_f n_h olarak hesaplanmıştır.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Aylık net ısıtma ve soğutma enerjisi ihtiyaçları, kazanç ve kayıp kullanım faktörleri üzerinden belirlenmiştir [27]. Fonksiyonel birim sabit U hedefine dayandığı için yalıtım malzemesi değiştiğinde H değişmez; malzemenin yıllık enerjiye etki edebileceği tek yol ısıl kütlesi C üzerinden kullanım faktörüdür. Bu nedenle iki kurgu karşılaştırılmıştır: kullanım faktörünün zaman sabitinden bağımsız olduğu kurgu A ve zaman sabitine bağlı olduğu kurgu B (a = a₀ + τ/τ₀, τ = C/H).</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 Sonuçlar ve Tartışmalar </w:t>
      </w:r>
      <w:r>
        <w:rPr>
          <w:rFonts w:ascii="Times New Roman" w:cs="Times New Roman" w:eastAsia="Times New Roman" w:hAnsi="Times New Roman"/>
          <w:b/>
          <w:bCs/>
          <w:i w:val="false"/>
          <w:iCs w:val="false"/>
          <w:sz w:val="16"/>
          <w:szCs w:val="16"/>
        </w:rPr>
        <w:t xml:space="preserve">(Results and Discussions)</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3.1. Orantılılık Önermesinin Sınanması </w:t>
      </w:r>
      <w:r>
        <w:rPr>
          <w:rFonts w:ascii="Times New Roman" w:cs="Times New Roman" w:eastAsia="Times New Roman" w:hAnsi="Times New Roman"/>
          <w:b/>
          <w:bCs/>
          <w:i w:val="false"/>
          <w:iCs w:val="false"/>
          <w:sz w:val="16"/>
          <w:szCs w:val="16"/>
        </w:rPr>
        <w:t xml:space="preserve">(Testing the Proportionality Proposition)</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Yuvarlama devre dışı bırakıldığında, üç ağırlıklandırma ve iki sıralama yöntemi için altı bölge arasındaki Spearman sıra korelasyonu 1,000000; entropi ağırlıklarının bölgeler arası azami farkı 0,00 × 10⁰ çıkmıştır. Kalınlık en yakın santimetreye yuvarlandığında korelasyon 0,9938–1,0000 aralığına inmektedir. Gözlenen tüm sapmanın kaynağı yuvarlamadır; fiziksel bir bölge etkisi yoktur (Şekil 2).</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drawing>
          <wp:inline distT="0" distB="0" distL="0" distR="0">
            <wp:extent cx="30575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57525" cy="234315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i w:val="false"/>
          <w:iCs w:val="false"/>
          <w:sz w:val="18"/>
          <w:szCs w:val="18"/>
        </w:rPr>
        <w:t xml:space="preserve">Şekil 2.</w:t>
      </w:r>
      <w:r>
        <w:rPr>
          <w:rFonts w:ascii="Times New Roman" w:cs="Times New Roman" w:eastAsia="Times New Roman" w:hAnsi="Times New Roman"/>
          <w:b w:val="false"/>
          <w:bCs w:val="false"/>
          <w:i w:val="false"/>
          <w:iCs w:val="false"/>
          <w:sz w:val="18"/>
          <w:szCs w:val="18"/>
        </w:rPr>
        <w:t xml:space="preserve"> Gerekli yalıtım kalınlığının bölgeler arası oranı; kalın çizgi teorik oranı, ince çizgiler on sekiz alternatifin gerçekleşen oranını gösterir. Yayılımın tek kaynağı bir santimetreye yuvarlamadır </w:t>
      </w:r>
      <w:r>
        <w:rPr>
          <w:rFonts w:ascii="Times New Roman" w:cs="Times New Roman" w:eastAsia="Times New Roman" w:hAnsi="Times New Roman"/>
          <w:b/>
          <w:bCs/>
          <w:i w:val="false"/>
          <w:iCs w:val="false"/>
          <w:sz w:val="16"/>
          <w:szCs w:val="16"/>
        </w:rPr>
        <w:t xml:space="preserve">(Inter-zone ratio of required insulation thickness; the bold line is the theoretical ratio and the thin lines the realised ratios of eighteen alternatives. The spread arises solely from rounding to one centimetre)</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 sonuç, birinci araştırma sorusunun cevabıdır: sabit ısıl geçirgenlik hedefine dayalı bir seçim modelinde bölgeler arası sıralama farkı oluşmaz. Bu, veriye bağlı bir gözlem değil, kurgunun analitik sonucudur.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3.2. Bölge Etkisini Üreten Mekanizmalar </w:t>
      </w:r>
      <w:r>
        <w:rPr>
          <w:rFonts w:ascii="Times New Roman" w:cs="Times New Roman" w:eastAsia="Times New Roman" w:hAnsi="Times New Roman"/>
          <w:b/>
          <w:bCs/>
          <w:i w:val="false"/>
          <w:iCs w:val="false"/>
          <w:sz w:val="16"/>
          <w:szCs w:val="16"/>
        </w:rPr>
        <w:t xml:space="preserve">(Mechanisms Producing the Zone Effect)</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Derece gün değerleri bölgeler arasında tek yönlü ve düzgün bir gradyan göstermektedir (Tablo 4). Uygulanabilirlik kısıtı, 1–4. bölgelerde eleme yapmazken 5. ve 6. bölgelerde dört alternatifi elemektedir: kenevir-kireç, saman balya, pirinç kavuzu paneli ve fındık kabuğu paneli. Elenenlerin tamamı yüksek ısı iletkenlikli, hacimli biyo-bazlı ürünlerdir.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4.</w:t>
      </w:r>
      <w:r>
        <w:rPr>
          <w:rFonts w:ascii="Times New Roman" w:cs="Times New Roman" w:eastAsia="Times New Roman" w:hAnsi="Times New Roman"/>
          <w:b w:val="false"/>
          <w:bCs w:val="false"/>
          <w:i w:val="false"/>
          <w:iCs w:val="false"/>
          <w:sz w:val="18"/>
          <w:szCs w:val="18"/>
        </w:rPr>
        <w:t xml:space="preserve"> Bölgelerin ısıtma ve soğutma derece günleri </w:t>
      </w:r>
      <w:r>
        <w:rPr>
          <w:rFonts w:ascii="Times New Roman" w:cs="Times New Roman" w:eastAsia="Times New Roman" w:hAnsi="Times New Roman"/>
          <w:b/>
          <w:bCs/>
          <w:i w:val="false"/>
          <w:iCs w:val="false"/>
          <w:sz w:val="16"/>
          <w:szCs w:val="16"/>
        </w:rPr>
        <w:t xml:space="preserve">(Heating and cooling degree days of the zones)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Bölge</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Temsilci il</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IDG (°C·gün)</w:t>
            </w:r>
          </w:p>
        </w:tc>
        <w:tc>
          <w:tcPr>
            <w:tcW w:type="dxa" w:w="1814"/>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SDG (°C·gün)</w:t>
            </w:r>
          </w:p>
        </w:tc>
        <w:tc>
          <w:tcPr>
            <w:tcW w:type="dxa" w:w="181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Soğutma payı</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 · Aşırı Sıcak</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Antalya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1253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717</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%36,4</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 · Ilıman</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İstanbul</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2001</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164</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%7,6</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 · Soğuk</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Ankara</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2933</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81</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%2,7</w:t>
            </w:r>
          </w:p>
        </w:tc>
      </w:tr>
      <w:tr>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6 · Aşırı Soğuk</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Erzurum</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4985</w:t>
            </w:r>
          </w:p>
        </w:tc>
        <w:tc>
          <w:tcPr>
            <w:tcW w:type="dxa" w:w="1814"/>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w:t>
            </w:r>
          </w:p>
        </w:tc>
        <w:tc>
          <w:tcPr>
            <w:tcW w:type="dxa" w:w="1816"/>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%0,0</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Mekanizmaların sıralamaya etkisi Şekil 3'te verilmiştir. Ham modelde 1. ve 6. bölge arasındaki korelasyon 0,998 iken, uygulanabilirlik kısıtıyla 0,982'ye, iklim ayarlı ağırlıklandırmayla 0,567'ye inmektedir. Tam modelde değer 0,824'tür; bunun nedeni kısıtın ortak alternatif kümesini 18'den 14'e daraltması ve karşılaştırmanın bu daraltılmış küme üzerinden yapılmasıdır.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drawing>
          <wp:inline distT="0" distB="0" distL="0" distR="0">
            <wp:extent cx="44958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2085975"/>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i w:val="false"/>
          <w:iCs w:val="false"/>
          <w:sz w:val="18"/>
          <w:szCs w:val="18"/>
        </w:rPr>
        <w:t xml:space="preserve">Şekil 3.</w:t>
      </w:r>
      <w:r>
        <w:rPr>
          <w:rFonts w:ascii="Times New Roman" w:cs="Times New Roman" w:eastAsia="Times New Roman" w:hAnsi="Times New Roman"/>
          <w:b w:val="false"/>
          <w:bCs w:val="false"/>
          <w:i w:val="false"/>
          <w:iCs w:val="false"/>
          <w:sz w:val="18"/>
          <w:szCs w:val="18"/>
        </w:rPr>
        <w:t xml:space="preserve"> Mekanizmaların bölge etkisine katkısı; düşük korelasyon güçlü bölge etkisi anlamına gelir </w:t>
      </w:r>
      <w:r>
        <w:rPr>
          <w:rFonts w:ascii="Times New Roman" w:cs="Times New Roman" w:eastAsia="Times New Roman" w:hAnsi="Times New Roman"/>
          <w:b/>
          <w:bCs/>
          <w:i w:val="false"/>
          <w:iCs w:val="false"/>
          <w:sz w:val="16"/>
          <w:szCs w:val="16"/>
        </w:rPr>
        <w:t xml:space="preserve">(Contribution of the mechanisms to the climate-zone effect; a lower correlation indicates a stronger zone effect)</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İkinci araştırma sorusunun cevabı buradadır: bölge etkisi, K_b ile orantılı olmayan bir yapı modele girdiğinde ortaya çıkar. Uygulamada bu, soğuk bölgelerde yüksek ısı iletkenlikli biyo-bazlı ürünlerin gereken duvar kalınlığı nedeniyle kullanılamaz hâle gelmesi biçiminde somutlaşmaktadır.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3.3. Ağırlıklandırma Yönteminin Etkisi </w:t>
      </w:r>
      <w:r>
        <w:rPr>
          <w:rFonts w:ascii="Times New Roman" w:cs="Times New Roman" w:eastAsia="Times New Roman" w:hAnsi="Times New Roman"/>
          <w:b/>
          <w:bCs/>
          <w:i w:val="false"/>
          <w:iCs w:val="false"/>
          <w:sz w:val="16"/>
          <w:szCs w:val="16"/>
        </w:rPr>
        <w:t xml:space="preserve">(Effect of the Weighting Method)</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Ağırlıklandırma yöntemine göre en ağır ölçüt ve ilk üç sıra Tablo 5'te verilmiştir. Entropi, ağırlığın yaklaşık üçte birini tek bir sıralı ölçüte, yangına tepki sınıfına vermektedir. Bu ölçütte mineral esaslı ürünler diğer alternatiflerden keskin biçimde ayrıldığı için, yayılıma duyarlı bir yöntem bu tek ölçüt üzerinden mineral yünleri öne çıkarmaktadır. CRITIC ve eşit ağırlık ise aynı tarımsal atık esaslı panelleri ilk sıralara koymaktadır.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5.</w:t>
      </w:r>
      <w:r>
        <w:rPr>
          <w:rFonts w:ascii="Times New Roman" w:cs="Times New Roman" w:eastAsia="Times New Roman" w:hAnsi="Times New Roman"/>
          <w:b w:val="false"/>
          <w:bCs w:val="false"/>
          <w:i w:val="false"/>
          <w:iCs w:val="false"/>
          <w:sz w:val="18"/>
          <w:szCs w:val="18"/>
        </w:rPr>
        <w:t xml:space="preserve"> Ağırlıklandırma yöntemine göre en ağır ölçüt ve ilk üç sıra </w:t>
      </w:r>
      <w:r>
        <w:rPr>
          <w:rFonts w:ascii="Times New Roman" w:cs="Times New Roman" w:eastAsia="Times New Roman" w:hAnsi="Times New Roman"/>
          <w:b/>
          <w:bCs/>
          <w:i w:val="false"/>
          <w:iCs w:val="false"/>
          <w:sz w:val="16"/>
          <w:szCs w:val="16"/>
        </w:rPr>
        <w:t xml:space="preserve">(Heaviest criterion and top three alternatives by weighting method)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Yöntem</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 ağır ölçüt</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Payı</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Entropi</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Ö7 Yangına tepki</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%32,9</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Taşyünü</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Camyünü</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Kenevir-kireç (hempcrete)</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CRITIC</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Ö6 Biyojenik karbon</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%17,6</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Pirinç kavuzu paneli</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Fındık kabuğu esaslı panel</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Şeker kamışı küspesi paneli</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Eşit</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Ö10 Nem/küf duyarlılığı</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%18,2</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Pirinç kavuzu paneli</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Fındık kabuğu esaslı panel</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Kenevir-kireç (hempcrete)</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Bulgu, doğrulanmış ürün beyanlarıyla çalışılan tam veri alt kümesinde de korunmaktadır. Bu alt kümede CRITIC'in de en ağır ölçütü yangına tepkidir, ancak payı %16,9'dur: CRITIC aynı ölçütü tanımakta, fakat tek başına egemen olmasına izin vermemektedir.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TOPSIS ve VIKOR sıralamaları arasındaki Spearman korelasyonu 0,350–0,509 düzeyindedir. Bu, sıralama yönteminin seçiminin de sonucu etkilediğini göstermekte ve tek bir sıralamanın doğru cevap olarak sunulmasını engellemektedir.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3.4. Sistem Sınırının Etkisi </w:t>
      </w:r>
      <w:r>
        <w:rPr>
          <w:rFonts w:ascii="Times New Roman" w:cs="Times New Roman" w:eastAsia="Times New Roman" w:hAnsi="Times New Roman"/>
          <w:b/>
          <w:bCs/>
          <w:i w:val="false"/>
          <w:iCs w:val="false"/>
          <w:sz w:val="16"/>
          <w:szCs w:val="16"/>
        </w:rPr>
        <w:t xml:space="preserve">(Effect of the System Boundary)</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Yaşam döngüsü modülleri incelendiğinde, biyo-bazlı malzemelerin A1–A3'te aldığı biyojenik karbonun C3'te yeniden salındığı görülmektedir. Altı malzemede alım ve salım ±0,04 kgCO₂e/kg içinde birbirini götürmektedir. Sistem sınırına göre yaşam döngüsü karbonu Tablo 6'da, sıralama değişimi Şekil 4'te verilmiştir.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6.</w:t>
      </w:r>
      <w:r>
        <w:rPr>
          <w:rFonts w:ascii="Times New Roman" w:cs="Times New Roman" w:eastAsia="Times New Roman" w:hAnsi="Times New Roman"/>
          <w:b w:val="false"/>
          <w:bCs w:val="false"/>
          <w:i w:val="false"/>
          <w:iCs w:val="false"/>
          <w:sz w:val="18"/>
          <w:szCs w:val="18"/>
        </w:rPr>
        <w:t xml:space="preserve"> Sistem sınırına göre yaşam döngüsü karbonu (kgCO₂e/kg) </w:t>
      </w:r>
      <w:r>
        <w:rPr>
          <w:rFonts w:ascii="Times New Roman" w:cs="Times New Roman" w:eastAsia="Times New Roman" w:hAnsi="Times New Roman"/>
          <w:b/>
          <w:bCs/>
          <w:i w:val="false"/>
          <w:iCs w:val="false"/>
          <w:sz w:val="16"/>
          <w:szCs w:val="16"/>
        </w:rPr>
        <w:t xml:space="preserve">(Life-cycle carbon by system boundary)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Malzeme</w:t>
            </w:r>
          </w:p>
        </w:tc>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S1 (A1–A3)</w:t>
            </w:r>
          </w:p>
        </w:tc>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S2 (+C)</w:t>
            </w:r>
          </w:p>
        </w:tc>
        <w:tc>
          <w:tcPr>
            <w:tcW w:type="dxa" w:w="2268"/>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S3 (+C+D)</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Selüloz (püskürtme)</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-1,599</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0,273</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-0,239</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Saman balya</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-1,294</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0,210</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0,135</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Genleştirilmiş mantar (ICB)</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-1,063</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0,541</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0,228</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Ahşap lifi levha</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-1,017</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0,760</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0,239</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Koyun yünü</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-0,832</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0,775</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0,475</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Geri dönüşüm tekstil</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-0,358</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1,242</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0,864</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Kenevir lifi levha</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0,373</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2,536</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2,065</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Keten lifi levha</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0,890</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3,053</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2,583</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Camyünü</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1,079</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1,086</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1,033</w:t>
            </w:r>
          </w:p>
        </w:tc>
      </w:tr>
      <w:tr>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XPS</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3,188</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6,880</w:t>
            </w:r>
          </w:p>
        </w:tc>
        <w:tc>
          <w:tcPr>
            <w:tcW w:type="dxa" w:w="2268"/>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5,497</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drawing>
          <wp:inline distT="0" distB="0" distL="0" distR="0">
            <wp:extent cx="43243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24350" cy="2486025"/>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i w:val="false"/>
          <w:iCs w:val="false"/>
          <w:sz w:val="18"/>
          <w:szCs w:val="18"/>
        </w:rPr>
        <w:t xml:space="preserve">Şekil 4.</w:t>
      </w:r>
      <w:r>
        <w:rPr>
          <w:rFonts w:ascii="Times New Roman" w:cs="Times New Roman" w:eastAsia="Times New Roman" w:hAnsi="Times New Roman"/>
          <w:b w:val="false"/>
          <w:bCs w:val="false"/>
          <w:i w:val="false"/>
          <w:iCs w:val="false"/>
          <w:sz w:val="18"/>
          <w:szCs w:val="18"/>
        </w:rPr>
        <w:t xml:space="preserve"> Sistem sınırının sıralamaya etkisi (1. bölge, CRITIC ağırlıklandırma) </w:t>
      </w:r>
      <w:r>
        <w:rPr>
          <w:rFonts w:ascii="Times New Roman" w:cs="Times New Roman" w:eastAsia="Times New Roman" w:hAnsi="Times New Roman"/>
          <w:b/>
          <w:bCs/>
          <w:i w:val="false"/>
          <w:iCs w:val="false"/>
          <w:sz w:val="16"/>
          <w:szCs w:val="16"/>
        </w:rPr>
        <w:t xml:space="preserve">(Effect of the system boundary on the ranking (zone 1, CRITIC weighting))</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S1 sınırında biyo-bazlı malzemelerin çoğu karbon-negatif görünmekte ve sıralamanın başında yer almaktadır. C modülleri eklendiğinde birinci sıra altı bölgenin altısında da camyününe geçmektedir. Sınırlar arası Spearman korelasyonu S1–S2 için 0,758, S1–S3 için 0,697, S2–S3 için 0,939'dur. Etki, veri sürümü tutarsızlığı taşıyan iki kayıt çıkarıldığında güçlenmekte (0,758 → 0,333) ve üç ağırlıklandırma yönteminde de korunmaktadır.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Yaşam sonu senaryosunun duyarlılığı Şekil 5'te verilmiştir. CRITIC ağırlıklandırmasında camyününün birinci sıraya geçtiği salım oranı eşiği 0,51 ile 0,82 arasındadır; yani depolanan biyojenik karbonun yarısından fazlası yaşam sonunda salınmadıkça biyo-bazlı bir malzeme birinci sırada kalmaktadır. Eşik sıcak bölgelerde daha yüksektir, çünkü biyo-bazlı malzemeler orada ısıl kütle üzerinden ek bir üstünlük taşımakta ve daha büyük bir karbon yükünü soğurabilmektedir. Entropi ağırlıklandırmasında eşik her bölgede sıfırdır: camyünü salım oranından bağımsız olarak birinci sıradadır; bu, 3.3'teki bulgunun bir başka görünümüdür.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drawing>
          <wp:inline distT="0" distB="0" distL="0" distR="0">
            <wp:extent cx="43243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255270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i w:val="false"/>
          <w:iCs w:val="false"/>
          <w:sz w:val="18"/>
          <w:szCs w:val="18"/>
        </w:rPr>
        <w:t xml:space="preserve">Şekil 5.</w:t>
      </w:r>
      <w:r>
        <w:rPr>
          <w:rFonts w:ascii="Times New Roman" w:cs="Times New Roman" w:eastAsia="Times New Roman" w:hAnsi="Times New Roman"/>
          <w:b w:val="false"/>
          <w:bCs w:val="false"/>
          <w:i w:val="false"/>
          <w:iCs w:val="false"/>
          <w:sz w:val="18"/>
          <w:szCs w:val="18"/>
        </w:rPr>
        <w:t xml:space="preserve"> Biyo-bazlı üstünlüğün kaybolduğu yaşam sonu salım oranı eşiği; eşiğin üzerinde camyünü birinci sıradadır </w:t>
      </w:r>
      <w:r>
        <w:rPr>
          <w:rFonts w:ascii="Times New Roman" w:cs="Times New Roman" w:eastAsia="Times New Roman" w:hAnsi="Times New Roman"/>
          <w:b/>
          <w:bCs/>
          <w:i w:val="false"/>
          <w:iCs w:val="false"/>
          <w:sz w:val="16"/>
          <w:szCs w:val="16"/>
        </w:rPr>
        <w:t xml:space="preserve">(Threshold end-of-life release fraction at which the bio-based advantage disappears; above the threshold glass wool ranks first)</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 sonuç, biyo-bazlı malzemelerin çevresel açıdan tercih edilmemesi gerektiği anlamına gelmez. C3 modülü enerji geri kazanımlı yakma senaryosunu yansıtmaktadır; düzenli depolama veya yeniden kullanım senaryolarında depolanan karbonun bir bölümü sistemde kalır, ancak depolamada oluşan metanın küresel ısınma potansiyeli de dikkate alınmalıdır. Bulgunun söylediği şey, yaşam sonu senaryosunun sonucu belirlediği ve varsayım olarak bırakılamayacağıdır. Bu da tartışmayı malzeme seçiminden atık yönetimi politikasına taşımaktadır.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3.5. Isıl Kütlenin Enerji İhtiyacına Etkisi </w:t>
      </w:r>
      <w:r>
        <w:rPr>
          <w:rFonts w:ascii="Times New Roman" w:cs="Times New Roman" w:eastAsia="Times New Roman" w:hAnsi="Times New Roman"/>
          <w:b/>
          <w:bCs/>
          <w:i w:val="false"/>
          <w:iCs w:val="false"/>
          <w:sz w:val="16"/>
          <w:szCs w:val="16"/>
        </w:rPr>
        <w:t xml:space="preserve">(Effect of Thermal Mass on Energy Demand)</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Kurgu A'da, yani kullanım faktörünün zaman sabitinden bağımsız olduğu durumda, on sekiz alternatifin tamamı birebir aynı yıllık ısıtma enerjisi ihtiyacını vermektedir; malzemeler arası yayılım tam olarak sıfırdır. Bu beklenen sonuçtur: sabit U hedefi altında özgül ısı kaybı malzemeden bağımsızdır ve zaman sabitinden bağımsız bir kullanım faktörü ısıl kütleyi görmez.</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Kurgu B'de fark oluşmaktadır. Referans konutun bölgelere göre enerji ihtiyacı ve ısıl kütlenin katkısı Tablo 7'de, karşılaştırma Şekil 6'da verilmiştir. Isıl kütlenin en hafif ile en ağır alternatif arasında yarattığı yıllık enerji farkı 1,94 ile 2,89 kWh/m²·yıl arasındadır; bölgeler arası değişim yaklaşık 1,5 kattır.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Tablo 7.</w:t>
      </w:r>
      <w:r>
        <w:rPr>
          <w:rFonts w:ascii="Times New Roman" w:cs="Times New Roman" w:eastAsia="Times New Roman" w:hAnsi="Times New Roman"/>
          <w:b w:val="false"/>
          <w:bCs w:val="false"/>
          <w:i w:val="false"/>
          <w:iCs w:val="false"/>
          <w:sz w:val="18"/>
          <w:szCs w:val="18"/>
        </w:rPr>
        <w:t xml:space="preserve"> Referans konutun enerji ihtiyacı ve ısıl kütlenin katkısı </w:t>
      </w:r>
      <w:r>
        <w:rPr>
          <w:rFonts w:ascii="Times New Roman" w:cs="Times New Roman" w:eastAsia="Times New Roman" w:hAnsi="Times New Roman"/>
          <w:b/>
          <w:bCs/>
          <w:i w:val="false"/>
          <w:iCs w:val="false"/>
          <w:sz w:val="16"/>
          <w:szCs w:val="16"/>
        </w:rPr>
        <w:t xml:space="preserve">(Energy demand of the reference dwelling and the contribution of thermal mass)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Bölge</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Temsilci il</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Q_H (kWh/m²)</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Q_C (kWh/m²)</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Toplam</w:t>
            </w:r>
          </w:p>
        </w:tc>
        <w:tc>
          <w:tcPr>
            <w:tcW w:type="dxa" w:w="151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Isıl kütle katkısı (kWh/m²)</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 · Aşırı Sıcak</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Antalya</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2,4</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54,8</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57,2</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1,94</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 · Ilıman</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İstanbul</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7,9</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33,1</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41,0</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2,35</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 · Soğuk</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Ankara</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16,8</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28,9</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45,6</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2,56</w:t>
            </w:r>
          </w:p>
        </w:tc>
      </w:tr>
      <w:tr>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6 · Aşırı Soğuk</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Erzurum</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33,8</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14,3</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48,1</w:t>
            </w:r>
          </w:p>
        </w:tc>
        <w:tc>
          <w:tcPr>
            <w:tcW w:type="dxa" w:w="1512"/>
            <w:tcBorders>
              <w:top w:val="none" w:color="000000" w:sz="6"/>
              <w:left w:val="none" w:color="FFFFFF" w:sz="0"/>
              <w:bottom w:val="single" w:color="000000" w:sz="4"/>
              <w:right w:val="none" w:color="FFFFFF" w:sz="0"/>
            </w:tcBorders>
            <w:tcMar>
              <w:top w:type="dxa" w:w="40"/>
              <w:left w:type="dxa" w:w="60"/>
              <w:bottom w:type="dxa" w:w="40"/>
              <w:right w:type="dxa" w:w="60"/>
            </w:tcMar>
          </w:tcPr>
          <w:p>
            <w:pPr>
              <w:spacing w:after="0" w:before="0" w:line="240" w:lineRule="auto"/>
            </w:pPr>
            <w:r>
              <w:rPr>
                <w:rFonts w:ascii="Times New Roman" w:cs="Times New Roman" w:eastAsia="Times New Roman" w:hAnsi="Times New Roman"/>
                <w:b w:val="false"/>
                <w:bCs w:val="false"/>
                <w:i w:val="false"/>
                <w:iCs w:val="false"/>
                <w:sz w:val="18"/>
                <w:szCs w:val="18"/>
              </w:rPr>
              <w:t xml:space="preserve">2,89</w:t>
            </w:r>
          </w:p>
        </w:tc>
      </w:tr>
    </w:tbl>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center"/>
      </w:pPr>
      <w:r>
        <w:drawing>
          <wp:inline distT="0" distB="0" distL="0" distR="0">
            <wp:extent cx="50387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581275"/>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i w:val="false"/>
          <w:iCs w:val="false"/>
          <w:sz w:val="18"/>
          <w:szCs w:val="18"/>
        </w:rPr>
        <w:t xml:space="preserve">Şekil 6.</w:t>
      </w:r>
      <w:r>
        <w:rPr>
          <w:rFonts w:ascii="Times New Roman" w:cs="Times New Roman" w:eastAsia="Times New Roman" w:hAnsi="Times New Roman"/>
          <w:b w:val="false"/>
          <w:bCs w:val="false"/>
          <w:i w:val="false"/>
          <w:iCs w:val="false"/>
          <w:sz w:val="18"/>
          <w:szCs w:val="18"/>
        </w:rPr>
        <w:t xml:space="preserve"> Isıl kütlenin enerji ihtiyacına etkisi: (a) mutlak katkı, (b) karşılaştırma tabanı olan toplam ihtiyaç </w:t>
      </w:r>
      <w:r>
        <w:rPr>
          <w:rFonts w:ascii="Times New Roman" w:cs="Times New Roman" w:eastAsia="Times New Roman" w:hAnsi="Times New Roman"/>
          <w:b/>
          <w:bCs/>
          <w:i w:val="false"/>
          <w:iCs w:val="false"/>
          <w:sz w:val="16"/>
          <w:szCs w:val="16"/>
        </w:rPr>
        <w:t xml:space="preserve">(Effect of thermal mass on energy demand: (a) absolute contribution, (b) total demand as the basis of comparison)</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Yüzdesel ifade yanıltıcıdır. Isıtma tarafında fark 1. bölgede %26,8'e ulaşmakta, 6. bölgede %3,7'ye inmektedir; ancak bu, ısıtma ihtiyacının 1. bölgede yalnızca 2,4 kWh/m²·yıl olmasından kaynaklanır. Aynı oran mutlak olarak 0,64 kWh/m²·yıl demektir. Karşılaştırmalarda mutlak değer kullanılmalıdır.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Dış ortam sıcaklığının iç tasarım sıcaklığını aştığı aylarda iletim de kazanç tarafına geçmekte ve kayıp kullanım faktörü uygulanamamaktadır; bu aylarda ısıl kütle hesaba hiç girmez. Aylık yarı-kararlı yöntemin öngörü sınırları literatürde de tartışılmıştır [28]. Bu, yöntemin ısıl kütleyi fiziksel katkısının en yüksek olduğu koşullarda görememesi anlamına gelir; doğru değerlendirme saatlik dinamik simülasyon gerektirir [29].</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3.6. Bulguların Birlikte Değerlendirilmesi </w:t>
      </w:r>
      <w:r>
        <w:rPr>
          <w:rFonts w:ascii="Times New Roman" w:cs="Times New Roman" w:eastAsia="Times New Roman" w:hAnsi="Times New Roman"/>
          <w:b/>
          <w:bCs/>
          <w:i w:val="false"/>
          <w:iCs w:val="false"/>
          <w:sz w:val="16"/>
          <w:szCs w:val="16"/>
        </w:rPr>
        <w:t xml:space="preserve">(Joint Assessment of the Findings)</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Dört tespit birbirinden bağımsız yollarla elde edilmiş ancak aynı noktaya çıkmıştır: fonksiyonel birim kurgusu bölge etkisini analitik olarak imkânsız kılmakta, ağırlıklandırma yöntemi biyo-bazlı alternatiflerin yerini yönlü biçimde belirlemekte, sistem sınırı birinci sırayı değiştirmekte ve hesap yönteminin yapısı sonucun ne gösterebileceğini sınırlamaktadır. Ortak sonuç şudur: bir malzeme sıralaması, ancak onu üreten kurgu — fonksiyonel birim tanımı, ağırlıklandırma yöntemi, sıralama yöntemi ve sistem sınırı — eksiksiz beyan edildiğinde yorumlanabilir.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 kararın zaman ufkuna ilişkin bir sonucu da beraberinde getirir. Yapı malzemesi seçim modellerinin ölçütleri geleneksel olarak insan konforu ve yatırımın geri dönüşü üzerinden, bina ömrüyle sınırlı bir ufukta tanımlanır. Hesabı A1–A3'te kesmek, malzemeyi bina kapısına kadar izleyip orada bırakmak demektir ve bu tercih biyo-bazlı malzemeleri karbon-negatif göstermektedir. Hesap malzemenin gerçek yaşam sonuna kadar uzatıldığında bu görüntü kaybolmaktadır. Ölçüt setini biyojenik karbon ve yaşam sonu senaryosuyla genişletmek kararı bina ömrünün ötesine taşımakta, ancak bu genişletme yalnızca sistem sınırı da buna uygun seçildiğinde anlamlı olmaktadır.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3.7. Sınırlılıklar </w:t>
      </w:r>
      <w:r>
        <w:rPr>
          <w:rFonts w:ascii="Times New Roman" w:cs="Times New Roman" w:eastAsia="Times New Roman" w:hAnsi="Times New Roman"/>
          <w:b/>
          <w:bCs/>
          <w:i w:val="false"/>
          <w:iCs w:val="false"/>
          <w:sz w:val="16"/>
          <w:szCs w:val="16"/>
        </w:rPr>
        <w:t xml:space="preserve">(Limitations)</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Ana çalıştırmada gömülü karbon ve maliyet ölçütleri eksik veri kuralı gereği yer almamaktadır; ısı iletkenliği verisinin ortalama kalite puanı 2,44/5'tir. Bu nedenle çalışmada üretilen malzeme sıralamaları göstergedir, yapısal bulgular ise veri kalitesinden bağımsızdır. Soğutma hesabı aylık yarı-kararlı yöntemle kurulmuş, gece havalandırması ve gölgeleme kontrolü modellenmemiştir. Enerji hesabı, il–bölge eşleşmesi doğrulanabilen dört bölgeyle sınırlıdır. Geometri, yönlenme ve A/V oranı duyarlılığı incelenmemiştir. Sistem sınırı analizi, doğrulanmış ürün beyanı bulunan on alternatifle sınırlıdır; tarımsal atık esaslı paneller ve miselyum kompozit bu analizin dışındadır.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4. Simgeler </w:t>
      </w:r>
      <w:r>
        <w:rPr>
          <w:rFonts w:ascii="Times New Roman" w:cs="Times New Roman" w:eastAsia="Times New Roman" w:hAnsi="Times New Roman"/>
          <w:b/>
          <w:bCs/>
          <w:i w:val="false"/>
          <w:iCs w:val="false"/>
          <w:sz w:val="16"/>
          <w:szCs w:val="16"/>
        </w:rPr>
        <w:t xml:space="preserve">(Symbols)</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A_f : şartlandırılmış döşeme alanı, m²</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c : özgül ısı kapasitesi, J/kgK</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C : etkin ısıl kapasite, J/K</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C_m : TOPSIS yakınlık katsayısı, –</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d : yalıtım kalınlığı, m</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H : özgül ısı kaybı, W/K</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IDG : ısıtma derece günü, °C·gün</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K_b : bölgeye bağlı kalınlık çarpanı, m²K/W</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n_h : hava değişim sayısı, m³/(h·m²)</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R : ısıl direnç, m²K/W</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SDG : soğutma derece günü, °C·gün</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U : ısıl geçirgenlik katsayısı, W/m²K</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w : ölçüt ağırlığı, –</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α : iklim ayarı duyarlılık katsayısı, –</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ε : birim kütle başına gömülü karbon, kgCO₂e/kg</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η : kazanç veya kayıp kullanım faktörü, –</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θ : sıcaklık, °C</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λ : ısı iletkenlik katsayısı, W/mK</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ρ : yoğunluk, kg/m³</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σ_b : soğutma payı, –</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τ : zaman sabiti, h</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φ : yaşam sonu salım oranı, –</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5. Sonuçlar </w:t>
      </w:r>
      <w:r>
        <w:rPr>
          <w:rFonts w:ascii="Times New Roman" w:cs="Times New Roman" w:eastAsia="Times New Roman" w:hAnsi="Times New Roman"/>
          <w:b/>
          <w:bCs/>
          <w:i w:val="false"/>
          <w:iCs w:val="false"/>
          <w:sz w:val="16"/>
          <w:szCs w:val="16"/>
        </w:rPr>
        <w:t xml:space="preserve">(Conclusions)</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 çalışmada, biyo-bazlı yapı kabuğu malzemelerinin seçiminde kullanılan çok ölçütlü karar kurgusunun kendisi TS 825:2024 çerçevesinde sınanmıştır. Hesap temeli, yayımlanmış asgari yalıtım kalınlığı tablosunun sekiz veri noktasının tamamında doğrulanmıştır.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Sabit ısıl geçirgenlik hedefine dayalı kurgu, iklim bölgesine göre sıralama farkı üretememektedir. Gerekli kalınlık malzemeden bağımsız bir çarpanla ölçeklendiğinden, sütun bazlı ölçek değişimine duyarsız her normalizasyonda bu çarpan sadeleşmektedir; yuvarlama devre dışı bırakıldığında bölgeler arası sıra korelasyonu 1,000000'dır. Bölge etkisi ancak orantılılığı kıran yapılar modele eklendiğinde doğmaktadır: uygulanabilirlik kısıtı soğuk bölgelerde dört alternatifi elemekte, iklim dengesine bağlı ağırlıklandırma korelasyonu 0,998'den 0,567'ye indirmektedir.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Ağırlıklandırma yönteminin seçimi biyo-bazlı alternatiflerin sıralamadaki yerini yönlü biçimde belirlemektedir. Entropi, ağırlığın yaklaşık üçte birini tek bir sıralı ölçüte vererek mineral esaslı ürünleri öne çıkarmakta; CRITIC ve eşit ağırlık ise biyo-bazlı alternatifleri ilk sıralara koymaktadır.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Yaşam döngüsü sistem sınırının seçimi birinci sırayı tüm bölgelerde değiştirmektedir. Biyo-bazlı malzemelerin A1–A3'te depoladığı biyojenik karbon C3'te yeniden salınmakta, altı malzemede alım ile salım ±0,04 kgCO₂e/kg içinde birbirini götürmektedir. Biyo-bazlı üstünlük, depolanan karbonun yarısından fazlası salınmadıkça korunmaktadır.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Bulguların mevzuata dönük karşılığı, tavsiye edilen ısıl geçirgenlik değerleri koşulunda derece gün bölgesinin malzeme seçimini tek başına farklılaştırmadığı ve zaman sabitinden bağımsız bir kullanım faktörü kullanıldığında hesap yönteminin ısıl kütle farkını değerlendirme dışı bıraktığıdır.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Öncelikli gelecek çalışma yönleri, ısıl kütle etkisinin saatlik dinamik simülasyonla ölçülmesi, yaşam sonu senaryolarının kendi iklim etkileriyle modellenmesi ve Türkiye'ye özgü tarımsal atık esaslı yalıtım ürünleri için doğrulanmış ürün beyanı üretilmesidir.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Teşekkür </w:t>
      </w:r>
      <w:r>
        <w:rPr>
          <w:rFonts w:ascii="Times New Roman" w:cs="Times New Roman" w:eastAsia="Times New Roman" w:hAnsi="Times New Roman"/>
          <w:b/>
          <w:bCs/>
          <w:i w:val="false"/>
          <w:iCs w:val="false"/>
          <w:sz w:val="16"/>
          <w:szCs w:val="16"/>
        </w:rPr>
        <w:t xml:space="preserve">(Acknowledgement)</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[Varsa proje desteği, kurum veya kişi teşekkürleri buraya yazılacaktır.]</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left"/>
      </w:pPr>
      <w:r>
        <w:rPr>
          <w:rFonts w:ascii="Times New Roman" w:cs="Times New Roman" w:eastAsia="Times New Roman" w:hAnsi="Times New Roman"/>
          <w:b/>
          <w:bCs/>
          <w:i w:val="false"/>
          <w:iCs w:val="false"/>
          <w:sz w:val="18"/>
          <w:szCs w:val="18"/>
        </w:rPr>
        <w:t xml:space="preserve">Kaynaklar </w:t>
      </w:r>
      <w:r>
        <w:rPr>
          <w:rFonts w:ascii="Times New Roman" w:cs="Times New Roman" w:eastAsia="Times New Roman" w:hAnsi="Times New Roman"/>
          <w:b/>
          <w:bCs/>
          <w:i w:val="false"/>
          <w:iCs w:val="false"/>
          <w:sz w:val="16"/>
          <w:szCs w:val="16"/>
        </w:rPr>
        <w:t xml:space="preserve">(References)</w:t>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 TS 825, Binalarda Isı Yalıtımı Kuralları, Türk Standartları Enstitüsü, Ankara,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 İZODER, TS 825 Binalarda Isı Yalıtımı Kuralları Standardı Revizyonu, basın bülteni, İstanbul, 21 Şubat 2025.</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3. Morganti L., Vandi L., Astudillo Larraz J., García-Jaca J., Navarro Muedra A., Pracucci A., A1–A5 Embodied Carbon Assessment to Evaluate Bio-Based Components in Façade System Modules, Sustainability, 16, 3, 1190,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4. Hossain M.S., Therasme O., Crovella P., Volk T.A., Assessing the Environmental Impact of Biobased Exterior Insulation Panel: A Focus on Carbon Uptake and Embodied Emissions, Energies, 17, 14, 3406,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5. Matthews H.D., Zickfeld K., Koch A., Luers A., Accounting for the climate benefit of temporary carbon storage in nature, Nature Communications, 14(1), 5485, 2023.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6. Andersen C.E., Rasmussen F.N., Habert G., Birgisdóttir H., Embodied GHG Emissions of Wooden Buildings—Challenges of Biogenic Carbon Accounting in Current LCA Methods, Frontiers in Built Environment, 7, 729096, 2021.</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7. Füchsl S., Huber J., Fröhling M., Röder H., Balancing the green carbon cycle — Biogenic carbon within life cycle assessment, The International Journal of Life Cycle Assessment, 30(10), 2300-2313, 2025.</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8. Ye F., Wei H., Xiao Y., Berardi U., Quaranta G., Demartino C., Bio-based insulation materials in sustainable constructions: A review of environmental, thermal and acoustic insulation, durability, and mechanical performances, Renewable and Sustainable Energy Reviews, 223, 115872, 2025.</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9. Dénes T., Iştoan R., Tǎmaş-Gavrea D.R., Manea D.L., Hegyi A., Popa F., Vasile O., Analysis of Sheep Wool-Based Composites for Building Insulation, Polymers, 14, 10, 2109, 2022.</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10. Ranefjärd O., Strandberg-de Bruijn P.B., Wadsö L., Hygrothermal Properties and Performance of Bio-Based Insulation Materials Locally Sourced in Sweden, Materials, 17, 9, 2021,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11. Gößwald J., Barbu M., Petutschnigg A., Tudor E.M., Binderless Thermal Insulation Panels Made of Spruce Bark Fibres, Polymers, 13(11), 1799, 2021.</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12. Pavelek M., Adamová T., Bio-Waste Thermal Insulation Panel for Sustainable Building Construction in Steady and Unsteady-State Conditions, Materials, 12(12), 2004, 2019.</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13. Marín-Calvo N., González-Serrud S., James-Rivas A., Thermal insulation material produced from recycled materials for building applications: cellulose and rice husk-based material, Frontiers in Built Environment, 9, 1271317, 2023.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14. Wildman J., Shea A., Walker P., Henk D., Extrinsic and intrinsic determinants of thermal conductivity in mycelium composites, Building Services Engineering Research &amp;amp; Technology, 46, 3, 317-338,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15. Ashraf M.U., Hzami A., Alghamri R., Khattab T., Abu Rayash A., Systematic review of mycelium-based composites as sustainable insulators for carbon-neutral building envelopes, International Journal of Sustainable Engineering, 19, 1, 2665914, 2026.</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16. Siksnelyte-Butkiene I., Streimikiene D., Balezentis T., Skulskis V., A Systematic Literature Review of Multi-Criteria Decision-Making Methods for Sustainable Selection of Insulation Materials in Buildings, Sustainability, 13, 2, 737, 2021.</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17. Bajwa A.U.R., Siriwardana C., Shahzad W., Naeem M.A., Material selection in the construction industry: a systematic literature review on multi-criteria decision making, Environment Systems and Decisions, 45, 1, 8, 2025.</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18. Theilig K., Vollmer M., Lang W., Albus J., Multi-criteria decision-making for energy building renovation: Comparing exterior wall structures with the AHP, ANP, utility analysis, and TOPSIS, Building and Environment, 280, 113075, 2025.</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19. Pacheco-Torgal F., Chindaprasirt P., Comparative Performance of Bio-Based Construction Materials in Europe: A Multi-Criteria Decision Analysis, Sustainability, 18, 11, 5508, 2026.</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20. Ayan B., Abacıoğlu S., Basilio M.P., A Comprehensive Review of the Novel Weighting Methods for Multi-Criteria Decision-Making, Information, 14, 5, 285, 2023.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21. Yıldız C., Binalarda Enerji Verimliliğinde Son Gelişmeler: Türkiye Örneği, Gazi Üniversitesi Fen Bilimleri Dergisi Part C: Tasarım ve Teknoloji, 12(1), 176-213,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22. YÜCE B.E., ACAR M.C., Bitlis İlinde Farklı Yakıtlar Ve Duvar Bileşenleri İçin Optimum Yalıtım Kalınlığı Ve Enerji Tasarrufunun Analizi, Bitlis Eren Üniversitesi Fen Bilimleri Dergisi, 10(4), 1426-1434, 2021.</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23. MIHLAYANLAR E., MERAL S., Mevcut Binalarda Enerji Verimli Yenileme ve EKB Uygulaması, Kırklareli Üniversitesi Mühendislik ve Fen Bilimleri Dergisi, 9(2), 478-497, 2023.</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24. ÖKOBAUDAT, Bundesministerium für Wohnen, Stadtentwicklung und Bauwesen, çevrimiçi veri tabanı, https://www.oekobaudat.de, erişim: 5 Eylül 2026.</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25. PVGIS, Photovoltaic Geographical Information System, Avrupa Komisyonu Ortak Araştırma Merkezi, https://re.jrc.ec.europa.eu/pvg_tools/en/, erişim: 5 Eylül 2026.</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26. EN 15804, Sustainability of construction works — Environmental product declarations — Core rules for the product category of construction products, CEN, Brüksel, Belçika, 2019.</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27. EN ISO 13790, Energy performance of buildings — Calculation of energy use for space heating and cooling, CEN, Brüksel, Belçika, 2008.</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28. Yilmaz B.Ç., Acun Özgünler S., Yilmaz Y., A multi-criteria decision-making method for thermal insulation material selection in nZEB level questioned affordable multifamily housings, Journal of Building Physics, 47(6), 628-650, 2024.</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p>
      <w:pPr>
        <w:spacing w:after="0" w:before="0" w:line="360" w:lineRule="auto"/>
        <w:jc w:val="both"/>
      </w:pPr>
      <w:r>
        <w:rPr>
          <w:rFonts w:ascii="Times New Roman" w:cs="Times New Roman" w:eastAsia="Times New Roman" w:hAnsi="Times New Roman"/>
          <w:b w:val="false"/>
          <w:bCs w:val="false"/>
          <w:i w:val="false"/>
          <w:iCs w:val="false"/>
          <w:sz w:val="18"/>
          <w:szCs w:val="18"/>
        </w:rPr>
        <w:t xml:space="preserve">29. Peng C., Feng D., Guo S., Material Selection in Green Design: A Method Combining DEA and TOPSIS, Sustainability, 13(10), 5497, 2021.</w:t>
      </w:r>
    </w:p>
    <w:p>
      <w:pPr>
        <w:spacing w:after="0" w:before="0" w:line="360" w:lineRule="auto"/>
      </w:pPr>
      <w:r>
        <w:rPr>
          <w:rFonts w:ascii="Times New Roman" w:cs="Times New Roman" w:eastAsia="Times New Roman" w:hAnsi="Times New Roman"/>
          <w:b w:val="false"/>
          <w:bCs w:val="false"/>
          <w:i w:val="false"/>
          <w:iCs w:val="false"/>
          <w:sz w:val="18"/>
          <w:szCs w:val="18"/>
        </w:rPr>
        <w:t xml:space="preserve"/>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445880b65ecf04b9264efc61abeb81fed92287.png"/><Relationship Id="rId8" Type="http://schemas.openxmlformats.org/officeDocument/2006/relationships/image" Target="media/b4c820cca76f2a4f4c222b48c6b703bb3f22b36c.png"/><Relationship Id="rId9" Type="http://schemas.openxmlformats.org/officeDocument/2006/relationships/image" Target="media/ea91547378566f913776b1a0d64f8864b5f8e8a9.png"/><Relationship Id="rId10" Type="http://schemas.openxmlformats.org/officeDocument/2006/relationships/image" Target="media/390d8aeef2dc9d2ddda9dc7050bf14373273bed3.png"/><Relationship Id="rId11" Type="http://schemas.openxmlformats.org/officeDocument/2006/relationships/image" Target="media/291fb8bc03ff198bc38015ca82f0bca63195aee0.png"/><Relationship Id="rId12" Type="http://schemas.openxmlformats.org/officeDocument/2006/relationships/image" Target="media/38ef8519e169ea99b3375dc406f82e62ac9db4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2026-09-08T11:31:51.770Z</dcterms:created>
  <dcterms:modified xsi:type="dcterms:W3CDTF">2026-09-08T11:31:51.789Z</dcterms:modified>
</cp:coreProperties>
</file>

<file path=docProps/custom.xml><?xml version="1.0" encoding="utf-8"?>
<Properties xmlns="http://schemas.openxmlformats.org/officeDocument/2006/custom-properties" xmlns:vt="http://schemas.openxmlformats.org/officeDocument/2006/docPropsVTypes"/>
</file>