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Eşdeğer ısıl performans varsayımı altında biyo-bazlı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tek başına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Bölge etkisi ancak uygulanabilirlik kısıtı gibi orantılılığı kıran yapılarla doğar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Yaşam döngüsü sistem sınırı birinci sıradaki malzemeyi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biyo-bazlı ve dört konvansiyonel alternatif; ısı iletkenliği, birim kütle, alansal ısıl kapasite, biyojenik karbon, yangına tepki, yaşam sonu senaryosu, nem duyarlılığı ve gerekli yalıtım kalınlığı ölçütleriyle değerlendirilmiştir. Ağırlıklar entropi, CRITIC ve eşit ağırlık yöntemleriyle, sıralama TOPSIS ve VIKOR ile üretilmiştir. Üç sonuç elde edilmiştir. Malzemeden bağımsız ve sabit bir katman direnci varsayımı altında kurulan sabit ısıl geçirgenlik kurgusu, gerekli kalınlığın malzemeden bağımsız bir çarpanla ölçeklenmesi nedeniyle iklim bölgesine göre sıralama farkı üretememektedir; yuvarlama devre dışı bırakıldığında bölgeler arası sıra korelasyonu tam olarak birdir. Bölge etkisi ancak orantılılığı kıran yapılar modele eklendiğinde ortaya çıkmakta, uygulanabilirlik kısıtı korelasyonu 0,990'dan 0,497'ye indirmektedir. Ağırlıklandırma yöntemi ile yaşam döngüsü sistem sınırının seçimi de sıralamayı belirlemekte, sistem sınırı birinci sıradaki malzemeyi incelenen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Biyo-bazlı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Selection of bio-based building envelope materials under the equivalent thermal performance assumption: how the framing determines the result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alone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zone effect arises only through structures that break the proportionality</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life cycle system boundary changes the top-ranked material in every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biogenic carbon, reaction to fire, end-of-life scenario, moisture sensitivity and required insulation thickness. Weights are derived by entropy, CRITIC and equal weighting; rankings by TOPSIS and VIKOR. Three results are obtained. Under the assumption of a constant, material-independent resistance for the remaining layers, a framing based on a fixed thermal transmittance target cannot produce a climate-zone ranking difference, because the required thickness scales by a material-independent factor; with rounding disabled, the inter-zone rank correlation is exactly unity. A zone effect emerges only when structures that break this proportionality are added: the buildability constraint lowers the correlation from 0.990 to 0.497. The weighting method and the life cycle system boundary also govern the ranking, the latter changing the top-ranked material in every zone examined.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 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 </w:t>
      </w: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binalarının toplam nihai enerji tüketimindeki payı üçte bire yakındır [1]. Bu payın büyüklüğü, yapı kabuğunun ısıl performansını konfor meselesi olmaktan çıkarıp enerji politikasının doğrudan konusu hâline getirmektedir. Ulusal ısı yalıtımı standardının (TS 825) 2024 baskısı [2], 1 Nisan 2025'ten bu yana zorunlu uygulamadadır [3]. Bu baskı kendisinden önceki çerçeveden iki noktada ayrılır. Birincisi, ülkenin iklimsel ayrışması dört derece gün bölgesi yerine altı bölgeyle temsil edilmektedir. İkincisi, yıllık enerji dengesi artık yalnızca ısıtma üzerinden kurulmamakta, soğutma ihtiyacı da dengeye girmektedir. Tavsiye edilen ısıl geçirgenlik değerleri sıkılaştırılmış, izin verilen yıllık enerji tüketimi ise bina türüne ve bölgeye göre ayrışan daha düşük eşiklere bağlanmıştır [3,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[5]. Türkiye bağlamında optimum yalıtım kalınlığı ve enerji verimli yenileme çalışmaları da bu tartışmanın uygulamaya dönük tarafını oluşturmaktadır [6,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malzemeleri bu noktada iki nedenle öne çıkmaktadır. Birincisi, üretim aşaması emisyonları mineral ve petrokimya esaslı muadillerine kıyasla düşük olabilmektedir; ancak bu, malzeme sınıfının değil tekil ürünün özelliğidir ve yetiştirme koşulları, bağlayıcı türü, kurutma ve presleme süreçleri ile taşıma mesafesine göre değişmektedir [8]. İkincisi ve daha belirleyicisi, bitkisel kökenli olanların büyüme sürecinde atmosferden aldıkları karbonu bileşen ömrü boyunca depolamalarıdır; bu mekanizma hayvansal (koyun yünü) ve fungal (miselyum) kökenli ürünler için aynı biçimde geçerli değildir [8]. Ne var ki biyojenik karbonun muhasebeleştirilmesi tartışmalıdır; depolamanın geçici olup olmadığı ve hangi zaman ufkunda hesaba katılacağı üzerine yöntem tartışması sürmektedir [9-11].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[12], koyun yünü kompozitlerinde ρ = 30–138,7 kg/m³ ve λ = 0,0324–0,0436 W/mK ölçülmüştür [13]. Ahşap lifi levhalarda λ = 0,038 W/mK ve c = 2100 J/kgK düzeyleri bildirilmektedir [14]. Tarımsal atık esaslı ürünlerde tablo belirgin biçimde değişir: kitosan bağlayıcılı ayçiçeği sapı kompozitlerinde ρ = 150–200 kg/m³ ile λ = 0,056–0,058 W/mK ölçülmüş [15], ladin kabuğu lifinden üretilen bağlayıcısız levhalarda benzer bir düzey raporlanmış [16], şeker kamışı küspesi levhalarında ise ρ ≈ 614 kg/m³ ile λ = 0,082 W/mK bulunmuştur [17]. Pirinç kavuzu esaslı levhalarda λ = 0,064–0,140 W/mK raporlanmaktadır [18, 19]. Miselyum kompozitleri bu grubun en oynak verili üyesidir; on dokuz çalışmayı derleyen bir inceleme λ değerlerinin 0,026–0,180 W/mK bandında dağıldığını göstermektedir [20, 21]. Bu tablo iki sonuca işaret eder: biyo-bazlı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[22]. Daha güncel çalışmalar bulanık gösterimler ve farklı yöntemleri de kullanmakta [23], dış duvar seçeneklerinin AHP, ANP ve TOPSIS ile karşılaştırıldığı örnekler bulunmaktadır [24]. Biyo-bazlı malzemelere odaklanan Avrupa ölçekli bir karar analizi, ahşap lifi ve mantarın farklı ağırlık senaryoları altında istikrarlı biçimde ilk sıralarda yer aldığını raporlamakta [25], yakın enerjili konutlar için yalıtım malzemesi seçimi de aynı çerçevede ele alınmaktadır [26].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[27, 28]. Objektif yöntemler içinde Shannon entropisi ve CRITIC en yaygın ikilidir; entropi karar matrisindeki yayılımı yüksek ölçütlere daha büyük ağırlık verirken, CRITIC standart sapmanın yanı sıra ölçütler arası korelasyonu da hesaba katar [28, 29].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biyo-bazlı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 </w:t>
      </w: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 Çözümleme dört bağımsız sınamadan oluşmaktadır: analitik değişmezlik sınaması, uygulanabilirlik kısıtı duyarlılığı, ağırlıklandırma duyarlılığı ve yaşam döngüsü sistem sınırı duyarlılığı.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 </w:t>
      </w:r>
      <w:r>
        <w:rPr>
          <w:rFonts w:ascii="Times New Roman" w:cs="Times New Roman" w:eastAsia="Times New Roman" w:hAnsi="Times New Roman"/>
          <w:b/>
          <w:bCs/>
          <w:i w:val="false"/>
          <w:iCs w:val="false"/>
          <w:sz w:val="16"/>
          <w:szCs w:val="16"/>
        </w:rPr>
        <w:t xml:space="preserve">(Model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 </w:t>
      </w:r>
      <w:r>
        <w:rPr>
          <w:rFonts w:ascii="Times New Roman" w:cs="Times New Roman" w:eastAsia="Times New Roman" w:hAnsi="Times New Roman"/>
          <w:b/>
          <w:bCs/>
          <w:i w:val="false"/>
          <w:iCs w:val="false"/>
          <w:sz w:val="16"/>
          <w:szCs w:val="16"/>
        </w:rPr>
        <w:t xml:space="preserve">(Functional Unit and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gerekli duvar kalınlığına yansır. Toplam ısıl direnç, yalıtım katmanı ile diğer katmanların ve yüzeysel dirençlerin toplamıdır (Eş.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1'den, b bölgesinde m malzemesi için gereken yalıtım kalınlığı Eş. 2 ile elde edilir: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Bileşende yalnızca yalıtım katmanı değişiyorsa, yani R_diğer malzemeden bağımsız bir sabitse,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gerekli yalıtım kalınlığı λK_b biçimindedir. Geriye kalan ölçütler malzeme özellikleridir ve bölgeye göre değişmez. TOPSIS'in vektörel normalizasyonunda j sütunu için Eş. 3 yazılır: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3'te 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Önermenin kapsamı, dayandığı varsayımla sınırlıdır. Sonuç, TS 825'in genel bir özelliği değil, sabit ve malzemeden bağımsız bir R_diğer ile kurulan eşdeğer ısıl geçirgenlik kurgusunun sonucudur. Yalıtım dışındaki katmanların da malzemeyle birlikte değiştiği bir bileşen tanımında, ya da kalınlığa bağlı olmayan bir ölçüt bölgeye göre değişiyorsa orantılılık kırılır ve önerme uygulanmaz.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Ölçüt Seti ve Veri Kuralları </w:t>
      </w:r>
      <w:r>
        <w:rPr>
          <w:rFonts w:ascii="Times New Roman" w:cs="Times New Roman" w:eastAsia="Times New Roman" w:hAnsi="Times New Roman"/>
          <w:b/>
          <w:bCs/>
          <w:i w:val="false"/>
          <w:iCs w:val="false"/>
          <w:sz w:val="16"/>
          <w:szCs w:val="16"/>
        </w:rPr>
        <w:t xml:space="preserve">(Alternatives, Criteria Set and Data Rules)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biyo-bazlı ve dört konvansiyonel olmak üzere on sekiz alternatif değerlendirilmiştir (Tablo 1). Konvansiyonel grup kıyas amacıyla dâhil edilmiş, biyo-bazlı olanın üstün olduğu varsayımı sınanmaksızın kabul edilmemiştir. Ölçüt seti, birimleri ve eniyileme yönleri Tablo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1.</w:t>
      </w:r>
      <w:r>
        <w:rPr>
          <w:rFonts w:ascii="Times New Roman" w:cs="Times New Roman" w:eastAsia="Times New Roman" w:hAnsi="Times New Roman"/>
          <w:b w:val="false"/>
          <w:bCs w:val="false"/>
          <w:i w:val="false"/>
          <w:iCs w:val="false"/>
          <w:sz w:val="18"/>
          <w:szCs w:val="18"/>
        </w:rPr>
        <w:t xml:space="preserve"> Değerlendirilen alternatifler, ısıl özellikleri ve veri kaynakları </w:t>
      </w:r>
      <w:r>
        <w:rPr>
          <w:rFonts w:ascii="Times New Roman" w:cs="Times New Roman" w:eastAsia="Times New Roman" w:hAnsi="Times New Roman"/>
          <w:b/>
          <w:bCs/>
          <w:i w:val="false"/>
          <w:iCs w:val="false"/>
          <w:sz w:val="16"/>
          <w:szCs w:val="16"/>
        </w:rPr>
        <w:t xml:space="preserve">(Alternatives evaluated, their thermal properties and data sources)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gridCol w:w="1008"/>
        <w:gridCol w:w="1008"/>
        <w:gridCol w:w="1008"/>
        <w:gridCol w:w="1008"/>
      </w:tblGrid>
      <w:tr>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 (J/kgK)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 sınıfı</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Kaynak (λ/ρ)</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Kalite</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 19]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sapı-kitosan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0,082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 21]/gösterge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2.</w:t>
      </w:r>
      <w:r>
        <w:rPr>
          <w:rFonts w:ascii="Times New Roman" w:cs="Times New Roman" w:eastAsia="Times New Roman" w:hAnsi="Times New Roman"/>
          <w:b w:val="false"/>
          <w:bCs w:val="false"/>
          <w:i w:val="false"/>
          <w:iCs w:val="false"/>
          <w:sz w:val="18"/>
          <w:szCs w:val="18"/>
        </w:rPr>
        <w:t xml:space="preserve"> Ölçüt seti, birimleri ve eniyileme yönleri </w:t>
      </w:r>
      <w:r>
        <w:rPr>
          <w:rFonts w:ascii="Times New Roman" w:cs="Times New Roman" w:eastAsia="Times New Roman" w:hAnsi="Times New Roman"/>
          <w:b/>
          <w:bCs/>
          <w:i w:val="false"/>
          <w:iCs w:val="false"/>
          <w:sz w:val="16"/>
          <w:szCs w:val="16"/>
        </w:rPr>
        <w:t xml:space="preserve">(Criteria set, units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Ana çalıştırma</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W/mK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kJ/m²K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yok (7/18 eksik)</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 (EN 13501-1)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Gerekli yalıtım kalınlığı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biyojenik ve gömülü karbon ile yaşam sonu modülleri ÖKOBAUDAT veri tabanından alınmıştır [30]. Her hücre için kaynak ve 1–5 arası veri kalitesi puanı kaydedilmiş, tam liste ek tabloda sunulmuştur.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ölçütü EN 13501-1 sınıflandırmasına dayanmaktadır [31]. Bu sınıflandırma sıralıdır; sınıflar arası mesafe tanımlı değildir. Bu nedenle sınıfların sayısallaştırılması bir modelleme kararıdır ve tek bir kodlamayla bırakılmamıştır. Temel çalıştırmada yedi sınıf eşit aralıklı olarak kodlanmış (A1 = 7 … F = 1), sonucun bu karara duyarlılığı iki alternatif kodlamayla ölçülmüştür: sınıfları yanmaz, sınırlı katkılı ve diğer biçiminde üç düzeye indiren gruplu kodlama ve yalnızca yanmazlığı ayıran ikili kodlama (Tablo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3.</w:t>
      </w:r>
      <w:r>
        <w:rPr>
          <w:rFonts w:ascii="Times New Roman" w:cs="Times New Roman" w:eastAsia="Times New Roman" w:hAnsi="Times New Roman"/>
          <w:b w:val="false"/>
          <w:bCs w:val="false"/>
          <w:i w:val="false"/>
          <w:iCs w:val="false"/>
          <w:sz w:val="18"/>
          <w:szCs w:val="18"/>
        </w:rPr>
        <w:t xml:space="preserve"> Yangına tepki sınıfının üç kodlaması ve sonuca etkisi (1. bölge) </w:t>
      </w:r>
      <w:r>
        <w:rPr>
          <w:rFonts w:ascii="Times New Roman" w:cs="Times New Roman" w:eastAsia="Times New Roman" w:hAnsi="Times New Roman"/>
          <w:b/>
          <w:bCs/>
          <w:i w:val="false"/>
          <w:iCs w:val="false"/>
          <w:sz w:val="16"/>
          <w:szCs w:val="16"/>
        </w:rPr>
        <w:t xml:space="preserve">(Three encodings of the reaction-to-fire class and their effect on the result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Sınıf</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Doğrusal</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Gruplu</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İkili</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Entropi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%38,5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CRITIC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%17,4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(entropi)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0,453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(CRITIC)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0,744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Ana çalıştırmada, on sekiz alternatifin tamamı için verisi eksiksiz olan ölçütler kullanılmıştır. Bu kural gereği gömülü karbon ölçütü (7/18 eksik) ana çalıştırmada yer almamış, model sekiz ölçütle yürütülmüştür; maliyet ölçütü ise hiçbir alternatif için veri bulunamadığından baştan tanımlanmamıştır. Eşiğin sonuç üzerindeki etkisi ayrıca sınanmıştır: eşik %25'e yükseltildiğinde ölçüt seti değişmemekte, %50'ye yükseltildiğinde gömülü karbon sete girmekte ancak yedi alternatifte veri bulunmadığı için model çalıştırılamamaktadır. Yani bu veri setinde eşik seçiminin uygulanabilir tek değeri eksiksiz veri kuralıdır. Gömülü karbonun etkisi, veri bakımından tam olan on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Çapraz Kontrolü </w:t>
      </w:r>
      <w:r>
        <w:rPr>
          <w:rFonts w:ascii="Times New Roman" w:cs="Times New Roman" w:eastAsia="Times New Roman" w:hAnsi="Times New Roman"/>
          <w:b/>
          <w:bCs/>
          <w:i w:val="false"/>
          <w:iCs w:val="false"/>
          <w:sz w:val="16"/>
          <w:szCs w:val="16"/>
        </w:rPr>
        <w:t xml:space="preserve">(Cross-Check of the Calculation Basis)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yalıtım dışındaki katmanların ve yüzeysel dirençlerin toplam ısıl direncidir. İç ve dış yüzeysel dirençlerin toplamı tek başına yaklaşık 0,17 m²K/W'tır; tuğla ve sıva katmanları buna eklendiğinde 0,30 m²K/W düzeyi tipik bir dış duvar kesiti için makul bir büyüklüktür. Bu değerle hesaplanan kalınlıklar, TS 825:2024 için yayımlanmış asgari yalıtım kalınlığı tablosunun dört il ve iki ısı iletkenlik değeri için verdiği sekiz veri noktasının tamamıyla örtüşmektedir [3] (Tablo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4.</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 </w:t>
      </w:r>
      <w:r>
        <w:rPr>
          <w:rFonts w:ascii="Times New Roman" w:cs="Times New Roman" w:eastAsia="Times New Roman" w:hAnsi="Times New Roman"/>
          <w:b/>
          <w:bCs/>
          <w:i w:val="false"/>
          <w:iCs w:val="false"/>
          <w:sz w:val="16"/>
          <w:szCs w:val="16"/>
        </w:rPr>
        <w:t xml:space="preserve">(Calculated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bir çapraz kontroldür, bağımsız bir doğrulama değildir: R_diğer parametresinin kendisi bu tabloyu yakalayacak biçimde seçilmiştir. Çapraz kontrolün gösterdiği şey, tek bir sabitin dört farklı bölge ve iki farklı ısı iletkenlik değeri için aynı anda tutarlı sonuç vermesidir; bu, Eş. 2'nin biçiminin yayımlanan tablonun dayandığı hesapla uyumlu olduğunu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 </w:t>
      </w:r>
      <w:r>
        <w:rPr>
          <w:rFonts w:ascii="Times New Roman" w:cs="Times New Roman" w:eastAsia="Times New Roman" w:hAnsi="Times New Roman"/>
          <w:b/>
          <w:bCs/>
          <w:i w:val="false"/>
          <w:iCs w:val="false"/>
          <w:sz w:val="16"/>
          <w:szCs w:val="16"/>
        </w:rPr>
        <w:t xml:space="preserve">(Climate Data and Climate Balance)</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servisinin 5.3 sürümünden alınmıştır [32]: aylık ortalama dış hava sıcaklıkları ERA5, düşey yüzeylere gelen yön bazlı aylık ortalama ışınım şiddetleri PVGIS-SARAH3 kaynaklıdır. Her iki büyüklük de servisin sunduğu tam dönem olan 2005–2023 (19 yıl) ortalamalarıdır; tekil yılların değil uzun dönem ikliminin kullanılması amaçlanmıştır.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Enerji hesabı ve iklim ayarı, il–bölge karşılığı bağımsız olarak doğrulanabilen dört bölge için yürütülmüştür: 1. bölge Antalya, 3. bölge İstanbul, 4. bölge Ankara, 6. bölge Erzurum. İkinci ve beşinci bölgeler için doğrulanabilir temsilci il belirlenemediğinden bu bölgeler iklime bağlı çözümlemelerin dışında bırakılmıştır. Buna karşılık orantılılık sınaması ve uygulanabilirlik kısıtı yalnızca tavsiye edilen ısıl geçirgenlik değerlerine ve ısı iletkenliğine dayandığı için altı bölgenin tamamı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 sıcaklığı θ = 20 °C, soğutma taban sıcaklığı θ =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 </w:t>
      </w:r>
      <w:r>
        <w:rPr>
          <w:rFonts w:ascii="Times New Roman" w:cs="Times New Roman" w:eastAsia="Times New Roman" w:hAnsi="Times New Roman"/>
          <w:b/>
          <w:bCs/>
          <w:i w:val="false"/>
          <w:iCs w:val="false"/>
          <w:sz w:val="16"/>
          <w:szCs w:val="16"/>
        </w:rPr>
        <w:t xml:space="preserve">(Weighting and Climate Adjustment)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ağırlıklandırma yöntemi karşılaştırmalı olarak kullanılmıştır. Birincisinde ağırlık, bir sütunun taşıdığı bilginin ölçüsü olan Shannon entropisinden türetilir; bir sütunun entropisi bire ne kadar uzaksa ağırlığı o kadar büyür (Eş.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e_j = −(1/ln n) Σ_m p_{mj} ln p_{mj},   w_j ∝ 1 − e_j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p_{mj} normalize matriste m alternatifinin j sütunu içindeki payı, n ise alternatif sayısıdır. İkinci yöntemde ağırlık, sütunun standart sapması sd_j ile o sütunun diğer sütunlarla çelişme miktarının çarpımından gelir (Eş. 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sd_j Σ_k (1 − ρ_{jk})     (5)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5'teki bu ölçü, yayılımı yüksek olmakla birlikte başka bir ölçütle güçlü ilişkili olan sütunların payını sınırlar [29]. Üçüncüsü w_j = 1/m ile tanımlı eşit ağırlıktır ve kontrol kurgusu olarak yer alır. Uzman anketine dayalı subjektif ağırlıklandırma, sonucun yanıt havuzuna bağımlı hâle gelmesini önlemek ve hesabın bağımsız olarak yinelenebilmesini korumak amacıyla bilinçli olarak dışarıda bırakılmıştır.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6, K_b ile orantılı olmayan bir yapı ürettiği için 2.1'deki önermenin kapsamı dışındadır. İklim ayarı σ_b'ye dayandığından yalnızca 2.4'te sayılan dört bölge için tanımlıdır.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 </w:t>
      </w:r>
      <w:r>
        <w:rPr>
          <w:rFonts w:ascii="Times New Roman" w:cs="Times New Roman" w:eastAsia="Times New Roman" w:hAnsi="Times New Roman"/>
          <w:b/>
          <w:bCs/>
          <w:i w:val="false"/>
          <w:iCs w:val="false"/>
          <w:sz w:val="16"/>
          <w:szCs w:val="16"/>
        </w:rPr>
        <w:t xml:space="preserve">(Ranking and Buildability Constraint)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matriste her alternatifin ideal ve negatif ideal çözüme Öklid uzaklıkları (d⁺_m ve d⁻_m) hesaplanır; alternatifin puanı bu iki uzaklığın oranından gelir (Eş. 7) [33]: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d⁻_m / (d⁺_m + d⁻_m)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VIKOR (v = 0,5), toplulaştırma mantığı farklı olduğu için tamamlayıcı bir sıralama yöntemi olarak kullanılmıştır; iki yöntemin aynı sıralamayı vermesi beklenmemekte, aradaki fark yöntem duyarlılığının ölçüsü olarak raporlanmaktadır.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 </w:t>
      </w:r>
      <w:r>
        <w:rPr>
          <w:rFonts w:ascii="Times New Roman" w:cs="Times New Roman" w:eastAsia="Times New Roman" w:hAnsi="Times New Roman"/>
          <w:b/>
          <w:bCs/>
          <w:i w:val="false"/>
          <w:iCs w:val="false"/>
          <w:sz w:val="16"/>
          <w:szCs w:val="16"/>
        </w:rPr>
        <w:t xml:space="preserve">(Life Cycle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Çevresel veriler ÖKOBAUDAT'tan alınan yaşam döngüsü değerlendirmesi veri kümeleridir [30]. Veri tabanı yalnızca doğrulanmış ürün beyanlarından oluşmamakta; ürün beyanı temelli, ortalama, temsilî ve jenerik veri kümelerini bir arada sunmaktadır. Bu çalışmada kullanılan her kaydın veri kümesi kimliği, sürüm yılı ve referans birimi ek tabloda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beyanının modül yapısı, hesabın nerede kesileceğini bir tasarım seçimi hâline getirmektedir. Bu çalışmada üç kesme noktası tanımlanmıştır [34]. S1, üretim modülleriyle (A1–A3) sınırlıdır ve biyojenik alımı içerir. S2, bunlara yaşam sonu işleme ve bertaraf modüllerini (C3 ve C4) ekler. S3 ise sistem sınırının ötesine taşan yük ve kazanımları temsil eden D modülünü de kapsar. Çifte sayımı önlemek için bu analizde gömülü karbon ve biyojenik karbon ayrı ölçüt olarak kullanılmamış, yerlerini tek bir yaşam döngüsü karbonu ölçütü almıştır. Bu ölçüt setinin ana çalıştırmanınkinden farkı budur; ana çalıştırma sekiz ölçütle ve biyojenik karbonla, sistem sınırı çözümlemesi ise sekiz ölçütle ve tek bir yaşam döngüsü karbonu ölçütüyle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karbon-negatif görünmesi malzemenin bir özelliği değil, sistem sınırının ve biyojenik karbon muhasebesinin bir sonucudur: A1–A3'te atmosferden alınan karbon eksi işaretle kaydedilirken, bu karbonun yaşam sonunda geri salınması hesabın dışında bırakılmaktadır.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 15804'ün A1 ve A2 sürümleri biyojenik karbonu farklı biçimde muhasebeleştirmektedir; veri tabanı bu iki sürümün göstergelerinin birlikte karşılaştırılmamasını öngörmektedir. Veri setinde bu fark somut olarak gözlenmiştir: kenevir ve keten lifi için 2023 tarihli kayıtlarda A1–A3 biyojenik karbon sıfıra yakınken, 2022 tarihli kayıtlarda yaklaşık −1,5 kgCO₂e/kg'dır. Bu çalışmada, lignoselülozik malzemenin kuru kütle karbon içeriğinden beklenen büyüklükle tutarlı olduğu için 2022 sürümleri kullanılmış, sonucun bu seçime duyarlılığı 3.5'te ayrıca raporlanmıştır.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 </w:t>
      </w:r>
      <w:r>
        <w:rPr>
          <w:rFonts w:ascii="Times New Roman" w:cs="Times New Roman" w:eastAsia="Times New Roman" w:hAnsi="Times New Roman"/>
          <w:b/>
          <w:bCs/>
          <w:i w:val="false"/>
          <w:iCs w:val="false"/>
          <w:sz w:val="16"/>
          <w:szCs w:val="16"/>
        </w:rPr>
        <w:t xml:space="preserve">(Reference Dwelling and Monthly Energy Calculation)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A_f = 1440 m² şartlandırılmış döşeme alanı, A_n = 1290,2 m² kullanım alanı, 184,8 m² pencere alanı (güneyde duvar alanının %25'i, diğer yönlerde %15'i) ve 0,393 A/V oranı. Binanın özgül ısı kaybı, iletim ve havalandırma bileşenlerinin toplamıdır (Eş. 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H_T + H_V     (8)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İletim bileşeni, kabuğu oluşturan yüzeylerin ısıl geçirgenlik-alan çarpımlarından; çatı ve taban için sıcaklık düzeltme çarpanlarıyla birlikte kurulur (Eş. 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H_T = U_D A_opak + U_P A_pencere + 0,8 U_T A_çatı + 0,5 U_t A_taban     (9)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Havalandırma bileşeni ise havalandırılan hacim üzerinden yazılır (Eş. 10):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H_V = 0,33 n_h V_h,   V_h = 0,8 V_brüt     (10)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 değişim sayısı n_h = 0,7 h⁻¹ alınmıştır. Dördüncü bölge için H = 1467 W/K bulunmuştur.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İç kazançlar 5 W/m² × A_n, güneş kazançları ise dört yönün pencere alanları üzerinden gölgelenme faktörü 0,6 ve güneş geçirme faktörü 0,6 ile hesaplanmıştır. Duvar yalıtımının etkin ısıl kapasitesine katkısı λρcK_b × opak alan biçiminde, döşeme ve iç duvarların katkısı ise 150 kJ/m²K × döşeme alanı kabulüyle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Kullanılan aylık yarı-kararlı çerçeve, tarihsel olarak EN ISO 13790 ile tanımlanmış hesap mantığına dayanmaktadır [35]; bu standart geri çekilmiş olup yerini hem aylık hem saatlik hesap yordamlarını kapsayan ISO 52016-1 almıştır [36]. Bu çalışmada aylık biçim, TS 825'in hesap yapısına yakınlığı nedeniyle kullanılmıştır.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Fonksiyonel birim sabit U hedefine dayandığı için yalıtım malzemesi değiştiğinde H değişmez; malzemenin yıllık enerjiye etki edebileceği tek yol ısıl kütlesi C üzerinden kullanım faktörüdür. Bu nedenle iki kurgu karşılaştırılmıştır. Kurgu A'da kullanım faktörü yalnızca kazanç-kayıp oranına bağlıdır ve zaman sabitinden bağımsızdır. Kurgu B'de kullanım faktörü, kazanç-kayıp oranı γ ile binanın zaman sabitine birlikte bağlıdır (Eş. 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(1 − γ^a) / (1 − γ^(a+1)),   a = a₀ + τ/τ₀,   τ = C/H     (11)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a₀ = 1,0 ve τ₀ = 15 saat olup bu iki katsayı konutlar için aylık yöntemde kullanılan değerlerdir. Soğutma için aynı biçimin kayıp kullanım faktörü karşılığı kullanılmıştır. Referans konutta τ, alternatife göre 41,2 ile 75,1 saat arasında değişmektedir. Gece havalandırması ve hareketli gölgeleme kontrolü modellenmemiştir; her ikisi de saatlik çözünürlük gerektirmekte ve aylık yarı-kararlı çerçevede temsil edilememektedir.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Tartışmalar </w:t>
      </w:r>
      <w:r>
        <w:rPr>
          <w:rFonts w:ascii="Times New Roman" w:cs="Times New Roman" w:eastAsia="Times New Roman" w:hAnsi="Times New Roman"/>
          <w:b/>
          <w:bCs/>
          <w:i w:val="false"/>
          <w:iCs w:val="false"/>
          <w:sz w:val="16"/>
          <w:szCs w:val="16"/>
        </w:rPr>
        <w:t xml:space="preserve">(Results and Discussions)</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 </w:t>
      </w:r>
      <w:r>
        <w:rPr>
          <w:rFonts w:ascii="Times New Roman" w:cs="Times New Roman" w:eastAsia="Times New Roman" w:hAnsi="Times New Roman"/>
          <w:b/>
          <w:bCs/>
          <w:i w:val="false"/>
          <w:iCs w:val="false"/>
          <w:sz w:val="16"/>
          <w:szCs w:val="16"/>
        </w:rPr>
        <w:t xml:space="preserve">(Testing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yöntemi ve iki sıralama yöntemi için altı bölge arasındaki Spearman sıra korelasyonu bütün çiftlerde 1,000000; ağırlıkların bölgeler arası azami farkı 1,8 × 10⁻⁹ çıkmıştır. Bu fark, hesapta kullanılan kalınlık adımının kendisiyle aynı mertebededir; yani sayısal olarak sıfırdır. Kalınlık en yakın santimetreye yuvarlandığında korelasyon TOPSIS için 0,983–1,000, VIKOR için 0,992–1,000 aralığına inmekte, ağırlık farkı 9,2 × 10⁻³'e çıkmaktadır.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 </w:t>
      </w:r>
      <w:r>
        <w:rPr>
          <w:rFonts w:ascii="Times New Roman" w:cs="Times New Roman" w:eastAsia="Times New Roman" w:hAnsi="Times New Roman"/>
          <w:b/>
          <w:bCs/>
          <w:i w:val="false"/>
          <w:iCs w:val="false"/>
          <w:sz w:val="16"/>
          <w:szCs w:val="16"/>
        </w:rPr>
        <w:t xml:space="preserve">(Inter-zone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ve malzemeden bağımsız sabit bir katman direncine dayalı bir seçim modelinde bölgeler arası sıralama farkı oluşmaz. Bu, veriye bağlı bir gözlem değil, kurgunun analitik sonucudur. Bulgunun geçerliliği kullanılan veri setinden bağımsızdır; kapsamı ise 2.1'de belirtilen varsayımla sınırlıdır.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 </w:t>
      </w:r>
      <w:r>
        <w:rPr>
          <w:rFonts w:ascii="Times New Roman" w:cs="Times New Roman" w:eastAsia="Times New Roman" w:hAnsi="Times New Roman"/>
          <w:b/>
          <w:bCs/>
          <w:i w:val="false"/>
          <w:iCs w:val="false"/>
          <w:sz w:val="16"/>
          <w:szCs w:val="16"/>
        </w:rPr>
        <w:t xml:space="preserve">(Mechanisms Producing the Zone Effect)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(Tablo 5). Uygulanabilirlik kısıtı, 1–3. bölgelerde eleme yapmazken 4. bölgede bir, 5. ve 6. bölgelerde altı alternatifi elemektedir: kenevir-kireç, saman balya, pirinç kavuzu paneli, ayçiçeği sapı-kitosan kompozit, şeker kamışı küspesi levhası ve fındık kabuğu paneli. Elenenlerin tamamı yüksek ısı iletkenlikli, hacimli biyo-bazlı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5.</w:t>
      </w:r>
      <w:r>
        <w:rPr>
          <w:rFonts w:ascii="Times New Roman" w:cs="Times New Roman" w:eastAsia="Times New Roman" w:hAnsi="Times New Roman"/>
          <w:b w:val="false"/>
          <w:bCs w:val="false"/>
          <w:i w:val="false"/>
          <w:iCs w:val="false"/>
          <w:sz w:val="18"/>
          <w:szCs w:val="18"/>
        </w:rPr>
        <w:t xml:space="preserve"> Bölgelerin ısıtma ve soğutma derece günleri </w:t>
      </w:r>
      <w:r>
        <w:rPr>
          <w:rFonts w:ascii="Times New Roman" w:cs="Times New Roman" w:eastAsia="Times New Roman" w:hAnsi="Times New Roman"/>
          <w:b/>
          <w:bCs/>
          <w:i w:val="false"/>
          <w:iCs w:val="false"/>
          <w:sz w:val="16"/>
          <w:szCs w:val="16"/>
        </w:rPr>
        <w:t xml:space="preserve">(Heating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2167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3231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5320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0,990 iken, uygulanabilirlik kısıtıyla 0,497'ye, iklim ayarlı ağırlıklandırmayla 0,513'e inmektedir. Tam modelde değer 0,573'tür. Kısıtın etkisi, ortak alternatif kümesini 18'den 12'ye daraltmasından ve karşılaştırmanın bu daraltılmış küme üzerinden yapılmasından kaynaklanmaktadır.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 </w:t>
      </w:r>
      <w:r>
        <w:rPr>
          <w:rFonts w:ascii="Times New Roman" w:cs="Times New Roman" w:eastAsia="Times New Roman" w:hAnsi="Times New Roman"/>
          <w:b/>
          <w:bCs/>
          <w:i w:val="false"/>
          <w:iCs w:val="false"/>
          <w:sz w:val="16"/>
          <w:szCs w:val="16"/>
        </w:rPr>
        <w:t xml:space="preserve">(Contribution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biyo-bazlı ürünlerin gereken duvar kalınlığı nedeniyle kullanılamaz hâle gelmesi biçiminde somutlaşmaktadır. Nicel olarak bu mekanizma, iklime bağlı ağırlıklandırmadan daha güçlü bir bölge etkisi üretmektedir.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 </w:t>
      </w:r>
      <w:r>
        <w:rPr>
          <w:rFonts w:ascii="Times New Roman" w:cs="Times New Roman" w:eastAsia="Times New Roman" w:hAnsi="Times New Roman"/>
          <w:b/>
          <w:bCs/>
          <w:i w:val="false"/>
          <w:iCs w:val="false"/>
          <w:sz w:val="16"/>
          <w:szCs w:val="16"/>
        </w:rPr>
        <w:t xml:space="preserve">(Effect of the Weighting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Tablo 6'da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çekmektedir: entropi ağırlıklandırmasında taşyünü ve camyünü ikinci ve üçüncü sıraya yerleşirken, CRITIC ve eşit ağırlıkta bu iki ürünün yerini tarımsal atık esaslı paneller 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6.</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 (1. bölge) </w:t>
      </w:r>
      <w:r>
        <w:rPr>
          <w:rFonts w:ascii="Times New Roman" w:cs="Times New Roman" w:eastAsia="Times New Roman" w:hAnsi="Times New Roman"/>
          <w:b/>
          <w:bCs/>
          <w:i w:val="false"/>
          <w:iCs w:val="false"/>
          <w:sz w:val="16"/>
          <w:szCs w:val="16"/>
        </w:rPr>
        <w:t xml:space="preserve">(Heaviest criterion and top three alternatives by weighting method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yaşam döngüsü modülleri eksiksiz olan on alternatiflik alt kümede daha da belirginleşmektedir. Bu alt kümede entropinin yangına tepkiye verdiği pay %37,7, CRITIC'inki %19,5'tir: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0,352–0,633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Yangına Tepki Kodlamasına Duyarlılık </w:t>
      </w:r>
      <w:r>
        <w:rPr>
          <w:rFonts w:ascii="Times New Roman" w:cs="Times New Roman" w:eastAsia="Times New Roman" w:hAnsi="Times New Roman"/>
          <w:b/>
          <w:bCs/>
          <w:i w:val="false"/>
          <w:iCs w:val="false"/>
          <w:sz w:val="16"/>
          <w:szCs w:val="16"/>
        </w:rPr>
        <w:t xml:space="preserve">(Sensitivity to the Reaction-to-Fire Encoding)</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sınıfının sayısallaştırılması entropi bulgusunun dayandığı noktadır; bu nedenle ayrıca sınanmıştır (Tablo 3). Yedi sınıfı eşit aralıklı kodlayan temel kurgu ile sınıfları üç düzeye indiren gruplu kodlama arasında pratik bir fark yoktur; sıralamalar arası Spearman korelasyonu 0,979–0,994 düzeyindedir ve entropi ağırlığı %30,4'ten %30,8'e çıkmaktadır. Buna karşılık yalnızca yanmazlığı ayıran ikili kodlama, ölçütteki yayılımı yoğunlaştırarak entropi ağırlığını %38,5'e çıkarmakta ve sıralamayı belirgin biçimde değiştirmektedir (Spearman 0,453). Aynı kodlamada CRITIC 0,744, eşit ağırlık 0,903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Bunun iki sonucu vardır. Birincisi, entropinin bu ölçüte yüklendiği yönündeki bulgu kodlamadan bağımsızdır; hatta kaba kodlamada güçlenmektedir. İkincisi, entropi ağırlıklandırmasının sonucu sıralı bir ölçütün nasıl sayısallaştırıldığına duyarlıdır, CRITIC ve eşit ağırlık ise belirgin biçimde daha dayanıklıdır. Dolayısıyla bulgu, ağırlıklandırma yönteminin biyo-bazlı alternatifleri sistematik olarak dezavantajlı kıldığı biçiminde değil, entropi ağırlıklandırmasının bu ölçüt seti ve bu veri gösterimi altında mineral esaslı alternatifleri öne çıkardığı biçiminde ifade edilmelidir.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Sistem Sınırının Etkisi </w:t>
      </w:r>
      <w:r>
        <w:rPr>
          <w:rFonts w:ascii="Times New Roman" w:cs="Times New Roman" w:eastAsia="Times New Roman" w:hAnsi="Times New Roman"/>
          <w:b/>
          <w:bCs/>
          <w:i w:val="false"/>
          <w:iCs w:val="false"/>
          <w:sz w:val="16"/>
          <w:szCs w:val="16"/>
        </w:rPr>
        <w:t xml:space="preserve">(Effect of the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biyo-bazlı malzemelerin A1–A3'te aldığı biyojenik karbonun C3'te yeniden salındığı görülmektedir. Altı malzemede alım ve salım ±0,04 kgCO₂e/kg içinde birbirini götürmektedir. Sistem sınırına göre yaşam döngüsü karbonu Tablo 7'de,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7.</w:t>
      </w:r>
      <w:r>
        <w:rPr>
          <w:rFonts w:ascii="Times New Roman" w:cs="Times New Roman" w:eastAsia="Times New Roman" w:hAnsi="Times New Roman"/>
          <w:b w:val="false"/>
          <w:bCs w:val="false"/>
          <w:i w:val="false"/>
          <w:iCs w:val="false"/>
          <w:sz w:val="18"/>
          <w:szCs w:val="18"/>
        </w:rPr>
        <w:t xml:space="preserve"> Sistem sınırına göre yaşam döngüsü karbonu (kgCO₂e/kg) </w:t>
      </w:r>
      <w:r>
        <w:rPr>
          <w:rFonts w:ascii="Times New Roman" w:cs="Times New Roman" w:eastAsia="Times New Roman" w:hAnsi="Times New Roman"/>
          <w:b/>
          <w:bCs/>
          <w:i w:val="false"/>
          <w:iCs w:val="false"/>
          <w:sz w:val="16"/>
          <w:szCs w:val="16"/>
        </w:rPr>
        <w:t xml:space="preserve">(Life-cycle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 </w:t>
      </w:r>
      <w:r>
        <w:rPr>
          <w:rFonts w:ascii="Times New Roman" w:cs="Times New Roman" w:eastAsia="Times New Roman" w:hAnsi="Times New Roman"/>
          <w:b/>
          <w:bCs/>
          <w:i w:val="false"/>
          <w:iCs w:val="false"/>
          <w:sz w:val="16"/>
          <w:szCs w:val="16"/>
        </w:rPr>
        <w:t xml:space="preserve">(Effect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çoğu karbon-negatif görünmekte ve sıralamanın başında yer almaktadır: birinci sıra 1. ve 3. bölgede saman balya, 4. ve 6. bölgede genleştirilmiş mantardır. C modülleri eklendiğinde birinci sıra incelenen dört bölgenin dördünde de camyününe geçmektedir. Sınırlar arası Spearman korelasyonu S1–S2 için 0,648, S1–S3 için 0,636, S2–S3 için 0,988'dir.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Etki, 2.7'de tanımlanan sürüm tutarsızlığını taşıyan iki kayıt çıkarıldığında zayıflamamakta, güçlenmektedir: sekiz alternatiflik alt kümede S1–S2 korelasyonu 1. bölgede 0,333, 3. bölgede 0,405, 4. bölgede 0,286 ve 6. bölgede 0,607'ye inmektedir. Bulgu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0,81 arasındadır; yani depolanan biyojenik karbonun yarısından fazlası yaşam sonunda salınmadıkça biyo-bazlı bir malzeme birinci sırada kalmaktadır. Eşik sıcak bölgelerde daha yüksektir, çünkü biyo-bazlı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Biyo-bazlı üstünlüğün kaybolduğu yaşam sonu salım oranı eşiği; eşiğin üzerinde camyünü birinci sıradadır </w:t>
      </w:r>
      <w:r>
        <w:rPr>
          <w:rFonts w:ascii="Times New Roman" w:cs="Times New Roman" w:eastAsia="Times New Roman" w:hAnsi="Times New Roman"/>
          <w:b/>
          <w:bCs/>
          <w:i w:val="false"/>
          <w:iCs w:val="false"/>
          <w:sz w:val="16"/>
          <w:szCs w:val="16"/>
        </w:rPr>
        <w:t xml:space="preserve">(Threshold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biyo-bazlı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Isıl Kütlenin Enerji İhtiyacına Etkisi </w:t>
      </w:r>
      <w:r>
        <w:rPr>
          <w:rFonts w:ascii="Times New Roman" w:cs="Times New Roman" w:eastAsia="Times New Roman" w:hAnsi="Times New Roman"/>
          <w:b/>
          <w:bCs/>
          <w:i w:val="false"/>
          <w:iCs w:val="false"/>
          <w:sz w:val="16"/>
          <w:szCs w:val="16"/>
        </w:rPr>
        <w:t xml:space="preserve">(Effect of Thermal Mass on Energy Demand)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Tablo 8'de, karşılaştırma Şekil 6'da verilmiştir. Isıl kütlenin en hafif ile en ağır alternatif arasında yarattığı yıllık toplam enerji farkı 5,57 ile 7,74 kWh/m²·yıl arasındadır; bölgeler arası değişim yaklaşık 1,4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8.</w:t>
      </w:r>
      <w:r>
        <w:rPr>
          <w:rFonts w:ascii="Times New Roman" w:cs="Times New Roman" w:eastAsia="Times New Roman" w:hAnsi="Times New Roman"/>
          <w:b w:val="false"/>
          <w:bCs w:val="false"/>
          <w:i w:val="false"/>
          <w:iCs w:val="false"/>
          <w:sz w:val="18"/>
          <w:szCs w:val="18"/>
        </w:rPr>
        <w:t xml:space="preserve"> Referans konutun enerji ihtiyacı ve ısıl kütlenin katkısı </w:t>
      </w:r>
      <w:r>
        <w:rPr>
          <w:rFonts w:ascii="Times New Roman" w:cs="Times New Roman" w:eastAsia="Times New Roman" w:hAnsi="Times New Roman"/>
          <w:b/>
          <w:bCs/>
          <w:i w:val="false"/>
          <w:iCs w:val="false"/>
          <w:sz w:val="16"/>
          <w:szCs w:val="16"/>
        </w:rPr>
        <w:t xml:space="preserve">(Energy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(kWh/m²·yıl)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(kWh/m²·yıl)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 (kWh/m²·yıl)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(kWh/m²·yıl)</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43,9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52,7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55,5</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63,2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6384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 </w:t>
      </w:r>
      <w:r>
        <w:rPr>
          <w:rFonts w:ascii="Times New Roman" w:cs="Times New Roman" w:eastAsia="Times New Roman" w:hAnsi="Times New Roman"/>
          <w:b/>
          <w:bCs/>
          <w:i w:val="false"/>
          <w:iCs w:val="false"/>
          <w:sz w:val="16"/>
          <w:szCs w:val="16"/>
        </w:rPr>
        <w:t xml:space="preserve">(Effect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%53,1'e ulaşmakta, 6. bölgede %6,4'e inmektedir; ancak bu, ısıtma ihtiyacının 1. bölgede yalnızca 3,8 kWh/m²·yıl olmasından kaynaklanır. Aynı oran mutlak olarak 2,02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dinamik etkileri temsil etmedeki sınırları literatürde de ölçülmüştür [37]. Buradaki sonuç, hesap yöntemlerinin genel olarak ısıl kütleyi göremediği biçiminde okunmamalıdır: kullanılan aylık yarı-kararlı biçimin ısıl kütle etkilerine duyarlılığı, saatlik dinamik bir yaklaşıma kıyasla sınırlıdır. ISO 52016-1 saatlik hesap yordamlarını da kapsamaktadır [36]; ısıl kütlenin gerçek katkısının ölçülmesi bu düzeyde bir çözünürlük gerektirir.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Bulguların Birlikte Değerlendirilmesi </w:t>
      </w:r>
      <w:r>
        <w:rPr>
          <w:rFonts w:ascii="Times New Roman" w:cs="Times New Roman" w:eastAsia="Times New Roman" w:hAnsi="Times New Roman"/>
          <w:b/>
          <w:bCs/>
          <w:i w:val="false"/>
          <w:iCs w:val="false"/>
          <w:sz w:val="16"/>
          <w:szCs w:val="16"/>
        </w:rPr>
        <w:t xml:space="preserve">(Joint Assessment of the Findings)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kendi varsayımları içinde bölge etkisini analitik olarak imkânsız kılmakta; uygulanabilirlik kısıtı bu etkiyi geri getirmekte; ağırlıklandırma yöntemi ve ölçütlerin sayısallaştırılma biçimi biyo-bazlı alternatiflerin yerini değiştirmekte; sistem sınırı birinci sırayı değiştirmektedir. Ortak sonuç şudur: bir malzeme sıralaması, malzemelerin içkin bir özelliği olarak okunamaz; fonksiyonel birim tanımı, ağırlıklandırma yöntemi, ölçüt gösterimi, sıralama yöntemi ve yaşam döngüsü sistem sınırı birlikte beyan edildiğinde yorumlanabilir bir sonuçtur.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biyo-bazlı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3.8. Sınırlılıklar </w:t>
      </w:r>
      <w:r>
        <w:rPr>
          <w:rFonts w:ascii="Times New Roman" w:cs="Times New Roman" w:eastAsia="Times New Roman" w:hAnsi="Times New Roman"/>
          <w:b/>
          <w:bCs/>
          <w:i w:val="false"/>
          <w:iCs w:val="false"/>
          <w:sz w:val="16"/>
          <w:szCs w:val="16"/>
        </w:rPr>
        <w:t xml:space="preserve">(Limitations)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ölçütü eksik veri kuralı gereği yer almamaktadır. Isı iletkenliği verisinin ortalama kalite puanı 2,72/5, yoğunluk verisininki 2,50/5'tir; on sekiz alternatifin altısında ısı iletkenliği, sekizinde yoğunluk hakemli tek bir kaynağa bağlanamamış, gösterge değer olarak kullanılmıştır. Tüm hücrelerin kaynak ve kalite bilgisi ek tabloda açık biçimde sunulmuştur. Bu nedenle çalışmada üretilen malzeme sıralamaları göstergedir; 3.1'deki analitik sonuç ise kurgudan türediği için veri setinden bağımsızdır, buna karşılık 3.2–3.6'daki nicel bulgular veri kalitesine ve ölçütlerin sayısallaştırılma biçimine duyarlıdır.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Soğutma hesabı aylık yarı-kararlı yöntemle kurulmuş, gece havalandırması ve gölgeleme kontrolü modellenmemiştir. Enerji hesabı ve iklim ayarı, il–bölge eşleşmesi doğrulanabilen dört bölgeyle sınırlıdır; ikinci ve beşinci bölgeler bu çözümlemelerin dışındadır. Geometri, yönlenme ve A/V oranı duyarlılığı incelenmemiştir. Sistem sınırı analizi, yaşam döngüsü modülleri eksiksiz olan on alternatifle sınırlıdır; tarımsal atık esaslı panellerin çoğu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 </w:t>
      </w: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A_n : kullanım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a₀ : kullanım faktörü sabiti,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CRITIC ölçüt bilgi miktarı,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d⁻ : ideal ve negatif ideal çözüme uzaklık,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 : ölçüt entropisi,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h⁻¹</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p : normalize karar matrisi sütun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 : ölçüt standart sapması,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V_h : havalandırılan hacim, 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γ : kazanç-kayıp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ρ_{jk} : ölçütler arası korelasyon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τ₀ : referans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 </w:t>
      </w: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biyo-bazlı yapı kabuğu malzemelerinin seçiminde kullanılan çok ölçütlü karar kurgusunun kendisi TS 825:2024 çerçevesinde sınanmıştır. Hesap temeli, yayımlanmış asgari yalıtım kalınlığı tablosunun sekiz veri noktasının tamamında çapraz kontrolden geçmiştir.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ve malzemeden bağımsız sabit bir katman direncine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altı alternatifi elemekte ve korelasyonu 0,990'dan 0,497'ye indirmektedir; iklim dengesine bağlı ağırlıklandırmanın etkisi ise 0,513 düzeyindedir.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ve ölçütlerin sayısallaştırılma biçiminin seçimi biyo-bazlı alternatiflerin sıralamadaki yerini belirlemektedir. Entropi, ağırlığın yaklaşık üçte birini tek bir sıralı ölçüte vererek mineral esaslı ürünleri öne çekmekte; CRITIC ve eşit ağırlık ise aynı ölçütü tanımakla birlikte egemen olmasına izin vermemektedir. Bu davranış yangına tepki sınıfının kodlanma biçimine duyarlıdır ve kaba bir kodlamada güçlenmektedir.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incelenen tüm bölgelerde değiştirmektedir. Biyo-bazlı malzemelerin A1–A3'te depoladığı biyojenik karbon C3'te yeniden salınmakta, altı malzemede alım ile salım ±0,04 kgCO₂e/kg içinde birbirini götürmektedir. Biyo-bazlı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bölgeye göre farklılaşmanın uygulanabilirlik kısıtı üzerinden geldiğidir. Aylık yarı-kararlı hesapta ısıl kütle farkı ancak zaman sabitine bağlı bir kullanım faktörü kullanıldığında görünür hâle gelmekte, bu durumda dahi mutlak katkısı 5,6–7,7 kWh/m²·yıl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ISO 52016-1'in saatlik yordamlarıyla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Teşekkür </w:t>
      </w: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Kaynaklar </w:t>
      </w: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Enerji ve Tabii Kaynaklar Bakanlığı, Türkiye Genel Enerji Denge Tabloları, Ankara.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Diz T., Yeni TS 825:2024 Standardı ve Isı Yalıtımı, İZODER teknik sunumu, İstanbul,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Yıldız C., Binalarda Enerji Verimliliğinde Son Gelişmeler: Türkiye Örneği, Gazi Üniversitesi Fen Bilimleri Dergisi Part C: Tasarım ve Teknoloji, 12(1), 176-213,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Morganti L., Vandi L., Astudillo Larraz J., García-Jaca J., Navarro Muedra A., Pracucci A., A1–A5 Embodied Carbon Assessment to Evaluate Bio-Based Components in Façade System Modules, Sustainability, 16, 3, 1190,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Yüce B.E., Acar M.C., Bitlis İlinde Farklı Yakıtlar ve Duvar Bileşenleri İçin Optimum Yalıtım Kalınlığı ve Enerji Tasarrufunun Analizi, Bitlis Eren Üniversitesi Fen Bilimleri Dergisi, 10(4), 1426-1434,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Mıhlayanlar E., Meral S., Mevcut Binalarda Enerji Verimli Yenileme ve EKB Uygulaması, Kırklareli Üniversitesi Mühendislik ve Fen Bilimleri Dergisi, 9(2), 478-497,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Hossain M.S., Therasme O., Crovella P., Volk T.A., Assessing the Environmental Impact of Biobased Exterior Insulation Panel: A Focus on Carbon Uptake and Embodied Emissions, Energies, 17, 14, 3406,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Matthews H.D., Zickfeld K., Koch A., Luers A., Accounting for the climate benefit of temporary carbon storage in nature, Nat Commun, 14, 1, 5485,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Andersen C.E., Rasmussen F.N., Habert G., Birgisdóttir H., Embodied GHG Emissions of Wooden Buildings — Challenges of Biogenic Carbon Accounting in Current LCA Methods, Front Built Environ, 7, 729096,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Füchsl S., Huber J., Fröhling M., Röder H., Balancing the green carbon cycle — Biogenic carbon within life cycle assessment, Int J Life Cycle Assess, 30, 10, 2300-2313,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Ye F., Wei H., Xiao Y., Berardi U., Quaranta G., Demartino C., Bio-based insulation materials in sustainable constructions: A review of environmental, thermal and acoustic insulation, durability, and mechanical performances, Renew Sustain Energy Rev, 223, 115872,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Dénes T., Iştoan R., Tămaş-Gavrea D.R., Manea D.L., Hegyi A., Popa F., Vasile O., Analysis of Sheep Wool-Based Composites for Building Insulation, Polymers, 14, 10, 2109, 2022.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Ranefjärd O., Strandberg-de Bruijn P.B., Wadsö L., Hygrothermal Properties and Performance of Bio-Based Insulation Materials Locally Sourced in Sweden, Materials, 17, 9, 2021,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Mati-Baouche N., De Baynast H., Lebert A., Sun S., Lopez-Mingo C.J.S., Leclaire P., Michaud P., Mechanical, thermal and acoustical characterizations of an insulating bio-based composite made from sunflower stalks particles and chitosan, Ind Crops Prod, 58, 244-250, 2014.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Gößwald J., Barbu M., Petutschnigg A., Tudor E.M., Binderless Thermal Insulation Panels Made of Spruce Bark Fibres, Polymers, 13, 11, 1799,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Mohammed W., Osman Z., Elarabi S., Mehats J., Charrier B., Mechanical and physical properties of biocomposites for furniture and thermal insulation, Cellul Chem Technol, 58, 3-4, 331-338,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Pavelek M., Adamová T., Bio-Waste Thermal Insulation Panel for Sustainable Building Construction in Steady and Unsteady-State Conditions, Materials, 12, 12, 2004,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Marín-Calvo N., González-Serrud S., James-Rivas A., Thermal insulation material produced from recycled materials for building applications: cellulose and rice husk-based material, Front Built Environ, 9, 1271317,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Wildman J., Shea A., Walker P., Henk D., Extrinsic and intrinsic determinants of thermal conductivity in mycelium composites, Build Serv Eng Res Technol, 46, 3, 317-338,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Ashraf M.U., Hzami A., Alghamri R., Khattab T., Abu Rayash A., Systematic review of mycelium-based composites as sustainable insulators for carbon-neutral building envelopes, Int J Sustain Eng, 19, 1, 2665914,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Siksnelyte-Butkiene I., Streimikiene D., Balezentis T., Skulskis V., A Systematic Literature Review of Multi-Criteria Decision-Making Methods for Sustainable Selection of Insulation Materials in Buildings, Sustainability, 13, 2, 737,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Bajwa A.U.R., Siriwardana C., Shahzad W., Naeem M.A., Material selection in the construction industry: a systematic literature review on multi-criteria decision making, Environ Syst Decis, 45, 1, 8,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Theilig K., Vollmer M., Lang W., Albus J., Multi-criteria decision-making for energy building renovation: Comparing exterior wall structures with the AHP, ANP, utility analysis, and TOPSIS, Build Environ, 280, 113075,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Pacheco-Torgal F., Chindaprasirt P., Comparative Performance of Bio-Based Construction Materials in Europe: A Multi-Criteria Decision Analysis, Sustainability, 18, 11, 5508,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Yilmaz B.Ç., Acun Özgünler S., Yilmaz Y., A multi-criteria decision-making method for thermal insulation material selection in nZEB level questioned affordable multifamily housings, J Build Phys, 47, 6, 628-650,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Ayan B., Abacıoğlu S., Basilio M.P., A Comprehensive Review of the Novel Weighting Methods for Multi-Criteria Decision-Making, Information, 14, 5, 285,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Mukhametzyanov I., Specific character of objective methods for determining weights of criteria in MCDM problems: Entropy, CRITIC and SD, Decis Mak Appl Manag Eng, 4, 2, 76-105,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Diakoulaki D., Mavrotas G., Papayannakis L., Determining objective weights in multiple criteria problems: The CRITIC method, Comput Oper Res, 22, 7, 763-770, 1995.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30.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31. EN 13501-1, Fire classification of construction products and building elements — Part 1: Classification using data from reaction to fire tests, CEN, Brüksel, Belçika, 2018.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32. PVGIS, Photovoltaic Geographical Information System, sürüm 5.3, Avrupa Komisyonu Ortak Araştırma Merkezi, https://re.jrc.ec.europa.eu/pvg_tools/en/, erişim: 8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33. Peng C., Feng D., Guo S., Material Selection in Green Design: A Method Combining DEA and TOPSIS, Sustainability, 13, 10, 5497,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34. EN 15804:2012+A2:2019,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35. EN ISO 13790, Energy performance of buildings — Calculation of energy use for space heating and cooling, CEN, Brüksel, Belçika, 2008 (geri çekilmiştir).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36. ISO 52016-1, Energy performance of buildings — Energy needs for heating and cooling, internal temperatures and sensible and latent heat loads — Part 1: Calculation procedures, ISO, Cenevre, İsviçre, 2017.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37. Wauman B., Breesch H., Saelens D., Evaluation of the accuracy of the implementation of dynamic effects in the quasi steady-state calculation method for school buildings, Energy Build, 65, 173-184, 2013.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16ff1e0577f31ae5a1db26573ea706f602859a4a.png"/><Relationship Id="rId9" Type="http://schemas.openxmlformats.org/officeDocument/2006/relationships/image" Target="media/31780a18c28d40a9d8b2c4df5d93b4fedec9c3a5.png"/><Relationship Id="rId10" Type="http://schemas.openxmlformats.org/officeDocument/2006/relationships/image" Target="media/b455dfd0b20d9e49e6bd89cb350162935245e84e.png"/><Relationship Id="rId11" Type="http://schemas.openxmlformats.org/officeDocument/2006/relationships/image" Target="media/76bed1d94b53668e5b36658bc19357dffeecc214.png"/><Relationship Id="rId12" Type="http://schemas.openxmlformats.org/officeDocument/2006/relationships/image" Target="media/f85253a93506f4b526154b78871540bfebc10d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2026-09-09T13:15:30.293Z</dcterms:created>
  <dcterms:modified xsi:type="dcterms:W3CDTF">2026-09-09T13:15:30.306Z</dcterms:modified>
</cp:coreProperties>
</file>

<file path=docProps/custom.xml><?xml version="1.0" encoding="utf-8"?>
<Properties xmlns="http://schemas.openxmlformats.org/officeDocument/2006/custom-properties" xmlns:vt="http://schemas.openxmlformats.org/officeDocument/2006/docPropsVTypes"/>
</file>