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Beyond Permanence: Reframing Temporality as a Design Value through Biodesign</w:t>
      </w:r>
    </w:p>
    <w:p>
      <w:pPr>
        <w:pStyle w:val="Heading1"/>
      </w:pPr>
      <w:r>
        <w:t>Abstract</w:t>
      </w:r>
    </w:p>
    <w:p>
      <w:pPr>
        <w:jc w:val="both"/>
      </w:pPr>
      <w:r>
        <w:t>Design theory has long treated permanence — durability, stability, formal integrity and material resistance to change — as a proxy for design quality. This orientation is historically entangled with modernity's ambition to render material and social environments predictable, calculable and governable, and it was institutionalised through industrial standardisation and preservation-oriented practices of maintenance and conservation. Contemporary ecological conditions expose the limits of this equation: materials engineered to resist degradation frequently outlive their usefulness and persist as ecological burdens, while ecological value depends on how matter circulates rather than on how long a single form endures. This article asks how biodesign — design practice in which living organisms and biological processes participate in material formation — destabilises the permanence paradigm, and how temporality might be reconstructed as a legitimate design value. The article is a conceptual contribution developed through an integrative review that synthesises four bodies of literature that rarely meet: design history and sustainable design theory; the temporal design tradition in design research and human–computer interaction; empirical biodesign and living-materials research; and process-philosophical, new materialist and more-than-human theory. The synthesis yields three claims. First, permanence is a historically and culturally situated design value rather than a neutral technical criterion, and counter-traditions of patina, weathering and curated decay have always accompanied it. Second, existing temporal design scholarship has theorised time predominantly as an experiential and social-coordinative condition, leaving the material register of design temporality comparatively underdeveloped; biodesign supplies precisely this register, because growth, adaptation, senescence and decomposition are constitutive of the material rather than external to it. Third, impermanence can therefore be reframed not as material failure but as an ontological condition of becoming, and thus as a design value in its own right. The article proposes a two-part framework: a set of paired orientations moving from stabilisation toward transformation, and six analytical dimensions of design temporality — rate, directionality, reversibility, scale, distribution of agency and terminus — through which designers can specify temporal intent. Boundary conditions are set out explicitly: permanence remains the appropriate value where safety, containment of hazardous matter, infrastructural continuity and cultural transmission are at stake. The contribution is not a replacement of durability by impermanence but an expansion of the temporal vocabulary through which design quality can be argued, taught and evaluated.</w:t>
      </w:r>
    </w:p>
    <w:p>
      <w:pPr>
        <w:jc w:val="both"/>
      </w:pPr>
      <w:r>
        <w:rPr>
          <w:b/>
        </w:rPr>
        <w:t>Keywords:</w:t>
      </w:r>
      <w:r>
        <w:t xml:space="preserve"> biodesign; temporality; impermanence; permanence; material agency; becoming; design theory; new materialism; living materials</w:t>
      </w:r>
    </w:p>
    <w:p>
      <w:pPr>
        <w:pStyle w:val="Heading1"/>
      </w:pPr>
      <w:r>
        <w:t>1. Introduction</w:t>
      </w:r>
    </w:p>
    <w:p>
      <w:pPr>
        <w:jc w:val="both"/>
      </w:pPr>
      <w:r>
        <w:t>Throughout its modern development, design has been closely associated with durability, stability and the capacity to control material conditions. With the expansion of industrial production, the longevity and consistent performance of designed objects became indicators of technical adequacy, reliability and value. Within this framework, the designed object is commonly understood as a form that should retain its intended function and identity over time (Forty, 1986; Papanek, 1971). The preference for durable objects is not simply a technical matter; it is embedded in a broader cultural understanding of design as a means of producing stable and predictable conditions.</w:t>
      </w:r>
    </w:p>
    <w:p>
      <w:pPr>
        <w:jc w:val="both"/>
      </w:pPr>
      <w:r>
        <w:t>This orientation can be situated within the wider intellectual conditions of modernity. Modernity has been characterised by sustained efforts to render social and material environments knowable, calculable and governable (Giddens, 1990), and by a persistent concern with ordering conditions experienced as fluid or uncertain (Bauman, 2000). In design, this becomes visible through the emphasis placed on standardisation, repeatability, reliability and durability. Design does not merely respond to a stable world; it participates in producing stability as a desirable condition.</w:t>
      </w:r>
    </w:p>
    <w:p>
      <w:pPr>
        <w:jc w:val="both"/>
      </w:pPr>
      <w:r>
        <w:t>The ecological crises of the twenty-first century have made this value system difficult to sustain without qualification. Climate change, biodiversity loss, resource depletion and the accumulation of persistent synthetic materials have demonstrated that material longevity does not automatically correspond to ecological responsibility (Fry, 2009; Escobar, 2018). A product that lasts longer may reduce replacement and consumption under some conditions, yet materials engineered to resist degradation can also persist far beyond their useful life and become long-lived ecological burdens whose temporal signature exceeds the scale at which human institutions ordinarily operate (Adam, 1998; Morton, 2013). The relationship between durability and sustainability is therefore considerably more complex than a simple equation between longer lifespan and better design.</w:t>
      </w:r>
    </w:p>
    <w:p>
      <w:pPr>
        <w:jc w:val="both"/>
      </w:pPr>
      <w:r>
        <w:t xml:space="preserve">At the same time, biodesign has introduced forms of practice in which biological organisms and processes participate directly in material development and making. Biodesign research has explored bacteria, algae, fungi, plants and other living systems as sources of materiality and as active participants in design processes (Myers, 2018; Collet, 2021; Camere &amp; Karana, 2018). Karana, Barati and Giaccardi (2020) further argue that </w:t>
      </w:r>
      <w:r>
        <w:rPr>
          <w:i/>
        </w:rPr>
        <w:t>livingness</w:t>
      </w:r>
      <w:r>
        <w:t xml:space="preserve"> extends beyond the biological origin of a material toward the experience and use of artefacts that grow, adapt, respond and eventually die. Empirical work on living materials has identified temporality as one of five core themes through which such materials are described and communicated (Ertürkan et al., 2022).</w:t>
      </w:r>
    </w:p>
    <w:p>
      <w:pPr>
        <w:jc w:val="both"/>
      </w:pPr>
      <w:r>
        <w:t>The significance of biodesign therefore extends beyond the development of alternative materials. It also challenges the assumption that the designed object should be understood primarily as a finished and stable entity. When growth, adaptation, transformation and decay become internal to the material process, the temporal dimension of design becomes difficult to treat as external to the object. This raises a theoretical question with consequences for how design quality is argued and assessed: if transformation is intrinsic to material and biological processes, should permanence continue to operate as a general measure of design success?</w:t>
      </w:r>
    </w:p>
    <w:p>
      <w:pPr>
        <w:jc w:val="both"/>
      </w:pPr>
      <w:r>
        <w:t>The question is not whether durable design should be abandoned. It is whether design theory can accommodate other temporal conditions as legitimate forms of value. Framed this way, the article addresses a gap that sits between two literatures that have developed largely in parallel. On one side, a substantial body of design research has argued for taking time seriously — from Lynch's (1972) account of the temporal collage of the built environment and Brand's (1994) analysis of buildings that learn, through slow technology (Hallnäs &amp; Redström, 2001), to the Temporal Design framework and its more-than-human extensions (Pschetz &amp; Bastian, 2018; Pschetz et al., 2024). This work has largely theorised time as an experiential, narrative and social-coordinative condition. On the other side, biodesign and living-materials research has generated detailed empirical accounts of materials whose temporality is biological and irreducible — mycelium that colonises a substrate, bacterial cellulose that thickens and dries, pigment-producing bacteria whose expression shifts with conditions (Karana et al., 2018; Camere &amp; Karana, 2018; Jones et al., 2020). What has not been sufficiently articulated is the theoretical bridge: how the material temporality that biodesign makes unavoidable might revise the value structure of design theory itself.</w:t>
      </w:r>
    </w:p>
    <w:p>
      <w:pPr>
        <w:jc w:val="both"/>
      </w:pPr>
      <w:r>
        <w:t xml:space="preserve">Accordingly, the study asks: </w:t>
      </w:r>
      <w:r>
        <w:rPr>
          <w:b/>
        </w:rPr>
        <w:t>How does biodesign challenge the paradigm of permanence that has long structured design, and how can temporality be reconceptualised as a legitimate design value?</w:t>
      </w:r>
      <w:r>
        <w:t xml:space="preserve"> Three sub-questions guide the discussion:</w:t>
      </w:r>
    </w:p>
    <w:p>
      <w:pPr>
        <w:pStyle w:val="ListNumber"/>
        <w:spacing w:line="360" w:lineRule="auto"/>
      </w:pPr>
      <w:r>
        <w:t>How did permanence become associated with successful design, and on what historical and cultural grounds does that association rest?</w:t>
      </w:r>
    </w:p>
    <w:p>
      <w:pPr>
        <w:pStyle w:val="ListNumber"/>
        <w:spacing w:line="360" w:lineRule="auto"/>
      </w:pPr>
      <w:r>
        <w:t>In what specific ways does biodesign destabilise this value system?</w:t>
      </w:r>
    </w:p>
    <w:p>
      <w:pPr>
        <w:pStyle w:val="ListNumber"/>
        <w:spacing w:line="360" w:lineRule="auto"/>
      </w:pPr>
      <w:r>
        <w:t>How can impermanence and temporality be conceptualised within design theory in a way that is analytically usable rather than merely rhetorical?</w:t>
      </w:r>
    </w:p>
    <w:p>
      <w:pPr>
        <w:jc w:val="both"/>
      </w:pPr>
      <w:r>
        <w:t>The article proceeds as follows. Section 2 sets out the conceptual research design. Section 3 reconstructs the permanence paradigm and its ecological and cultural limits. Section 4 reviews existing temporal design scholarship and identifies the material register as the underdeveloped one. Section 5 examines biodesign as a temporal practice, including its critical caveats. Section 6 develops the conceptual framework. Section 7 discusses implications and limitations, and Section 8 concludes.</w:t>
      </w:r>
    </w:p>
    <w:p>
      <w:pPr>
        <w:jc w:val="both"/>
      </w:pPr>
      <w:r>
        <w:t>The contribution of the article is threefold. Theoretically, it reframes impermanence as an ontological condition of becoming rather than as a deficiency, and connects that reframing to the specific material conditions biodesign produces. Analytically, it offers six dimensions through which temporal intent can be specified rather than merely asserted. Normatively, it states boundary conditions — the contexts in which permanence remains the correct value — so that the argument functions as an expansion of design's temporal vocabulary rather than an inversion of its priorities.</w:t>
      </w:r>
    </w:p>
    <w:p>
      <w:pPr>
        <w:pStyle w:val="Heading1"/>
      </w:pPr>
      <w:r>
        <w:t>2. Research Design</w:t>
      </w:r>
    </w:p>
    <w:p>
      <w:pPr>
        <w:jc w:val="both"/>
      </w:pPr>
      <w:r>
        <w:t xml:space="preserve">This article is a conceptual contribution rather than an empirical study. Its purpose is to develop theory by bringing bodies of literature into relation, and its validity therefore rests on the transparency of its selection and synthesis rather than on data collection (Jaakkola, 2020; Snyder, 2019). Following Jaakkola's (2020) typology of conceptual articles, the study adopts a </w:t>
      </w:r>
      <w:r>
        <w:rPr>
          <w:b/>
        </w:rPr>
        <w:t>theory synthesis</w:t>
      </w:r>
      <w:r>
        <w:t xml:space="preserve"> design: it seeks to enhance understanding of a phenomenon — design temporality — by integrating perspectives from domains that have not previously been read together, and by proposing an organising framework that makes their relation explicit. This design was chosen over theory adaptation or typology development because the argument's core move is integrative: neither design theory nor biodesign research alone contains the resources to reframe permanence, but their conjunction does.</w:t>
      </w:r>
    </w:p>
    <w:p>
      <w:pPr>
        <w:jc w:val="both"/>
      </w:pPr>
      <w:r>
        <w:t xml:space="preserve">The literature was assembled as an </w:t>
      </w:r>
      <w:r>
        <w:rPr>
          <w:b/>
        </w:rPr>
        <w:t>integrative review</w:t>
      </w:r>
      <w:r>
        <w:t xml:space="preserve"> in Snyder's (2019) sense — a non-systematic but purposive review appropriate when the aim is to synthesise and critique in order to generate new conceptual framing rather than to establish effect sizes or aggregate findings. Four corpora were identified:</w:t>
      </w:r>
    </w:p>
    <w:p>
      <w:pPr>
        <w:pStyle w:val="ListNumber"/>
        <w:spacing w:line="360" w:lineRule="auto"/>
      </w:pPr>
      <w:r>
        <w:rPr>
          <w:b/>
        </w:rPr>
        <w:t>Design history and sustainable design theory</w:t>
      </w:r>
      <w:r>
        <w:t>, addressing the historical construction of durability as a value and its treatment within environmental design discourse (Forty, 1986; Papanek, 1971; Fry, 2009; Cooper, 2010; Chapman, 2015; McDonough &amp; Braungart, 2002; Bocken et al., 2016).</w:t>
      </w:r>
    </w:p>
    <w:p>
      <w:pPr>
        <w:pStyle w:val="ListNumber"/>
        <w:spacing w:line="360" w:lineRule="auto"/>
      </w:pPr>
      <w:r>
        <w:rPr>
          <w:b/>
        </w:rPr>
        <w:t>Temporal design research</w:t>
      </w:r>
      <w:r>
        <w:t>, comprising work in design studies, architecture and human–computer interaction that has explicitly theorised time (Lynch, 1972; Mostafavi &amp; Leatherbarrow, 1993; Brand, 1994; Hallnäs &amp; Redström, 2001; Pschetz &amp; Bastian, 2018; Pschetz et al., 2024).</w:t>
      </w:r>
    </w:p>
    <w:p>
      <w:pPr>
        <w:pStyle w:val="ListNumber"/>
        <w:spacing w:line="360" w:lineRule="auto"/>
      </w:pPr>
      <w:r>
        <w:rPr>
          <w:b/>
        </w:rPr>
        <w:t>Biodesign and living-materials research</w:t>
      </w:r>
      <w:r>
        <w:t>, including definitional, methodological and empirical work on designing with organisms (Myers, 2018; Collet, 2013, 2021; Camere &amp; Karana, 2018; Karana et al., 2015, 2018, 2020; Ertürkan et al., 2022; Cruz &amp; Beckett, 2016; Jones et al., 2020; Rognoli et al., 2015; Ginsberg &amp; Chieza, 2018).</w:t>
      </w:r>
    </w:p>
    <w:p>
      <w:pPr>
        <w:pStyle w:val="ListNumber"/>
        <w:spacing w:line="360" w:lineRule="auto"/>
      </w:pPr>
      <w:r>
        <w:rPr>
          <w:b/>
        </w:rPr>
        <w:t>Process philosophy, new materialism and more-than-human theory</w:t>
      </w:r>
      <w:r>
        <w:t>, providing the ontological vocabulary through which impermanence can be reconstructed (Bergson, 1907/1998; Whitehead, 1929/1978; Heidegger, 1954/1977; Latour, 1993; Ingold, 2007, 2013; Bennett, 2010; Barad, 2007; Haraway, 2016; Puig de la Bellacasa, 2017; Escobar, 2018; Wakkary, 2021; Giaccardi &amp; Redström, 2020; Luck, 2025).</w:t>
      </w:r>
    </w:p>
    <w:p>
      <w:pPr>
        <w:jc w:val="both"/>
      </w:pPr>
      <w:r>
        <w:t xml:space="preserve">Sources were selected on three criteria: conceptual centrality to the permanence–temporality problem; demonstrable influence within their own field, so that the synthesis engages positions that are actually operative in design discourse; and, for the biodesign corpus, sufficient specificity about material process to support claims about temporality rather than general advocacy for bio-based materials. Searches were conducted in Scopus, Web of Science, the ACM Digital Library, the Design Research Society Digital Library and Google Scholar using combinations of the terms </w:t>
      </w:r>
      <w:r>
        <w:rPr>
          <w:i/>
        </w:rPr>
        <w:t>biodesign</w:t>
      </w:r>
      <w:r>
        <w:t xml:space="preserve">, </w:t>
      </w:r>
      <w:r>
        <w:rPr>
          <w:i/>
        </w:rPr>
        <w:t>living materials</w:t>
      </w:r>
      <w:r>
        <w:t xml:space="preserve">, </w:t>
      </w:r>
      <w:r>
        <w:rPr>
          <w:i/>
        </w:rPr>
        <w:t>material experience</w:t>
      </w:r>
      <w:r>
        <w:t xml:space="preserve">, </w:t>
      </w:r>
      <w:r>
        <w:rPr>
          <w:i/>
        </w:rPr>
        <w:t>temporality</w:t>
      </w:r>
      <w:r>
        <w:t xml:space="preserve">, </w:t>
      </w:r>
      <w:r>
        <w:rPr>
          <w:i/>
        </w:rPr>
        <w:t>impermanence</w:t>
      </w:r>
      <w:r>
        <w:t xml:space="preserve">, </w:t>
      </w:r>
      <w:r>
        <w:rPr>
          <w:i/>
        </w:rPr>
        <w:t>durability</w:t>
      </w:r>
      <w:r>
        <w:t xml:space="preserve">, </w:t>
      </w:r>
      <w:r>
        <w:rPr>
          <w:i/>
        </w:rPr>
        <w:t>decay</w:t>
      </w:r>
      <w:r>
        <w:t xml:space="preserve">, </w:t>
      </w:r>
      <w:r>
        <w:rPr>
          <w:i/>
        </w:rPr>
        <w:t>material agency</w:t>
      </w:r>
      <w:r>
        <w:t xml:space="preserve"> and </w:t>
      </w:r>
      <w:r>
        <w:rPr>
          <w:i/>
        </w:rPr>
        <w:t>more-than-human design</w:t>
      </w:r>
      <w:r>
        <w:t>, and were extended through backward and forward citation tracking from the anchor texts in each corpus.</w:t>
      </w:r>
    </w:p>
    <w:p>
      <w:pPr>
        <w:jc w:val="both"/>
      </w:pPr>
      <w:r>
        <w:t xml:space="preserve">Analysis proceeded in three passes. The first pass reconstructed the permanence paradigm as a historically situated value system and identified the arguments through which it has been defended and contested. The second pass read the biodesign corpus specifically for temporal claims — where authors describe materials as growing, adapting, senescing, decomposing or requiring care — and coded these into recurring temporal conditions. The third pass placed those conditions in dialogue with the philosophical corpus in order to determine whether they could be articulated as design </w:t>
      </w:r>
      <w:r>
        <w:rPr>
          <w:i/>
        </w:rPr>
        <w:t>values</w:t>
      </w:r>
      <w:r>
        <w:t xml:space="preserve"> rather than merely as material </w:t>
      </w:r>
      <w:r>
        <w:rPr>
          <w:i/>
        </w:rPr>
        <w:t>behaviours</w:t>
      </w:r>
      <w:r>
        <w:t>. The framework presented in Section 6 is the output of the third pass.</w:t>
      </w:r>
    </w:p>
    <w:p>
      <w:pPr>
        <w:jc w:val="both"/>
      </w:pPr>
      <w:r>
        <w:t>Two limitations follow from this design and are stated here rather than deferred. First, a conceptual synthesis cannot establish that the proposed framework improves design outcomes; it can only establish that the framework is theoretically coherent and analytically distinguishable from existing ones. Empirical validation is a separate task, outlined in Section 7.4. Second, the corpus is predominantly Anglophone and European, and the design-historical claim about permanence is therefore strongest for industrial-modern Western design culture. Section 3.6 addresses this limitation directly by examining traditions in which impermanence has long carried positive aesthetic and ethical value, but a genuinely comparative account would require a different study.</w:t>
      </w:r>
    </w:p>
    <w:p>
      <w:pPr>
        <w:pStyle w:val="Heading1"/>
      </w:pPr>
      <w:r>
        <w:t>3. The Permanence Paradigm in Design</w:t>
      </w:r>
    </w:p>
    <w:p>
      <w:pPr>
        <w:pStyle w:val="Heading2"/>
      </w:pPr>
      <w:r>
        <w:t>3.1 Modernity, Ordering and the Desire for Stability</w:t>
      </w:r>
    </w:p>
    <w:p>
      <w:pPr>
        <w:jc w:val="both"/>
      </w:pPr>
      <w:r>
        <w:t>The predominance of permanence as a design value is neither natural nor universal. It is historically related to cultural and technological conditions that privileged stability, predictability, order and control (Giddens, 1990; Bauman, 2000). Within such a framework, uncertainty is positioned as a condition to be reduced, and stability as a desirable outcome. Design consequently becomes more than the production of objects: it becomes a material practice through which expectations of continuity and order are made tangible.</w:t>
      </w:r>
    </w:p>
    <w:p>
      <w:pPr>
        <w:jc w:val="both"/>
      </w:pPr>
      <w:r>
        <w:t xml:space="preserve">Heidegger's (1954/1977) critique of modern technology provides a philosophical perspective on this relationship. His concept of </w:t>
      </w:r>
      <w:r>
        <w:rPr>
          <w:i/>
        </w:rPr>
        <w:t>Gestell</w:t>
      </w:r>
      <w:r>
        <w:t xml:space="preserve"> — enframing — describes a mode of revealing through which entities are encountered primarily in terms of availability and utility, as </w:t>
      </w:r>
      <w:r>
        <w:rPr>
          <w:i/>
        </w:rPr>
        <w:t>Bestand</w:t>
      </w:r>
      <w:r>
        <w:t xml:space="preserve"> or standing-reserve. Nature is thereby approached as something that can be ordered, extracted, stored and held ready for use. Heidegger does not formulate a theory of design permanence, but his analysis clarifies the ontological background against which stability and control become self-evidently desirable conditions for technological practice: what is held in reserve must, by definition, remain what it is until called upon.</w:t>
      </w:r>
    </w:p>
    <w:p>
      <w:pPr>
        <w:jc w:val="both"/>
      </w:pPr>
      <w:r>
        <w:t>Latour's (1993) account of the modern constitution supplies a complementary reading. The purification of a domain of "nature" from a domain of "society" allows material entities to be treated as inert objects available for social projects, while the hybrids that proliferate in practice remain unacknowledged. A material that changes on its own account — that grows, colonises, ferments or decomposes — is precisely such a hybrid, and the permanence paradigm can be read in part as a strategy for keeping hybridity out of view.</w:t>
      </w:r>
    </w:p>
    <w:p>
      <w:pPr>
        <w:pStyle w:val="Heading2"/>
      </w:pPr>
      <w:r>
        <w:t>3.2 Industrialisation and the Codification of Durability</w:t>
      </w:r>
    </w:p>
    <w:p>
      <w:pPr>
        <w:jc w:val="both"/>
      </w:pPr>
      <w:r>
        <w:t>The industrialisation of production reinforced these conditions materially and institutionally. Standardised manufacturing required products to maintain consistent characteristics across repeated production runs and extended periods of use. Tolerances, specifications, warranties and testing regimes translated an ontological preference for stability into contractual and metrological form. Design became increasingly associated with reliability, repeatability and durability, and these criteria acquired the appearance of technical neutrality.</w:t>
      </w:r>
    </w:p>
    <w:p>
      <w:pPr>
        <w:jc w:val="both"/>
      </w:pPr>
      <w:r>
        <w:t xml:space="preserve">Forty (1986) demonstrates that objects are not neutral technical entities but material expressions of social values, and that the preference for enduring objects participated in the cultural construction of durability as a sign of quality, progress and reliability. The point is important for the present argument: durability is not simply measured, it is </w:t>
      </w:r>
      <w:r>
        <w:rPr>
          <w:i/>
        </w:rPr>
        <w:t>signified</w:t>
      </w:r>
      <w:r>
        <w:t>. Weight, solidity, resistance to marking and the visual language of engineering permanence communicate value independently of any measured lifespan. This is why the critique of permanence cannot be settled by lifecycle data alone; it involves a semiotic and cultural formation as well as a technical one.</w:t>
      </w:r>
    </w:p>
    <w:p>
      <w:pPr>
        <w:pStyle w:val="Heading2"/>
      </w:pPr>
      <w:r>
        <w:t>3.3 Preservation and the Management of Change</w:t>
      </w:r>
    </w:p>
    <w:p>
      <w:pPr>
        <w:jc w:val="both"/>
      </w:pPr>
      <w:r>
        <w:t>The association between design and permanence is also connected to the aspiration to reduce uncertainty in use. Designed objects, systems and environments are commonly expected to perform according to predetermined specifications. Variation is consequently interpreted as inefficiency, and material change is treated as a problem requiring maintenance or correction. Durability, reliability and standardisation therefore operate not only as technical criteria but as mechanisms for stabilising material conditions (Forty, 1986).</w:t>
      </w:r>
    </w:p>
    <w:p>
      <w:pPr>
        <w:jc w:val="both"/>
      </w:pPr>
      <w:r>
        <w:t>This logic is especially visible in the treatment of processes such as weathering, corrosion, patination, decomposition and biological colonisation. Where the intended identity of an object depends on maintaining a predefined state, these processes register as signs that the object is departing from its designed condition. Preservation strategies attempt to delay or prevent transformation through coatings, biocides, maintenance regimes, protective technologies and material selection. The underlying assumption is that successful design preserves the object's intended identity for as long as possible.</w:t>
      </w:r>
    </w:p>
    <w:p>
      <w:pPr>
        <w:jc w:val="both"/>
      </w:pPr>
      <w:r>
        <w:t>Architecture has produced the most sustained critique of this assumption. Mostafavi and Leatherbarrow (1993) argue that weathering is not the erosion of architectural meaning but a continuing contribution to it: because natural forces continually refinish the building, the "final" state of a construction is necessarily indefinite. Their argument dissolves the moment of completion that the permanence paradigm requires. Brand (1994) makes a parallel argument at the level of use, showing that buildings which accommodate adaptation across differently paced layers — site, structure, skin, services, space plan and stuff — perform better over decades than those designed to be finished. Lynch (1972) had earlier argued that environments are temporal collages of superimposed pasts, presents and futures, and that the human sense of time should inform how environments are changed, conserved or destroyed.</w:t>
      </w:r>
    </w:p>
    <w:p>
      <w:pPr>
        <w:jc w:val="both"/>
      </w:pPr>
      <w:r>
        <w:t xml:space="preserve">Heritage studies extends the critique further. DeSilvey (2017) develops the notion of </w:t>
      </w:r>
      <w:r>
        <w:rPr>
          <w:i/>
        </w:rPr>
        <w:t>curated decay</w:t>
      </w:r>
      <w:r>
        <w:t>, proposing a post-preservation paradigm in which decay is not simply loss but a productive means of understanding cultural heritage. Her cases — from an abandoned Montana ranch to the former nuclear research site at Orford Ness — demonstrate that letting a structure change can generate meaning that arrested conservation forecloses. The significance for design theory is direct: if the discipline most institutionally committed to preservation can articulate a coherent case for curated transformation, the design assumption that change is failure loses its self-evidence.</w:t>
      </w:r>
    </w:p>
    <w:p>
      <w:pPr>
        <w:jc w:val="both"/>
      </w:pPr>
      <w:r>
        <w:t>Such a model also reinforces an object-centred understanding of design. The design process culminates in a finished product, while subsequent changes are classified as use, maintenance, repair, deterioration or disposal rather than as part of design itself. This distinction separates the moment of design from the material processes that continue after production — a separation that Ingold's (2007, 2013) process-oriented account of materials is explicitly formulated to dissolve.</w:t>
      </w:r>
    </w:p>
    <w:p>
      <w:pPr>
        <w:pStyle w:val="Heading2"/>
      </w:pPr>
      <w:r>
        <w:t>3.4 Durability in Sustainable Design Discourse</w:t>
      </w:r>
    </w:p>
    <w:p>
      <w:pPr>
        <w:jc w:val="both"/>
      </w:pPr>
      <w:r>
        <w:t xml:space="preserve">Durability has also been a significant component of environmental design discourse, and the argument for it is serious. Extending product life reduces replacement frequency and can therefore lower material and energy demand across a use period. Papanek (1971), despite his broader ecological and social critique of design, emphasised responsible production and longer-lasting solutions. Cooper's (2010) edited collection develops the case systematically across design, engineering, marketing, law and policy, positioning longer-lasting products as an alternative to the throwaway society. Chapman (2015) approaches the same problem psychologically, arguing that products are discarded not when they fail technically but when the user's emotional relationship to them fails, and that </w:t>
      </w:r>
      <w:r>
        <w:rPr>
          <w:i/>
        </w:rPr>
        <w:t>emotionally durable design</w:t>
      </w:r>
      <w:r>
        <w:t xml:space="preserve"> can extend life by deepening attachment.</w:t>
      </w:r>
    </w:p>
    <w:p>
      <w:pPr>
        <w:jc w:val="both"/>
      </w:pPr>
      <w:r>
        <w:t>These positions are not naïve, and the argument advanced here does not dispute them. Their limitation is more specific: each treats duration as the primary variable and leaves the material's trajectory after use comparatively under-theorised. Chapman's account, in particular, demonstrates how much of durability is relational rather than material — which is itself an argument that duration alone is an insufficient criterion.</w:t>
      </w:r>
    </w:p>
    <w:p>
      <w:pPr>
        <w:jc w:val="both"/>
      </w:pPr>
      <w:r>
        <w:t xml:space="preserve">Cradle-to-cradle thinking (McDonough &amp; Braungart, 2002) marks the decisive conceptual shift, replacing duration with circulation as the organising question. Its distinction between biological and technical nutrients proposes that materials should cycle perpetually through one system or the other, producing nutrients for a subsequent cycle rather than waste. Circular economy frameworks have since operationalised this logic into design and business model strategies (Bocken et al., 2016). The temporal implication is significant and often underplayed: in a cycling model, the relevant design question is not how long a form persists but </w:t>
      </w:r>
      <w:r>
        <w:rPr>
          <w:i/>
        </w:rPr>
        <w:t>at what point, by what mechanism and into what system</w:t>
      </w:r>
      <w:r>
        <w:t xml:space="preserve"> matter is released. Duration becomes one parameter among several rather than the criterion itself.</w:t>
      </w:r>
    </w:p>
    <w:p>
      <w:pPr>
        <w:pStyle w:val="Heading2"/>
      </w:pPr>
      <w:r>
        <w:t>3.5 Ecological Limits of Persistence</w:t>
      </w:r>
    </w:p>
    <w:p>
      <w:pPr>
        <w:jc w:val="both"/>
      </w:pPr>
      <w:r>
        <w:t>The ecological crisis exposes a central tension within permanence-oriented design. Persistence can be beneficial where it reduces repeated production; it becomes problematic where materials remain in ecological systems long after their functional usefulness has ended. The environmental significance of a material cannot therefore be determined by lifespan alone. It must be considered in relation to sourcing, production, use, transformation, disposal and potential reintegration into material cycles (Fry, 2009; Escobar, 2018; Bocken et al., 2016).</w:t>
      </w:r>
    </w:p>
    <w:p>
      <w:pPr>
        <w:jc w:val="both"/>
      </w:pPr>
      <w:r>
        <w:t xml:space="preserve">Adam's (1998) analysis of the </w:t>
      </w:r>
      <w:r>
        <w:rPr>
          <w:i/>
        </w:rPr>
        <w:t>timescapes</w:t>
      </w:r>
      <w:r>
        <w:t xml:space="preserve"> of modernity sharpens this point. Environmental hazards, she argues, are inseparable from the temporal organisation of industrial life: the speed of production and transport, the rhythms of markets, and above all the mismatch between the timescales of industrial decision-making and those of ecological consequence. Hazards that are invisible in the present unfold across latencies that exceed institutional attention spans. Morton's (2013) concept of </w:t>
      </w:r>
      <w:r>
        <w:rPr>
          <w:i/>
        </w:rPr>
        <w:t>hyperobjects</w:t>
      </w:r>
      <w:r>
        <w:t xml:space="preserve"> names the resulting condition for materials whose temporal footprint — radioactive waste, persistent polymers — is so vastly distributed in time that they resist ordinary perception. Both accounts indicate that permanence, when it is a property of matter rather than of value, may be the ecological problem rather than its solution.</w:t>
      </w:r>
    </w:p>
    <w:p>
      <w:pPr>
        <w:jc w:val="both"/>
      </w:pPr>
      <w:r>
        <w:t>Fry (2009) argues that ecological problems must be considered in relation to the consequences of design decisions for future conditions: design does not simply solve present problems but participates in shaping future possibility, and can foreclose it. A permanence-oriented approach becomes problematic where it extends material persistence without asking whether that persistence is compatible with ecological regeneration.</w:t>
      </w:r>
    </w:p>
    <w:p>
      <w:pPr>
        <w:jc w:val="both"/>
      </w:pPr>
      <w:r>
        <w:t>The limitation of permanence is therefore both ecological and ontological. Ecologically, persistence does not necessarily correspond to regeneration or compatibility with material cycles. Ontologically, permanence presumes that stable identity is the preferred condition of entities that may instead be continuously changing. Latour (1993) critiques the modern separation of nature and society; Haraway (2016) emphasises interdependence and the abandonment of mastery narratives; Escobar (2018) proposes relational, pluriversal approaches that challenge modernist assumptions of separation and control. Together these positions establish design as embedded within dynamic relations rather than as an activity performed upon a passive environment.</w:t>
      </w:r>
    </w:p>
    <w:p>
      <w:pPr>
        <w:pStyle w:val="Heading2"/>
      </w:pPr>
      <w:r>
        <w:t>3.6 The Provincialism of Permanence</w:t>
      </w:r>
    </w:p>
    <w:p>
      <w:pPr>
        <w:jc w:val="both"/>
      </w:pPr>
      <w:r>
        <w:t>The historical claim advanced in this section requires an important qualification, and stating it strengthens rather than weakens the argument. Permanence has been dominant in industrial-modern design culture; it has not been universal, and counter-traditions have always accompanied it.</w:t>
      </w:r>
    </w:p>
    <w:p>
      <w:pPr>
        <w:jc w:val="both"/>
      </w:pPr>
      <w:r>
        <w:t xml:space="preserve">The Japanese aesthetic of </w:t>
      </w:r>
      <w:r>
        <w:rPr>
          <w:i/>
        </w:rPr>
        <w:t>wabi-sabi</w:t>
      </w:r>
      <w:r>
        <w:t xml:space="preserve"> explicitly locates beauty in the imperfect, impermanent and incomplete (Koren, 1994). Its associated practices — the valuing of patina, the visible repair of </w:t>
      </w:r>
      <w:r>
        <w:rPr>
          <w:i/>
        </w:rPr>
        <w:t>kintsugi</w:t>
      </w:r>
      <w:r>
        <w:t>, the periodic ritual reconstruction of shrine architecture — treat material change as a carrier of meaning rather than a loss of it. European traditions are similarly internally divided: the eighteenth- and nineteenth-century aesthetics of the ruin, and the long argument between Ruskinian conservation and Viollet-le-Duc's restorative approach, show that the question of whether to arrest or accept change has been contested within Western practice itself. Vernacular building cultures worldwide have used materials — earth, thatch, bamboo, timber — whose maintenance cycles assume replacement rather than resistance.</w:t>
      </w:r>
    </w:p>
    <w:p>
      <w:pPr>
        <w:jc w:val="both"/>
      </w:pPr>
      <w:r>
        <w:t xml:space="preserve">Recognising this pluralism does two things for the argument. It prevents the claim that design has </w:t>
      </w:r>
      <w:r>
        <w:rPr>
          <w:i/>
        </w:rPr>
        <w:t>always</w:t>
      </w:r>
      <w:r>
        <w:t xml:space="preserve"> privileged permanence, which would be historically false and would make the argument easier to dismiss. And it repositions the contribution more precisely: the task is not to invent a value that design has never held, but to bring an existing but marginalised temporal sensibility into the centre of contemporary design theory, at a moment when biodesign supplies it with new material and empirical grounding.</w:t>
      </w:r>
    </w:p>
    <w:p>
      <w:pPr>
        <w:pStyle w:val="Heading1"/>
      </w:pPr>
      <w:r>
        <w:t>4. Temporality in Design Research: A Fragmented Conversation</w:t>
      </w:r>
    </w:p>
    <w:p>
      <w:pPr>
        <w:jc w:val="both"/>
      </w:pPr>
      <w:r>
        <w:t>Before turning to biodesign, it is necessary to establish what design research has already said about time. The claim that design neglects temporality would be inaccurate; the more defensible claim is that design's temporal scholarship has developed in separate registers that have not been brought together, and that one register in particular remains underdeveloped.</w:t>
      </w:r>
    </w:p>
    <w:p>
      <w:pPr>
        <w:pStyle w:val="Heading2"/>
      </w:pPr>
      <w:r>
        <w:t>4.1 Time as an Environmental and Architectural Condition</w:t>
      </w:r>
    </w:p>
    <w:p>
      <w:pPr>
        <w:jc w:val="both"/>
      </w:pPr>
      <w:r>
        <w:t>The earliest sustained treatments come from architecture and urban design. Lynch (1972) argued that environments should be understood as temporal collages and that design decisions are effectively decisions about which pasts and futures a place will be able to hold. Mostafavi and Leatherbarrow (1993) established weathering as constitutive of architectural meaning rather than as its degradation. Brand (1994) demonstrated empirically that adaptability across differently paced layers outperforms designed finality. Common to all three is a shift of the unit of analysis from the object to the object-in-time, and a suspicion of the completed state as the moment at which design is evaluated.</w:t>
      </w:r>
    </w:p>
    <w:p>
      <w:pPr>
        <w:pStyle w:val="Heading2"/>
      </w:pPr>
      <w:r>
        <w:t>4.2 Time as an Experiential and Social Condition</w:t>
      </w:r>
    </w:p>
    <w:p>
      <w:pPr>
        <w:jc w:val="both"/>
      </w:pPr>
      <w:r>
        <w:t xml:space="preserve">A second register emerged in interaction design. Hallnäs and Redström (2001) proposed </w:t>
      </w:r>
      <w:r>
        <w:rPr>
          <w:i/>
        </w:rPr>
        <w:t>slow technology</w:t>
      </w:r>
      <w:r>
        <w:t xml:space="preserve"> as a design philosophy for artefacts that are present in everyday environments over long periods, arguing that interaction design should expand beyond efficiency toward reflection and temporal presence. This programme has since generated a substantial body of slow interaction design research exploring how artefacts can support long-term relationships rather than immediate task completion.</w:t>
      </w:r>
    </w:p>
    <w:p>
      <w:pPr>
        <w:jc w:val="both"/>
      </w:pPr>
      <w:r>
        <w:t xml:space="preserve">Pschetz and Bastian (2018) offer the most theoretically developed intervention. They argue that design's dominant narratives describe time as uniform, external to practice and continuously accelerating, and that these narratives constrain design possibility by reducing temporality to dichotomies of fast and slow. Their </w:t>
      </w:r>
      <w:r>
        <w:rPr>
          <w:i/>
        </w:rPr>
        <w:t>Temporal Design</w:t>
      </w:r>
      <w:r>
        <w:t xml:space="preserve"> framework instead treats time as social coordination, directing designers to reveal the actors, practices and forces that sustain the temporal organisation of particular groups. The framework's central methodological move — surfacing temporal complexity so that it can be discussed and contested — is directly applicable to the present argument.</w:t>
      </w:r>
    </w:p>
    <w:p>
      <w:pPr>
        <w:pStyle w:val="Heading2"/>
      </w:pPr>
      <w:r>
        <w:t>4.3 Time as a More-than-Human Condition</w:t>
      </w:r>
    </w:p>
    <w:p>
      <w:pPr>
        <w:jc w:val="both"/>
      </w:pPr>
      <w:r>
        <w:t xml:space="preserve">A third register, more recent, extends temporal design beyond the human. Giaccardi and Redström (2020) argue that human-centred design is reaching the limits of what it can adequately give form to, and propose more-than-human design as a necessary reorientation. Wakkary (2021) develops </w:t>
      </w:r>
      <w:r>
        <w:rPr>
          <w:i/>
        </w:rPr>
        <w:t>designing-with</w:t>
      </w:r>
      <w:r>
        <w:t xml:space="preserve"> as a practice conducted in a world where humans share the centre with nonhumans. Pschetz et al. (2024) bring these commitments back to temporality explicitly, proposing </w:t>
      </w:r>
      <w:r>
        <w:rPr>
          <w:i/>
        </w:rPr>
        <w:t>designing temporal ecologies</w:t>
      </w:r>
      <w:r>
        <w:t>: an agenda that draws attention to the interconnection of human and other-than-human times, exposes temporal power asymmetries across ecologies, and calls for interventions that foster what they term temporal reattunement. Puig de la Bellacasa's (2017) analysis of care as an obligation in more-than-human worlds — and specifically her attention to the temporalities of care, which resist the acceleration of productivist time — provides the ethical vocabulary this register requires.</w:t>
      </w:r>
    </w:p>
    <w:p>
      <w:pPr>
        <w:pStyle w:val="Heading2"/>
      </w:pPr>
      <w:r>
        <w:t>4.4 The Gap: The Material Register</w:t>
      </w:r>
    </w:p>
    <w:p>
      <w:pPr>
        <w:jc w:val="both"/>
      </w:pPr>
      <w:r>
        <w:t xml:space="preserve">Reading these three registers together clarifies both the richness of design's temporal scholarship and its principal omission. Time has been well theorised as an environmental condition, as an experiential and social-coordinative condition, and increasingly as a more-than-human ethical condition. What remains comparatively underdeveloped is time as a </w:t>
      </w:r>
      <w:r>
        <w:rPr>
          <w:i/>
        </w:rPr>
        <w:t>material</w:t>
      </w:r>
      <w:r>
        <w:t xml:space="preserve"> condition — not the time in which a material is used or perceived, but the time that a material </w:t>
      </w:r>
      <w:r>
        <w:rPr>
          <w:i/>
        </w:rPr>
        <w:t>is</w:t>
      </w:r>
      <w:r>
        <w:t>.</w:t>
      </w:r>
    </w:p>
    <w:p>
      <w:pPr>
        <w:jc w:val="both"/>
      </w:pPr>
      <w:r>
        <w:t xml:space="preserve">The distinction matters. Slow technology asks how an artefact can occupy a user's life differently; it does not require the artefact's substance to change. Temporal Design asks whose rhythms a system coordinates; it does not require the system's matter to have rhythms of its own. Weathering comes closest, but treats material change primarily as something the environment does </w:t>
      </w:r>
      <w:r>
        <w:rPr>
          <w:i/>
        </w:rPr>
        <w:t>to</w:t>
      </w:r>
      <w:r>
        <w:t xml:space="preserve"> a stable substance. In each case, the material substrate remains, at least implicitly, the stable term against which temporal variation is measured.</w:t>
      </w:r>
    </w:p>
    <w:p>
      <w:pPr>
        <w:jc w:val="both"/>
      </w:pPr>
      <w:r>
        <w:t>This is precisely the assumption that biodesign cannot sustain. When the material is alive, or was recently alive, or remains metabolically active, its temporality is not a relation imposed upon it but a condition of its existence. The following section examines that condition and its consequences for design theory.</w:t>
      </w:r>
    </w:p>
    <w:p>
      <w:pPr>
        <w:pStyle w:val="Heading1"/>
      </w:pPr>
      <w:r>
        <w:t>5. Biodesign as a Temporal Practice</w:t>
      </w:r>
    </w:p>
    <w:p>
      <w:pPr>
        <w:pStyle w:val="Heading2"/>
      </w:pPr>
      <w:r>
        <w:t>5.1 Defining Biodesign</w:t>
      </w:r>
    </w:p>
    <w:p>
      <w:pPr>
        <w:jc w:val="both"/>
      </w:pPr>
      <w:r>
        <w:t xml:space="preserve">Biodesign encompasses practices in which biological knowledge, organisms and processes become integral to design rather than merely referenced by it. Myers (2018) documents the emergence of practices that integrate biological processes into design and architecture across some seventy projects spanning industrial process, material engineering, architecture and art. Collet's (2013) </w:t>
      </w:r>
      <w:r>
        <w:rPr>
          <w:i/>
        </w:rPr>
        <w:t>Alive: New Design Frontiers</w:t>
      </w:r>
      <w:r>
        <w:t xml:space="preserve"> — the first international exhibition to examine biodesign through the lens of sustainability — proposed a framework distinguishing three pathways: </w:t>
      </w:r>
      <w:r>
        <w:rPr>
          <w:i/>
        </w:rPr>
        <w:t>nature as a model</w:t>
      </w:r>
      <w:r>
        <w:t xml:space="preserve">, </w:t>
      </w:r>
      <w:r>
        <w:rPr>
          <w:i/>
        </w:rPr>
        <w:t>nature as a co-worker</w:t>
      </w:r>
      <w:r>
        <w:t xml:space="preserve"> and </w:t>
      </w:r>
      <w:r>
        <w:rPr>
          <w:i/>
        </w:rPr>
        <w:t>nature as a hackable system</w:t>
      </w:r>
      <w:r>
        <w:t>. The distinction is analytically useful here, because only the second and third involve the designer in an ongoing temporal relation with a living process; biomimetic abstraction of natural form leaves the permanence paradigm entirely intact.</w:t>
      </w:r>
    </w:p>
    <w:p>
      <w:pPr>
        <w:jc w:val="both"/>
      </w:pPr>
      <w:r>
        <w:t xml:space="preserve">Camere and Karana (2018) provide the field's most systematic account of what they term </w:t>
      </w:r>
      <w:r>
        <w:rPr>
          <w:i/>
        </w:rPr>
        <w:t>growing design</w:t>
      </w:r>
      <w:r>
        <w:t>: the emerging practice of fabricating materials from living organisms, in which microorganisms, fungi, algae and plants participate in the development of materials and artefacts. Rognoli et al. (2015) situate this within the broader phenomenon of DIY materials, in which designers create materials through self-devised techniques rather than specifying industrially standardised ones, and Karana et al. (2015) supply the Material Driven Design method through which such materials can be developed toward meaningful experiential qualities rather than technical properties alone.</w:t>
      </w:r>
    </w:p>
    <w:p>
      <w:pPr>
        <w:pStyle w:val="Heading2"/>
      </w:pPr>
      <w:r>
        <w:t>5.2 Growing Design: Formation as Design Time</w:t>
      </w:r>
    </w:p>
    <w:p>
      <w:pPr>
        <w:jc w:val="both"/>
      </w:pPr>
      <w:r>
        <w:t>An important consequence of this approach is that material formation becomes part of the design process rather than a preparatory stage preceding it. Karana et al. (2018) document this shift in detail through a case study of designing with mycelium-based materials, tracing how a designer's engagement with fungal growth reshapes what a "material property" even means when the material is produced by an organism whose behaviour must be accommodated rather than specified. Jones et al. (2020) provide the technical counterpart in their critical review of engineered mycelium composites, describing fungal growth as a low-energy biofabrication method that upcycles agricultural by-products into alternatives to energy-intensive synthetic construction materials, with properties customisable through composition and process.</w:t>
      </w:r>
    </w:p>
    <w:p>
      <w:pPr>
        <w:jc w:val="both"/>
      </w:pPr>
      <w:r>
        <w:t xml:space="preserve">Three temporal consequences follow. First, the </w:t>
      </w:r>
      <w:r>
        <w:rPr>
          <w:i/>
        </w:rPr>
        <w:t>duration of formation</w:t>
      </w:r>
      <w:r>
        <w:t xml:space="preserve"> becomes a design variable: growth takes the time it takes, and this cannot be compressed arbitrarily without changing the material. Second, </w:t>
      </w:r>
      <w:r>
        <w:rPr>
          <w:i/>
        </w:rPr>
        <w:t>variance</w:t>
      </w:r>
      <w:r>
        <w:t xml:space="preserve"> becomes constitutive rather than defective: two batches grown under nominally identical conditions differ, which inverts the industrial logic of repeatability described in Section 3.2. Third, the resulting object is connected to a process that its final state does not fully describe — the artefact carries its formation history in its structure.</w:t>
      </w:r>
    </w:p>
    <w:p>
      <w:pPr>
        <w:jc w:val="both"/>
      </w:pPr>
      <w:r>
        <w:t xml:space="preserve">Cruz and Beckett's (2016) work on </w:t>
      </w:r>
      <w:r>
        <w:rPr>
          <w:i/>
        </w:rPr>
        <w:t>bioreceptive design</w:t>
      </w:r>
      <w:r>
        <w:t xml:space="preserve"> extends the argument to architecture from the opposite direction. Rather than growing a material and then arresting it, bioreceptive design engineers construction surfaces to </w:t>
      </w:r>
      <w:r>
        <w:rPr>
          <w:i/>
        </w:rPr>
        <w:t>invite</w:t>
      </w:r>
      <w:r>
        <w:t xml:space="preserve"> biological colonisation, controlling the growth patterns of organisms on the building envelope. Here the design object is explicitly incomplete at handover: its intended appearance and performance depend on a colonisation process that unfolds over subsequent seasons. Against the preservation logic of Section 3.3 — in which biocides and coatings exist precisely to prevent this — bioreceptive design is a direct inversion of the permanence paradigm at the level of specification.</w:t>
      </w:r>
    </w:p>
    <w:p>
      <w:pPr>
        <w:pStyle w:val="Heading2"/>
      </w:pPr>
      <w:r>
        <w:t>5.3 Living Artefacts and the Vocabulary of Livingness</w:t>
      </w:r>
    </w:p>
    <w:p>
      <w:pPr>
        <w:jc w:val="both"/>
      </w:pPr>
      <w:r>
        <w:t xml:space="preserve">Karana et al. (2020) extend the argument through the concept of </w:t>
      </w:r>
      <w:r>
        <w:rPr>
          <w:i/>
        </w:rPr>
        <w:t>living artefacts</w:t>
      </w:r>
      <w:r>
        <w:t xml:space="preserve">: artefacts in which organisms are kept alive in the design outcome to achieve functionalities, expressions and interactions unavailable to inert materials. Their framework identifies livingness as simultaneously biological, ecological and experiential, and considers artefacts whose characteristics may include sensing, growing, adapting and eventually dying. This is significant for the present argument because it locates temporal transformation </w:t>
      </w:r>
      <w:r>
        <w:rPr>
          <w:i/>
        </w:rPr>
        <w:t>within</w:t>
      </w:r>
      <w:r>
        <w:t xml:space="preserve"> the material experience of the artefact rather than treating time as a background variable against which the artefact is measured.</w:t>
      </w:r>
    </w:p>
    <w:p>
      <w:pPr>
        <w:jc w:val="both"/>
      </w:pPr>
      <w:r>
        <w:t xml:space="preserve">Ertürkan et al. (2022) provide empirical grounding. Through term-frequency analysis of the relevant literature and in-depth interviews with eight biodesigners, they develop a Living Materials Vocabulary of forty-five descriptive items clustered under five themes: origin, making, agency and autonomy, </w:t>
      </w:r>
      <w:r>
        <w:rPr>
          <w:b/>
        </w:rPr>
        <w:t>temporality</w:t>
      </w:r>
      <w:r>
        <w:t>, and impact. That temporality emerges inductively as one of five organising themes — from practitioners' own accounts rather than from a theoretical imposition — is direct evidence for the article's central claim. Designers working with living materials find that they cannot describe their materials without describing time.</w:t>
      </w:r>
    </w:p>
    <w:p>
      <w:pPr>
        <w:pStyle w:val="Heading2"/>
      </w:pPr>
      <w:r>
        <w:t>5.4 Material Agency and Distributed Authorship</w:t>
      </w:r>
    </w:p>
    <w:p>
      <w:pPr>
        <w:jc w:val="both"/>
      </w:pPr>
      <w:r>
        <w:t xml:space="preserve">Biodesign also challenges a purely instrumental understanding of materiality. New materialist perspectives have emphasised that matter should not be treated as passive substance subordinated to human intention. Bennett (2010) conceptualises matter as possessing </w:t>
      </w:r>
      <w:r>
        <w:rPr>
          <w:i/>
        </w:rPr>
        <w:t>thing-power</w:t>
      </w:r>
      <w:r>
        <w:t xml:space="preserve">, capacities that participate in assemblages and produce effects beyond deliberate human intention. Ingold (2007, 2013) approaches making as an ongoing correspondence with materials — a following of forces and flows — rather than the imposition of form upon inert matter, and criticises the very concept of "materiality" for abstracting away from the properties materials actually have. Barad's (2007) agential realism radicalises the position further: entities do not precede their relations but emerge through </w:t>
      </w:r>
      <w:r>
        <w:rPr>
          <w:i/>
        </w:rPr>
        <w:t>intra-action</w:t>
      </w:r>
      <w:r>
        <w:t>, so that the boundary between designer and material is itself an effect of the practice rather than its starting point.</w:t>
      </w:r>
    </w:p>
    <w:p>
      <w:pPr>
        <w:jc w:val="both"/>
      </w:pPr>
      <w:r>
        <w:t>This orientation has become increasingly consequential for design research. Luck (2025) characterises the new materialist turn in design research as a shift toward material agency, relationality, process and becoming-with, and toward an understanding of design as world-making rather than problem-solving. Such approaches do not eliminate human design intention; they complicate the assumption that outcomes are produced exclusively through human control.</w:t>
      </w:r>
    </w:p>
    <w:p>
      <w:pPr>
        <w:jc w:val="both"/>
      </w:pPr>
      <w:r>
        <w:t>Within biodesign this is particularly acute, because biological systems possess behaviours that are only partially predictable and only partially controllable. Designing with living organisms involves negotiation with growth conditions, environmental variables, contamination risk, metabolic rates and organism response (Camere &amp; Karana, 2018; Karana et al., 2018, 2020). Design becomes less a matter of fixing a final state and more a matter of establishing conditions under which a process may unfold. The authorship of the outcome is, in a non-metaphorical sense, distributed.</w:t>
      </w:r>
    </w:p>
    <w:p>
      <w:pPr>
        <w:pStyle w:val="Heading2"/>
      </w:pPr>
      <w:r>
        <w:t>5.5 Care, Maintenance and Cohabitation</w:t>
      </w:r>
    </w:p>
    <w:p>
      <w:pPr>
        <w:jc w:val="both"/>
      </w:pPr>
      <w:r>
        <w:t>A further consequence concerns the relationship established between the artefact and those who live with it. Because living artefacts remain metabolically active, they require ongoing conditions — humidity, temperature, light, nutrients, absence of competing organisms — to persist. Karana et al. (2020) accordingly foreground care, symbiosis, cohabitation and adaptation in their account of living artefacts.</w:t>
      </w:r>
    </w:p>
    <w:p>
      <w:pPr>
        <w:jc w:val="both"/>
      </w:pPr>
      <w:r>
        <w:t>This reframes maintenance in an important way. Under the permanence paradigm, maintenance is remedial: it counteracts a drift away from the designed state (Section 3.3). Under a living-materials paradigm, care is constitutive: it is a condition of the artefact's continued existence rather than a repair of its deviation. Puig de la Bellacasa (2017) argues that care in more-than-human worlds involves temporalities that resist the productivist compression of time, requiring attentiveness at the pace of the cared-for rather than the carer. Applied to design, this suggests that a temporality-oriented practice does not merely tolerate slower or less controllable processes but organises itself around them.</w:t>
      </w:r>
    </w:p>
    <w:p>
      <w:pPr>
        <w:pStyle w:val="Heading2"/>
      </w:pPr>
      <w:r>
        <w:t>5.6 From Product Lifespan to Material Lifecycle</w:t>
      </w:r>
    </w:p>
    <w:p>
      <w:pPr>
        <w:jc w:val="both"/>
      </w:pPr>
      <w:r>
        <w:t>The permanence paradigm evaluates materials through the duration of the finished product. Biodesign makes a different temporal scale visible: the lifecycle of matter. The relevant sequence may include cultivation or biological growth, harvesting, fabrication, use, transformation, senescence, decomposition and reintegration into a biological cycle. Material value can therefore be considered through the relationships between temporal stages rather than through duration alone — a position congruent with the biological-nutrient logic of cradle-to-cradle thinking (McDonough &amp; Braungart, 2002) and with circular design strategy (Bocken et al., 2016), but grounded in material process rather than in system modelling.</w:t>
      </w:r>
    </w:p>
    <w:p>
      <w:pPr>
        <w:jc w:val="both"/>
      </w:pPr>
      <w:r>
        <w:t>This distinction matters because a shorter product lifespan does not necessarily imply lower environmental value, just as a longer lifespan does not automatically imply higher value. The environmental implications of a material depend on the wider system within which its transformation occurs. A temporality-oriented perspective therefore requires attention to the pathways through which matter moves, and not only to the length of time for which a particular form is held stable.</w:t>
      </w:r>
    </w:p>
    <w:p>
      <w:pPr>
        <w:jc w:val="both"/>
      </w:pPr>
      <w:r>
        <w:t>Tsing's (2015) account of fungal ecologies in disturbed landscapes offers a useful conceptual figure here. Decomposition, in her analysis, is not the end of a process but the mechanism by which life continues in ruined conditions — a collaborative survival that operates through transformation rather than despite it. For design, the figure suggests that the terminus of a product's use phase can be specified as a transition rather than as a failure state.</w:t>
      </w:r>
    </w:p>
    <w:p>
      <w:pPr>
        <w:pStyle w:val="Heading2"/>
      </w:pPr>
      <w:r>
        <w:t>5.7 Critical Caveats: Biodesign Is Not Automatically Ecological</w:t>
      </w:r>
    </w:p>
    <w:p>
      <w:pPr>
        <w:jc w:val="both"/>
      </w:pPr>
      <w:r>
        <w:t>An argument that positions biodesign as a corrective to permanence must resist the assumption that biological origin guarantees ecological benefit. Three caveats are necessary.</w:t>
      </w:r>
    </w:p>
    <w:p>
      <w:pPr>
        <w:jc w:val="both"/>
      </w:pPr>
      <w:r>
        <w:t>First, biodegradability is not regeneration. Zhu and Wang (2020) document the gap between the claims made for biodegradable plastics and their behaviour under real disposal conditions: many require sustained industrial composting temperatures unavailable in the waste streams they actually enter, and degradation rates in ambient environments are frequently negligible over multi-year periods. A material's capacity to decompose under laboratory conditions establishes little about its ecological trajectory, and the label can function as greenwashing. A temporality-oriented design theory that ignored this would reproduce, in inverted form, exactly the error it diagnoses in the permanence paradigm: taking a single material property as a proxy for ecological value.</w:t>
      </w:r>
    </w:p>
    <w:p>
      <w:pPr>
        <w:jc w:val="both"/>
      </w:pPr>
      <w:r>
        <w:t xml:space="preserve">Second, biodesign carries political and economic entanglements that its environmental framing can obscure. Ginsberg and Chieza (2018), editing </w:t>
      </w:r>
      <w:r>
        <w:rPr>
          <w:i/>
        </w:rPr>
        <w:t>Other Biological Futures</w:t>
      </w:r>
      <w:r>
        <w:t>, explicitly unpack the narrative of biodesign as environmental saviour and situate it within economic, colonial and historical relations — questions of whose biological knowledge is drawn upon, whose land supplies feedstock, and whose futures the technology serves. Collet (2021) similarly notes that designing with living systems raises governance questions that design discourse is not yet well equipped to address.</w:t>
      </w:r>
    </w:p>
    <w:p>
      <w:pPr>
        <w:jc w:val="both"/>
      </w:pPr>
      <w:r>
        <w:t xml:space="preserve">Third, the production conditions of biofabricated materials are not automatically low-impact. Sterile facilities, controlled atmospheres, substrate transport and post-processing all carry burdens that growth itself does not eliminate (Jones et al., 2020). The claim advanced in this article is therefore deliberately restricted: biodesign is analytically valuable because it makes material temporality </w:t>
      </w:r>
      <w:r>
        <w:rPr>
          <w:i/>
        </w:rPr>
        <w:t>unavoidable</w:t>
      </w:r>
      <w:r>
        <w:t xml:space="preserve"> and thereby exposes an assumption in design theory. It is not offered as an ecological solution, and its conceptual contribution does not depend on its environmental performance.</w:t>
      </w:r>
    </w:p>
    <w:p>
      <w:pPr>
        <w:pStyle w:val="Heading2"/>
      </w:pPr>
      <w:r>
        <w:t>5.8 Biodesign as a Temporal Practice</w:t>
      </w:r>
    </w:p>
    <w:p>
      <w:pPr>
        <w:jc w:val="both"/>
      </w:pPr>
      <w:r>
        <w:t>Taken together, these characteristics support the interpretation of biodesign as a temporal practice in a strong sense. Biodesign does not simply introduce new biological sources into an otherwise conventional design process. It makes growth, transformation, adaptation, senescence, decay and regeneration into dimensions of material experience and design practice that cannot be bracketed (Karana et al., 2018, 2020; Ertürkan et al., 2022; Camere &amp; Karana, 2018).</w:t>
      </w:r>
    </w:p>
    <w:p>
      <w:pPr>
        <w:jc w:val="both"/>
      </w:pPr>
      <w:r>
        <w:t>This creates a conceptual bridge between contemporary biodesign and philosophical accounts of becoming. If materials are understood as processes rather than static entities, the permanence of a particular form appears as a temporary stabilisation rather than as the fundamental condition of existence. The following section develops this claim into a framework.</w:t>
      </w:r>
    </w:p>
    <w:p>
      <w:pPr>
        <w:pStyle w:val="Heading1"/>
      </w:pPr>
      <w:r>
        <w:t>6. Temporality as a Design Value</w:t>
      </w:r>
    </w:p>
    <w:p>
      <w:pPr>
        <w:pStyle w:val="Heading2"/>
      </w:pPr>
      <w:r>
        <w:t>6.1 Impermanence as an Ontological Condition of Becoming</w:t>
      </w:r>
    </w:p>
    <w:p>
      <w:pPr>
        <w:jc w:val="both"/>
      </w:pPr>
      <w:r>
        <w:t>Within dominant design discourse, impermanence is associated with instability, deterioration, fragility or failure, and design quality is evaluated according to an artefact's ability to maintain form, function and performance. Process-philosophical approaches challenge the assumption underlying this evaluation: that stability is the natural condition of material existence and change the exception requiring explanation.</w:t>
      </w:r>
    </w:p>
    <w:p>
      <w:pPr>
        <w:jc w:val="both"/>
      </w:pPr>
      <w:r>
        <w:t xml:space="preserve">Bergson's (1907/1998) concept of </w:t>
      </w:r>
      <w:r>
        <w:rPr>
          <w:i/>
        </w:rPr>
        <w:t>durée</w:t>
      </w:r>
      <w:r>
        <w:t xml:space="preserve"> provides the foundational statement. Reality, in his account, is continuous movement rather than a sequence of isolated states, and the analytical habit of decomposing movement into positions is a practical convenience that misdescribes what it analyses. Change is not something that happens to an entity; it is constitutive of the entity's existence. A stable state is therefore a temporary configuration within an ongoing process. Whitehead's (1929/1978) process metaphysics develops the position systematically: what we treat as enduring objects are better understood as societies of occasions, patterns of process stable enough at human scales to appear as things.</w:t>
      </w:r>
    </w:p>
    <w:p>
      <w:pPr>
        <w:jc w:val="both"/>
      </w:pPr>
      <w:r>
        <w:t>Ingold (2007, 2013) brings this into the domain of making. His critique of "materiality" as an abstraction, and his account of things as gatherings of the movements, forces and materials through which they come into being, dissolve the object-centred framing that the permanence paradigm requires. Bennett (2010) supplies the complementary political claim: matter's capacity to produce effects beyond human intention means that treating it as inert is not merely a metaphysical error but a practical one.</w:t>
      </w:r>
    </w:p>
    <w:p>
      <w:pPr>
        <w:jc w:val="both"/>
      </w:pPr>
      <w:r>
        <w:t>From these perspectives, impermanence is not reducible to disappearance or failure. It can be understood as an ontological condition of becoming: a condition in which entities participate continuously in transformation, interaction and relational exchange. Permanence, correspondingly, is a temporary stabilisation — an achievement maintained at a cost — rather than the natural opposite of change (Bergson, 1907/1998; Whitehead, 1929/1978; Bennett, 2010; Ingold, 2013).</w:t>
      </w:r>
    </w:p>
    <w:p>
      <w:pPr>
        <w:jc w:val="both"/>
      </w:pPr>
      <w:r>
        <w:t>Recognising this has a direct consequence for design evaluation. If stability is achieved rather than given, then the resources required to maintain it — coatings, biocides, climate control, maintenance labour, material selection for resistance — are properly counted as part of the design's cost, not as neutral background. The permanence paradigm has tended to make these costs invisible by treating the stable state as the default.</w:t>
      </w:r>
    </w:p>
    <w:p>
      <w:pPr>
        <w:pStyle w:val="Heading2"/>
      </w:pPr>
      <w:r>
        <w:t>6.2 From Oppositions to Orientations</w:t>
      </w:r>
    </w:p>
    <w:p>
      <w:pPr>
        <w:jc w:val="both"/>
      </w:pPr>
      <w:r>
        <w:t>Based on the preceding discussion, temporality can be articulated through a set of paired design orientations. These pairs should not be read as mutually exclusive categories or as a normative hierarchy. They describe a movement of emphasis from a paradigm centred on stabilisation toward one that also recognises transformation and relational process.</w:t>
      </w:r>
    </w:p>
    <w:p>
      <w:pPr>
        <w:spacing w:before="200"/>
        <w:jc w:val="left"/>
      </w:pPr>
      <w:r>
        <w:rPr>
          <w:b/>
        </w:rPr>
        <w:t>Table 1. Paired orientations in the temporal value structure of design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pPr>
            <w:r>
              <w:rPr>
                <w:b/>
                <w:sz w:val="20"/>
              </w:rPr>
            </w:r>
            <w:r>
              <w:rPr>
                <w:b/>
                <w:sz w:val="20"/>
              </w:rPr>
              <w:t>Permanence-oriented value</w:t>
            </w:r>
          </w:p>
        </w:tc>
        <w:tc>
          <w:tcPr>
            <w:tcW w:type="dxa" w:w="3120"/>
          </w:tcPr>
          <w:p>
            <w:pPr>
              <w:spacing w:line="240" w:lineRule="auto" w:after="40"/>
            </w:pPr>
            <w:r>
              <w:rPr>
                <w:b/>
                <w:sz w:val="20"/>
              </w:rPr>
            </w:r>
            <w:r>
              <w:rPr>
                <w:b/>
                <w:sz w:val="20"/>
              </w:rPr>
              <w:t>Temporality-oriented value</w:t>
            </w:r>
          </w:p>
        </w:tc>
        <w:tc>
          <w:tcPr>
            <w:tcW w:type="dxa" w:w="3120"/>
          </w:tcPr>
          <w:p>
            <w:pPr>
              <w:spacing w:line="240" w:lineRule="auto" w:after="40"/>
            </w:pPr>
            <w:r>
              <w:rPr>
                <w:b/>
                <w:sz w:val="20"/>
              </w:rPr>
            </w:r>
            <w:r>
              <w:rPr>
                <w:b/>
                <w:sz w:val="20"/>
              </w:rPr>
              <w:t>What changes in the design question</w:t>
            </w:r>
          </w:p>
        </w:tc>
      </w:tr>
      <w:tr>
        <w:tc>
          <w:tcPr>
            <w:tcW w:type="dxa" w:w="3120"/>
          </w:tcPr>
          <w:p>
            <w:pPr>
              <w:spacing w:line="240" w:lineRule="auto" w:after="40"/>
            </w:pPr>
            <w:r>
              <w:rPr>
                <w:sz w:val="20"/>
              </w:rPr>
            </w:r>
            <w:r>
              <w:rPr>
                <w:sz w:val="20"/>
              </w:rPr>
              <w:t>Stability</w:t>
            </w:r>
          </w:p>
        </w:tc>
        <w:tc>
          <w:tcPr>
            <w:tcW w:type="dxa" w:w="3120"/>
          </w:tcPr>
          <w:p>
            <w:pPr>
              <w:spacing w:line="240" w:lineRule="auto" w:after="40"/>
            </w:pPr>
            <w:r>
              <w:rPr>
                <w:sz w:val="20"/>
              </w:rPr>
            </w:r>
            <w:r>
              <w:rPr>
                <w:sz w:val="20"/>
              </w:rPr>
              <w:t>Transformation</w:t>
            </w:r>
          </w:p>
        </w:tc>
        <w:tc>
          <w:tcPr>
            <w:tcW w:type="dxa" w:w="3120"/>
          </w:tcPr>
          <w:p>
            <w:pPr>
              <w:spacing w:line="240" w:lineRule="auto" w:after="40"/>
            </w:pPr>
            <w:r>
              <w:rPr>
                <w:sz w:val="20"/>
              </w:rPr>
            </w:r>
            <w:r>
              <w:rPr>
                <w:sz w:val="20"/>
              </w:rPr>
              <w:t>From "how is the state held?" to "how does the state move?"</w:t>
            </w:r>
          </w:p>
        </w:tc>
      </w:tr>
      <w:tr>
        <w:tc>
          <w:tcPr>
            <w:tcW w:type="dxa" w:w="3120"/>
          </w:tcPr>
          <w:p>
            <w:pPr>
              <w:spacing w:line="240" w:lineRule="auto" w:after="40"/>
            </w:pPr>
            <w:r>
              <w:rPr>
                <w:sz w:val="20"/>
              </w:rPr>
            </w:r>
            <w:r>
              <w:rPr>
                <w:sz w:val="20"/>
              </w:rPr>
              <w:t>Durability</w:t>
            </w:r>
          </w:p>
        </w:tc>
        <w:tc>
          <w:tcPr>
            <w:tcW w:type="dxa" w:w="3120"/>
          </w:tcPr>
          <w:p>
            <w:pPr>
              <w:spacing w:line="240" w:lineRule="auto" w:after="40"/>
            </w:pPr>
            <w:r>
              <w:rPr>
                <w:sz w:val="20"/>
              </w:rPr>
            </w:r>
            <w:r>
              <w:rPr>
                <w:sz w:val="20"/>
              </w:rPr>
              <w:t>Adaptability</w:t>
            </w:r>
          </w:p>
        </w:tc>
        <w:tc>
          <w:tcPr>
            <w:tcW w:type="dxa" w:w="3120"/>
          </w:tcPr>
          <w:p>
            <w:pPr>
              <w:spacing w:line="240" w:lineRule="auto" w:after="40"/>
            </w:pPr>
            <w:r>
              <w:rPr>
                <w:sz w:val="20"/>
              </w:rPr>
            </w:r>
            <w:r>
              <w:rPr>
                <w:sz w:val="20"/>
              </w:rPr>
              <w:t>From resisting change to accommodating it</w:t>
            </w:r>
          </w:p>
        </w:tc>
      </w:tr>
      <w:tr>
        <w:tc>
          <w:tcPr>
            <w:tcW w:type="dxa" w:w="3120"/>
          </w:tcPr>
          <w:p>
            <w:pPr>
              <w:spacing w:line="240" w:lineRule="auto" w:after="40"/>
            </w:pPr>
            <w:r>
              <w:rPr>
                <w:sz w:val="20"/>
              </w:rPr>
            </w:r>
            <w:r>
              <w:rPr>
                <w:sz w:val="20"/>
              </w:rPr>
              <w:t>Control</w:t>
            </w:r>
          </w:p>
        </w:tc>
        <w:tc>
          <w:tcPr>
            <w:tcW w:type="dxa" w:w="3120"/>
          </w:tcPr>
          <w:p>
            <w:pPr>
              <w:spacing w:line="240" w:lineRule="auto" w:after="40"/>
            </w:pPr>
            <w:r>
              <w:rPr>
                <w:sz w:val="20"/>
              </w:rPr>
            </w:r>
            <w:r>
              <w:rPr>
                <w:sz w:val="20"/>
              </w:rPr>
              <w:t>Co-existence</w:t>
            </w:r>
          </w:p>
        </w:tc>
        <w:tc>
          <w:tcPr>
            <w:tcW w:type="dxa" w:w="3120"/>
          </w:tcPr>
          <w:p>
            <w:pPr>
              <w:spacing w:line="240" w:lineRule="auto" w:after="40"/>
            </w:pPr>
            <w:r>
              <w:rPr>
                <w:sz w:val="20"/>
              </w:rPr>
            </w:r>
            <w:r>
              <w:rPr>
                <w:sz w:val="20"/>
              </w:rPr>
              <w:t>From determining outcomes to establishing conditions</w:t>
            </w:r>
          </w:p>
        </w:tc>
      </w:tr>
      <w:tr>
        <w:tc>
          <w:tcPr>
            <w:tcW w:type="dxa" w:w="3120"/>
          </w:tcPr>
          <w:p>
            <w:pPr>
              <w:spacing w:line="240" w:lineRule="auto" w:after="40"/>
            </w:pPr>
            <w:r>
              <w:rPr>
                <w:sz w:val="20"/>
              </w:rPr>
            </w:r>
            <w:r>
              <w:rPr>
                <w:sz w:val="20"/>
              </w:rPr>
              <w:t>Preservation</w:t>
            </w:r>
          </w:p>
        </w:tc>
        <w:tc>
          <w:tcPr>
            <w:tcW w:type="dxa" w:w="3120"/>
          </w:tcPr>
          <w:p>
            <w:pPr>
              <w:spacing w:line="240" w:lineRule="auto" w:after="40"/>
            </w:pPr>
            <w:r>
              <w:rPr>
                <w:sz w:val="20"/>
              </w:rPr>
            </w:r>
            <w:r>
              <w:rPr>
                <w:sz w:val="20"/>
              </w:rPr>
              <w:t>Regeneration</w:t>
            </w:r>
          </w:p>
        </w:tc>
        <w:tc>
          <w:tcPr>
            <w:tcW w:type="dxa" w:w="3120"/>
          </w:tcPr>
          <w:p>
            <w:pPr>
              <w:spacing w:line="240" w:lineRule="auto" w:after="40"/>
            </w:pPr>
            <w:r>
              <w:rPr>
                <w:sz w:val="20"/>
              </w:rPr>
            </w:r>
            <w:r>
              <w:rPr>
                <w:sz w:val="20"/>
              </w:rPr>
              <w:t>From arresting process to enabling its continuation</w:t>
            </w:r>
          </w:p>
        </w:tc>
      </w:tr>
      <w:tr>
        <w:tc>
          <w:tcPr>
            <w:tcW w:type="dxa" w:w="3120"/>
          </w:tcPr>
          <w:p>
            <w:pPr>
              <w:spacing w:line="240" w:lineRule="auto" w:after="40"/>
            </w:pPr>
            <w:r>
              <w:rPr>
                <w:sz w:val="20"/>
              </w:rPr>
            </w:r>
            <w:r>
              <w:rPr>
                <w:sz w:val="20"/>
              </w:rPr>
              <w:t>Fixed form</w:t>
            </w:r>
          </w:p>
        </w:tc>
        <w:tc>
          <w:tcPr>
            <w:tcW w:type="dxa" w:w="3120"/>
          </w:tcPr>
          <w:p>
            <w:pPr>
              <w:spacing w:line="240" w:lineRule="auto" w:after="40"/>
            </w:pPr>
            <w:r>
              <w:rPr>
                <w:sz w:val="20"/>
              </w:rPr>
            </w:r>
            <w:r>
              <w:rPr>
                <w:sz w:val="20"/>
              </w:rPr>
              <w:t>Becoming</w:t>
            </w:r>
          </w:p>
        </w:tc>
        <w:tc>
          <w:tcPr>
            <w:tcW w:type="dxa" w:w="3120"/>
          </w:tcPr>
          <w:p>
            <w:pPr>
              <w:spacing w:line="240" w:lineRule="auto" w:after="40"/>
            </w:pPr>
            <w:r>
              <w:rPr>
                <w:sz w:val="20"/>
              </w:rPr>
            </w:r>
            <w:r>
              <w:rPr>
                <w:sz w:val="20"/>
              </w:rPr>
              <w:t>From the object as result to the object as phase</w:t>
            </w:r>
          </w:p>
        </w:tc>
      </w:tr>
      <w:tr>
        <w:tc>
          <w:tcPr>
            <w:tcW w:type="dxa" w:w="3120"/>
          </w:tcPr>
          <w:p>
            <w:pPr>
              <w:spacing w:line="240" w:lineRule="auto" w:after="40"/>
            </w:pPr>
            <w:r>
              <w:rPr>
                <w:sz w:val="20"/>
              </w:rPr>
            </w:r>
            <w:r>
              <w:rPr>
                <w:sz w:val="20"/>
              </w:rPr>
              <w:t>Product</w:t>
            </w:r>
          </w:p>
        </w:tc>
        <w:tc>
          <w:tcPr>
            <w:tcW w:type="dxa" w:w="3120"/>
          </w:tcPr>
          <w:p>
            <w:pPr>
              <w:spacing w:line="240" w:lineRule="auto" w:after="40"/>
            </w:pPr>
            <w:r>
              <w:rPr>
                <w:sz w:val="20"/>
              </w:rPr>
            </w:r>
            <w:r>
              <w:rPr>
                <w:sz w:val="20"/>
              </w:rPr>
              <w:t>Process</w:t>
            </w:r>
          </w:p>
        </w:tc>
        <w:tc>
          <w:tcPr>
            <w:tcW w:type="dxa" w:w="3120"/>
          </w:tcPr>
          <w:p>
            <w:pPr>
              <w:spacing w:line="240" w:lineRule="auto" w:after="40"/>
            </w:pPr>
            <w:r>
              <w:rPr>
                <w:sz w:val="20"/>
              </w:rPr>
            </w:r>
            <w:r>
              <w:rPr>
                <w:sz w:val="20"/>
              </w:rPr>
              <w:t>From artefact boundaries to material trajectories</w:t>
            </w:r>
          </w:p>
        </w:tc>
      </w:tr>
      <w:tr>
        <w:tc>
          <w:tcPr>
            <w:tcW w:type="dxa" w:w="3120"/>
          </w:tcPr>
          <w:p>
            <w:pPr>
              <w:spacing w:line="240" w:lineRule="auto" w:after="40"/>
            </w:pPr>
            <w:r>
              <w:rPr>
                <w:sz w:val="20"/>
              </w:rPr>
            </w:r>
            <w:r>
              <w:rPr>
                <w:sz w:val="20"/>
              </w:rPr>
              <w:t>Material resistance</w:t>
            </w:r>
          </w:p>
        </w:tc>
        <w:tc>
          <w:tcPr>
            <w:tcW w:type="dxa" w:w="3120"/>
          </w:tcPr>
          <w:p>
            <w:pPr>
              <w:spacing w:line="240" w:lineRule="auto" w:after="40"/>
            </w:pPr>
            <w:r>
              <w:rPr>
                <w:sz w:val="20"/>
              </w:rPr>
            </w:r>
            <w:r>
              <w:rPr>
                <w:sz w:val="20"/>
              </w:rPr>
              <w:t>Material agency</w:t>
            </w:r>
          </w:p>
        </w:tc>
        <w:tc>
          <w:tcPr>
            <w:tcW w:type="dxa" w:w="3120"/>
          </w:tcPr>
          <w:p>
            <w:pPr>
              <w:spacing w:line="240" w:lineRule="auto" w:after="40"/>
            </w:pPr>
            <w:r>
              <w:rPr>
                <w:sz w:val="20"/>
              </w:rPr>
            </w:r>
            <w:r>
              <w:rPr>
                <w:sz w:val="20"/>
              </w:rPr>
              <w:t>From matter as substrate to matter as participant</w:t>
            </w:r>
          </w:p>
        </w:tc>
      </w:tr>
      <w:tr>
        <w:tc>
          <w:tcPr>
            <w:tcW w:type="dxa" w:w="3120"/>
          </w:tcPr>
          <w:p>
            <w:pPr>
              <w:spacing w:line="240" w:lineRule="auto" w:after="40"/>
            </w:pPr>
            <w:r>
              <w:rPr>
                <w:sz w:val="20"/>
              </w:rPr>
            </w:r>
            <w:r>
              <w:rPr>
                <w:sz w:val="20"/>
              </w:rPr>
              <w:t>Linear lifespan</w:t>
            </w:r>
          </w:p>
        </w:tc>
        <w:tc>
          <w:tcPr>
            <w:tcW w:type="dxa" w:w="3120"/>
          </w:tcPr>
          <w:p>
            <w:pPr>
              <w:spacing w:line="240" w:lineRule="auto" w:after="40"/>
            </w:pPr>
            <w:r>
              <w:rPr>
                <w:sz w:val="20"/>
              </w:rPr>
            </w:r>
            <w:r>
              <w:rPr>
                <w:sz w:val="20"/>
              </w:rPr>
              <w:t>Cyclical lifecycle</w:t>
            </w:r>
          </w:p>
        </w:tc>
        <w:tc>
          <w:tcPr>
            <w:tcW w:type="dxa" w:w="3120"/>
          </w:tcPr>
          <w:p>
            <w:pPr>
              <w:spacing w:line="240" w:lineRule="auto" w:after="40"/>
            </w:pPr>
            <w:r>
              <w:rPr>
                <w:sz w:val="20"/>
              </w:rPr>
            </w:r>
            <w:r>
              <w:rPr>
                <w:sz w:val="20"/>
              </w:rPr>
              <w:t>From duration to circulation</w:t>
            </w:r>
          </w:p>
        </w:tc>
      </w:tr>
      <w:tr>
        <w:tc>
          <w:tcPr>
            <w:tcW w:type="dxa" w:w="3120"/>
          </w:tcPr>
          <w:p>
            <w:pPr>
              <w:spacing w:line="240" w:lineRule="auto" w:after="40"/>
            </w:pPr>
            <w:r>
              <w:rPr>
                <w:sz w:val="20"/>
              </w:rPr>
            </w:r>
            <w:r>
              <w:rPr>
                <w:sz w:val="20"/>
              </w:rPr>
              <w:t>Human control</w:t>
            </w:r>
          </w:p>
        </w:tc>
        <w:tc>
          <w:tcPr>
            <w:tcW w:type="dxa" w:w="3120"/>
          </w:tcPr>
          <w:p>
            <w:pPr>
              <w:spacing w:line="240" w:lineRule="auto" w:after="40"/>
            </w:pPr>
            <w:r>
              <w:rPr>
                <w:sz w:val="20"/>
              </w:rPr>
            </w:r>
            <w:r>
              <w:rPr>
                <w:sz w:val="20"/>
              </w:rPr>
              <w:t>More-than-human relations</w:t>
            </w:r>
          </w:p>
        </w:tc>
        <w:tc>
          <w:tcPr>
            <w:tcW w:type="dxa" w:w="3120"/>
          </w:tcPr>
          <w:p>
            <w:pPr>
              <w:spacing w:line="240" w:lineRule="auto" w:after="40"/>
            </w:pPr>
            <w:r>
              <w:rPr>
                <w:sz w:val="20"/>
              </w:rPr>
            </w:r>
            <w:r>
              <w:rPr>
                <w:sz w:val="20"/>
              </w:rPr>
              <w:t>From single authorship to distributed authorship</w:t>
            </w:r>
          </w:p>
        </w:tc>
      </w:tr>
    </w:tbl>
    <w:p/>
    <w:p>
      <w:pPr>
        <w:jc w:val="both"/>
      </w:pPr>
      <w:r>
        <w:t>The right-hand column is included deliberately. A table of paired terms risks functioning as rhetoric rather than analysis; specifying what each pair changes about the design question makes the framework usable and, importantly, falsifiable — a design proposal either does or does not shift the question in the stated way.</w:t>
      </w:r>
    </w:p>
    <w:p>
      <w:pPr>
        <w:pStyle w:val="Heading2"/>
      </w:pPr>
      <w:r>
        <w:t>6.3 Six Dimensions of Design Temporality</w:t>
      </w:r>
    </w:p>
    <w:p>
      <w:pPr>
        <w:jc w:val="both"/>
      </w:pPr>
      <w:r>
        <w:t xml:space="preserve">Paired orientations establish a direction but do not permit specification. A designer persuaded by the argument still requires a means of stating </w:t>
      </w:r>
      <w:r>
        <w:rPr>
          <w:i/>
        </w:rPr>
        <w:t>what kind</w:t>
      </w:r>
      <w:r>
        <w:t xml:space="preserve"> of temporality is intended, and a reviewer requires a means of assessing whether the intention was realised. The following six dimensions are proposed as the analytical layer of the framework. They are derived from the temporal conditions coded in the biodesign corpus (Section 2) and articulated through the philosophical vocabulary developed above.</w:t>
      </w:r>
    </w:p>
    <w:p>
      <w:pPr>
        <w:spacing w:before="200"/>
        <w:jc w:val="left"/>
      </w:pPr>
      <w:r>
        <w:rPr>
          <w:b/>
        </w:rPr>
        <w:t>Table 2. Dimensions for specifying temporal intent in design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pPr>
            <w:r>
              <w:rPr>
                <w:b/>
                <w:sz w:val="20"/>
              </w:rPr>
            </w:r>
            <w:r>
              <w:rPr>
                <w:b/>
                <w:sz w:val="20"/>
              </w:rPr>
              <w:t>Dimension</w:t>
            </w:r>
          </w:p>
        </w:tc>
        <w:tc>
          <w:tcPr>
            <w:tcW w:type="dxa" w:w="2340"/>
          </w:tcPr>
          <w:p>
            <w:pPr>
              <w:spacing w:line="240" w:lineRule="auto" w:after="40"/>
            </w:pPr>
            <w:r>
              <w:rPr>
                <w:b/>
                <w:sz w:val="20"/>
              </w:rPr>
            </w:r>
            <w:r>
              <w:rPr>
                <w:b/>
                <w:sz w:val="20"/>
              </w:rPr>
              <w:t>Question it answers</w:t>
            </w:r>
          </w:p>
        </w:tc>
        <w:tc>
          <w:tcPr>
            <w:tcW w:type="dxa" w:w="2340"/>
          </w:tcPr>
          <w:p>
            <w:pPr>
              <w:spacing w:line="240" w:lineRule="auto" w:after="40"/>
            </w:pPr>
            <w:r>
              <w:rPr>
                <w:b/>
                <w:sz w:val="20"/>
              </w:rPr>
            </w:r>
            <w:r>
              <w:rPr>
                <w:b/>
                <w:sz w:val="20"/>
              </w:rPr>
              <w:t>Range</w:t>
            </w:r>
          </w:p>
        </w:tc>
        <w:tc>
          <w:tcPr>
            <w:tcW w:type="dxa" w:w="2340"/>
          </w:tcPr>
          <w:p>
            <w:pPr>
              <w:spacing w:line="240" w:lineRule="auto" w:after="40"/>
            </w:pPr>
            <w:r>
              <w:rPr>
                <w:b/>
                <w:sz w:val="20"/>
              </w:rPr>
            </w:r>
            <w:r>
              <w:rPr>
                <w:b/>
                <w:sz w:val="20"/>
              </w:rPr>
              <w:t>Illustrative case</w:t>
            </w:r>
          </w:p>
        </w:tc>
      </w:tr>
      <w:tr>
        <w:tc>
          <w:tcPr>
            <w:tcW w:type="dxa" w:w="2340"/>
          </w:tcPr>
          <w:p>
            <w:pPr>
              <w:spacing w:line="240" w:lineRule="auto" w:after="40"/>
            </w:pPr>
            <w:r>
              <w:rPr>
                <w:sz w:val="20"/>
              </w:rPr>
            </w:r>
            <w:r>
              <w:rPr>
                <w:b/>
                <w:sz w:val="20"/>
              </w:rPr>
              <w:t>Rate</w:t>
            </w:r>
          </w:p>
        </w:tc>
        <w:tc>
          <w:tcPr>
            <w:tcW w:type="dxa" w:w="2340"/>
          </w:tcPr>
          <w:p>
            <w:pPr>
              <w:spacing w:line="240" w:lineRule="auto" w:after="40"/>
            </w:pPr>
            <w:r>
              <w:rPr>
                <w:sz w:val="20"/>
              </w:rPr>
            </w:r>
            <w:r>
              <w:rPr>
                <w:sz w:val="20"/>
              </w:rPr>
              <w:t>How fast does the material change relative to the pace of use?</w:t>
            </w:r>
          </w:p>
        </w:tc>
        <w:tc>
          <w:tcPr>
            <w:tcW w:type="dxa" w:w="2340"/>
          </w:tcPr>
          <w:p>
            <w:pPr>
              <w:spacing w:line="240" w:lineRule="auto" w:after="40"/>
            </w:pPr>
            <w:r>
              <w:rPr>
                <w:sz w:val="20"/>
              </w:rPr>
            </w:r>
            <w:r>
              <w:rPr>
                <w:sz w:val="20"/>
              </w:rPr>
              <w:t>Imperceptible → perceptible → faster than use</w:t>
            </w:r>
          </w:p>
        </w:tc>
        <w:tc>
          <w:tcPr>
            <w:tcW w:type="dxa" w:w="2340"/>
          </w:tcPr>
          <w:p>
            <w:pPr>
              <w:spacing w:line="240" w:lineRule="auto" w:after="40"/>
            </w:pPr>
            <w:r>
              <w:rPr>
                <w:sz w:val="20"/>
              </w:rPr>
            </w:r>
            <w:r>
              <w:rPr>
                <w:sz w:val="20"/>
              </w:rPr>
              <w:t>Weathering of a facade vs. a living wall that visibly responds within days</w:t>
            </w:r>
          </w:p>
        </w:tc>
      </w:tr>
      <w:tr>
        <w:tc>
          <w:tcPr>
            <w:tcW w:type="dxa" w:w="2340"/>
          </w:tcPr>
          <w:p>
            <w:pPr>
              <w:spacing w:line="240" w:lineRule="auto" w:after="40"/>
            </w:pPr>
            <w:r>
              <w:rPr>
                <w:sz w:val="20"/>
              </w:rPr>
            </w:r>
            <w:r>
              <w:rPr>
                <w:b/>
                <w:sz w:val="20"/>
              </w:rPr>
              <w:t>Directionality</w:t>
            </w:r>
          </w:p>
        </w:tc>
        <w:tc>
          <w:tcPr>
            <w:tcW w:type="dxa" w:w="2340"/>
          </w:tcPr>
          <w:p>
            <w:pPr>
              <w:spacing w:line="240" w:lineRule="auto" w:after="40"/>
            </w:pPr>
            <w:r>
              <w:rPr>
                <w:sz w:val="20"/>
              </w:rPr>
            </w:r>
            <w:r>
              <w:rPr>
                <w:sz w:val="20"/>
              </w:rPr>
              <w:t>Does change move toward a defined state, or is it open-ended?</w:t>
            </w:r>
          </w:p>
        </w:tc>
        <w:tc>
          <w:tcPr>
            <w:tcW w:type="dxa" w:w="2340"/>
          </w:tcPr>
          <w:p>
            <w:pPr>
              <w:spacing w:line="240" w:lineRule="auto" w:after="40"/>
            </w:pPr>
            <w:r>
              <w:rPr>
                <w:sz w:val="20"/>
              </w:rPr>
            </w:r>
            <w:r>
              <w:rPr>
                <w:sz w:val="20"/>
              </w:rPr>
              <w:t>Convergent → open-ended</w:t>
            </w:r>
          </w:p>
        </w:tc>
        <w:tc>
          <w:tcPr>
            <w:tcW w:type="dxa" w:w="2340"/>
          </w:tcPr>
          <w:p>
            <w:pPr>
              <w:spacing w:line="240" w:lineRule="auto" w:after="40"/>
            </w:pPr>
            <w:r>
              <w:rPr>
                <w:sz w:val="20"/>
              </w:rPr>
            </w:r>
            <w:r>
              <w:rPr>
                <w:sz w:val="20"/>
              </w:rPr>
              <w:t>Curing of a bio-composite vs. ongoing colonisation of a bioreceptive surface</w:t>
            </w:r>
          </w:p>
        </w:tc>
      </w:tr>
      <w:tr>
        <w:tc>
          <w:tcPr>
            <w:tcW w:type="dxa" w:w="2340"/>
          </w:tcPr>
          <w:p>
            <w:pPr>
              <w:spacing w:line="240" w:lineRule="auto" w:after="40"/>
            </w:pPr>
            <w:r>
              <w:rPr>
                <w:sz w:val="20"/>
              </w:rPr>
            </w:r>
            <w:r>
              <w:rPr>
                <w:b/>
                <w:sz w:val="20"/>
              </w:rPr>
              <w:t>Reversibility</w:t>
            </w:r>
          </w:p>
        </w:tc>
        <w:tc>
          <w:tcPr>
            <w:tcW w:type="dxa" w:w="2340"/>
          </w:tcPr>
          <w:p>
            <w:pPr>
              <w:spacing w:line="240" w:lineRule="auto" w:after="40"/>
            </w:pPr>
            <w:r>
              <w:rPr>
                <w:sz w:val="20"/>
              </w:rPr>
            </w:r>
            <w:r>
              <w:rPr>
                <w:sz w:val="20"/>
              </w:rPr>
              <w:t>Can a state be recovered, or is change cumulative?</w:t>
            </w:r>
          </w:p>
        </w:tc>
        <w:tc>
          <w:tcPr>
            <w:tcW w:type="dxa" w:w="2340"/>
          </w:tcPr>
          <w:p>
            <w:pPr>
              <w:spacing w:line="240" w:lineRule="auto" w:after="40"/>
            </w:pPr>
            <w:r>
              <w:rPr>
                <w:sz w:val="20"/>
              </w:rPr>
            </w:r>
            <w:r>
              <w:rPr>
                <w:sz w:val="20"/>
              </w:rPr>
              <w:t>Reversible → partially reversible → irreversible</w:t>
            </w:r>
          </w:p>
        </w:tc>
        <w:tc>
          <w:tcPr>
            <w:tcW w:type="dxa" w:w="2340"/>
          </w:tcPr>
          <w:p>
            <w:pPr>
              <w:spacing w:line="240" w:lineRule="auto" w:after="40"/>
            </w:pPr>
            <w:r>
              <w:rPr>
                <w:sz w:val="20"/>
              </w:rPr>
            </w:r>
            <w:r>
              <w:rPr>
                <w:sz w:val="20"/>
              </w:rPr>
              <w:t>Rehydration of a dormant culture vs. senescence of a living artefact</w:t>
            </w:r>
          </w:p>
        </w:tc>
      </w:tr>
      <w:tr>
        <w:tc>
          <w:tcPr>
            <w:tcW w:type="dxa" w:w="2340"/>
          </w:tcPr>
          <w:p>
            <w:pPr>
              <w:spacing w:line="240" w:lineRule="auto" w:after="40"/>
            </w:pPr>
            <w:r>
              <w:rPr>
                <w:sz w:val="20"/>
              </w:rPr>
            </w:r>
            <w:r>
              <w:rPr>
                <w:b/>
                <w:sz w:val="20"/>
              </w:rPr>
              <w:t>Scale</w:t>
            </w:r>
          </w:p>
        </w:tc>
        <w:tc>
          <w:tcPr>
            <w:tcW w:type="dxa" w:w="2340"/>
          </w:tcPr>
          <w:p>
            <w:pPr>
              <w:spacing w:line="240" w:lineRule="auto" w:after="40"/>
            </w:pPr>
            <w:r>
              <w:rPr>
                <w:sz w:val="20"/>
              </w:rPr>
            </w:r>
            <w:r>
              <w:rPr>
                <w:sz w:val="20"/>
              </w:rPr>
              <w:t>Over what temporal horizon is the artefact assessed?</w:t>
            </w:r>
          </w:p>
        </w:tc>
        <w:tc>
          <w:tcPr>
            <w:tcW w:type="dxa" w:w="2340"/>
          </w:tcPr>
          <w:p>
            <w:pPr>
              <w:spacing w:line="240" w:lineRule="auto" w:after="40"/>
            </w:pPr>
            <w:r>
              <w:rPr>
                <w:sz w:val="20"/>
              </w:rPr>
            </w:r>
            <w:r>
              <w:rPr>
                <w:sz w:val="20"/>
              </w:rPr>
              <w:t>Use session → product life → material cycle → ecological time</w:t>
            </w:r>
          </w:p>
        </w:tc>
        <w:tc>
          <w:tcPr>
            <w:tcW w:type="dxa" w:w="2340"/>
          </w:tcPr>
          <w:p>
            <w:pPr>
              <w:spacing w:line="240" w:lineRule="auto" w:after="40"/>
            </w:pPr>
            <w:r>
              <w:rPr>
                <w:sz w:val="20"/>
              </w:rPr>
            </w:r>
            <w:r>
              <w:rPr>
                <w:sz w:val="20"/>
              </w:rPr>
              <w:t>A single harvest vs. the substrate's return to soil</w:t>
            </w:r>
          </w:p>
        </w:tc>
      </w:tr>
      <w:tr>
        <w:tc>
          <w:tcPr>
            <w:tcW w:type="dxa" w:w="2340"/>
          </w:tcPr>
          <w:p>
            <w:pPr>
              <w:spacing w:line="240" w:lineRule="auto" w:after="40"/>
            </w:pPr>
            <w:r>
              <w:rPr>
                <w:sz w:val="20"/>
              </w:rPr>
            </w:r>
            <w:r>
              <w:rPr>
                <w:b/>
                <w:sz w:val="20"/>
              </w:rPr>
              <w:t>Distribution of agency</w:t>
            </w:r>
          </w:p>
        </w:tc>
        <w:tc>
          <w:tcPr>
            <w:tcW w:type="dxa" w:w="2340"/>
          </w:tcPr>
          <w:p>
            <w:pPr>
              <w:spacing w:line="240" w:lineRule="auto" w:after="40"/>
            </w:pPr>
            <w:r>
              <w:rPr>
                <w:sz w:val="20"/>
              </w:rPr>
            </w:r>
            <w:r>
              <w:rPr>
                <w:sz w:val="20"/>
              </w:rPr>
              <w:t>Who or what determines the trajectory?</w:t>
            </w:r>
          </w:p>
        </w:tc>
        <w:tc>
          <w:tcPr>
            <w:tcW w:type="dxa" w:w="2340"/>
          </w:tcPr>
          <w:p>
            <w:pPr>
              <w:spacing w:line="240" w:lineRule="auto" w:after="40"/>
            </w:pPr>
            <w:r>
              <w:rPr>
                <w:sz w:val="20"/>
              </w:rPr>
            </w:r>
            <w:r>
              <w:rPr>
                <w:sz w:val="20"/>
              </w:rPr>
              <w:t>Designer-determined → negotiated → organism-led</w:t>
            </w:r>
          </w:p>
        </w:tc>
        <w:tc>
          <w:tcPr>
            <w:tcW w:type="dxa" w:w="2340"/>
          </w:tcPr>
          <w:p>
            <w:pPr>
              <w:spacing w:line="240" w:lineRule="auto" w:after="40"/>
            </w:pPr>
            <w:r>
              <w:rPr>
                <w:sz w:val="20"/>
              </w:rPr>
            </w:r>
            <w:r>
              <w:rPr>
                <w:sz w:val="20"/>
              </w:rPr>
              <w:t>A specified surface finish vs. a mycelial growth pattern</w:t>
            </w:r>
          </w:p>
        </w:tc>
      </w:tr>
      <w:tr>
        <w:tc>
          <w:tcPr>
            <w:tcW w:type="dxa" w:w="2340"/>
          </w:tcPr>
          <w:p>
            <w:pPr>
              <w:spacing w:line="240" w:lineRule="auto" w:after="40"/>
            </w:pPr>
            <w:r>
              <w:rPr>
                <w:sz w:val="20"/>
              </w:rPr>
            </w:r>
            <w:r>
              <w:rPr>
                <w:b/>
                <w:sz w:val="20"/>
              </w:rPr>
              <w:t>Terminus</w:t>
            </w:r>
          </w:p>
        </w:tc>
        <w:tc>
          <w:tcPr>
            <w:tcW w:type="dxa" w:w="2340"/>
          </w:tcPr>
          <w:p>
            <w:pPr>
              <w:spacing w:line="240" w:lineRule="auto" w:after="40"/>
            </w:pPr>
            <w:r>
              <w:rPr>
                <w:sz w:val="20"/>
              </w:rPr>
            </w:r>
            <w:r>
              <w:rPr>
                <w:sz w:val="20"/>
              </w:rPr>
              <w:t>What is the intended end condition, and into what system does matter pass?</w:t>
            </w:r>
          </w:p>
        </w:tc>
        <w:tc>
          <w:tcPr>
            <w:tcW w:type="dxa" w:w="2340"/>
          </w:tcPr>
          <w:p>
            <w:pPr>
              <w:spacing w:line="240" w:lineRule="auto" w:after="40"/>
            </w:pPr>
            <w:r>
              <w:rPr>
                <w:sz w:val="20"/>
              </w:rPr>
            </w:r>
            <w:r>
              <w:rPr>
                <w:sz w:val="20"/>
              </w:rPr>
              <w:t>Landfill → recycling stream → biological cycle → no defined terminus</w:t>
            </w:r>
          </w:p>
        </w:tc>
        <w:tc>
          <w:tcPr>
            <w:tcW w:type="dxa" w:w="2340"/>
          </w:tcPr>
          <w:p>
            <w:pPr>
              <w:spacing w:line="240" w:lineRule="auto" w:after="40"/>
            </w:pPr>
            <w:r>
              <w:rPr>
                <w:sz w:val="20"/>
              </w:rPr>
            </w:r>
            <w:r>
              <w:rPr>
                <w:sz w:val="20"/>
              </w:rPr>
              <w:t>Composite that cannot be separated vs. a substrate designed for compost</w:t>
            </w:r>
          </w:p>
        </w:tc>
      </w:tr>
    </w:tbl>
    <w:p/>
    <w:p>
      <w:pPr>
        <w:jc w:val="both"/>
      </w:pPr>
      <w:r>
        <w:t>The dimensions are analytically independent: a material may change rapidly but reversibly, or slowly but irreversibly; a designer-determined trajectory may nonetheless terminate in a biological cycle. Their value lies in preventing the collapse of "temporality" into the single axis of duration, which is precisely the reduction that Pschetz and Bastian (2018) identify as constraining design's temporal imagination. Read together with Table 1, the two tables perform different functions: the first states a direction of theoretical movement, the second provides the terms in which a specific proposal can be described and contested.</w:t>
      </w:r>
    </w:p>
    <w:p>
      <w:pPr>
        <w:pStyle w:val="Heading2"/>
      </w:pPr>
      <w:r>
        <w:t>6.4 Boundary Conditions: Where Permanence Remains the Right Value</w:t>
      </w:r>
    </w:p>
    <w:p>
      <w:pPr>
        <w:jc w:val="both"/>
      </w:pPr>
      <w:r>
        <w:t>A framework that could not specify where it does not apply would be an ideology rather than a theory. Four boundary conditions are stated explicitly.</w:t>
      </w:r>
    </w:p>
    <w:p>
      <w:pPr>
        <w:jc w:val="both"/>
      </w:pPr>
      <w:r>
        <w:rPr>
          <w:b/>
        </w:rPr>
        <w:t>Safety-critical and structural contexts.</w:t>
      </w:r>
      <w:r>
        <w:t xml:space="preserve"> Where failure carries risk to life — structural elements, pressure vessels, medical implants, transport systems — predictable material performance across a specified life is not a modernist preference but an ethical requirement. Temporality-oriented reasoning applies to the end-of-life pathway of such components, not to their in-service stability.</w:t>
      </w:r>
    </w:p>
    <w:p>
      <w:pPr>
        <w:jc w:val="both"/>
      </w:pPr>
      <w:r>
        <w:rPr>
          <w:b/>
        </w:rPr>
        <w:t>Containment of hazardous matter.</w:t>
      </w:r>
      <w:r>
        <w:t xml:space="preserve"> The clearest inversion of the argument concerns materials whose release is the hazard. Long-lived radioactive waste and persistent toxic substances demand containment across timescales that exceed institutional continuity — the very hyperobject temporality that Morton (2013) describes. Here permanence is precisely what is required, and the temporal problem is that human institutions cannot supply enough of it.</w:t>
      </w:r>
    </w:p>
    <w:p>
      <w:pPr>
        <w:jc w:val="both"/>
      </w:pPr>
      <w:r>
        <w:rPr>
          <w:b/>
        </w:rPr>
        <w:t>Infrastructural and civic continuity.</w:t>
      </w:r>
      <w:r>
        <w:t xml:space="preserve"> Infrastructure and public buildings carry commitments that outlast the parties who make them. Brand's (1994) layered analysis is instructive: it argues for adaptability in the fast layers </w:t>
      </w:r>
      <w:r>
        <w:rPr>
          <w:i/>
        </w:rPr>
        <w:t>because</w:t>
      </w:r>
      <w:r>
        <w:t xml:space="preserve"> the slow layers endure, not instead of it.</w:t>
      </w:r>
    </w:p>
    <w:p>
      <w:pPr>
        <w:jc w:val="both"/>
      </w:pPr>
      <w:r>
        <w:rPr>
          <w:b/>
        </w:rPr>
        <w:t>Cultural transmission.</w:t>
      </w:r>
      <w:r>
        <w:t xml:space="preserve"> Objects that carry memory, record or identity across generations serve a function that depends on persistence. DeSilvey's (2017) argument for curated decay is not a general licence to let heritage go; it is a case-specific argument for choosing, deliberately and with justification, which transformations to accompany and which to arrest.</w:t>
      </w:r>
    </w:p>
    <w:p>
      <w:pPr>
        <w:jc w:val="both"/>
      </w:pPr>
      <w:r>
        <w:t xml:space="preserve">In each case the framework's contribution is not to overturn permanence but to require that it be </w:t>
      </w:r>
      <w:r>
        <w:rPr>
          <w:i/>
        </w:rPr>
        <w:t>argued for</w:t>
      </w:r>
      <w:r>
        <w:t xml:space="preserve"> rather than assumed — and, where it is chosen, that the resources needed to sustain it and the terminus it implies be made explicit.</w:t>
      </w:r>
    </w:p>
    <w:p>
      <w:pPr>
        <w:pStyle w:val="Heading1"/>
      </w:pPr>
      <w:r>
        <w:t>7. Discussion</w:t>
      </w:r>
    </w:p>
    <w:p>
      <w:pPr>
        <w:pStyle w:val="Heading2"/>
      </w:pPr>
      <w:r>
        <w:t>7.1 What the Synthesis Contributes</w:t>
      </w:r>
    </w:p>
    <w:p>
      <w:pPr>
        <w:jc w:val="both"/>
      </w:pPr>
      <w:r>
        <w:t>The argument developed here makes three contributions that neither of its constituent literatures makes alone.</w:t>
      </w:r>
    </w:p>
    <w:p>
      <w:pPr>
        <w:jc w:val="both"/>
      </w:pPr>
      <w:r>
        <w:t xml:space="preserve">The first is a </w:t>
      </w:r>
      <w:r>
        <w:rPr>
          <w:b/>
        </w:rPr>
        <w:t>relocation of design's temporal debate into the material register</w:t>
      </w:r>
      <w:r>
        <w:t xml:space="preserve">. Section 4 established that design research has theorised time environmentally, experientially and ethically, but has largely retained a stable material substrate as the term against which temporal variation is measured. Biodesign removes that substrate. The contribution is not the observation that living materials change — biodesign research has documented this thoroughly — but the argument that this change constitutes a </w:t>
      </w:r>
      <w:r>
        <w:rPr>
          <w:i/>
        </w:rPr>
        <w:t>theoretical</w:t>
      </w:r>
      <w:r>
        <w:t xml:space="preserve"> problem for design's value structure, and not only a </w:t>
      </w:r>
      <w:r>
        <w:rPr>
          <w:i/>
        </w:rPr>
        <w:t>practical</w:t>
      </w:r>
      <w:r>
        <w:t xml:space="preserve"> problem for material specification.</w:t>
      </w:r>
    </w:p>
    <w:p>
      <w:pPr>
        <w:jc w:val="both"/>
      </w:pPr>
      <w:r>
        <w:t xml:space="preserve">The second is the </w:t>
      </w:r>
      <w:r>
        <w:rPr>
          <w:b/>
        </w:rPr>
        <w:t>reconstruction of impermanence as an achievement rather than a deficit</w:t>
      </w:r>
      <w:r>
        <w:t>. Section 6.1's inversion — treating stability as the state requiring explanation and maintenance — has a concrete methodological consequence. It renders visible the coatings, biocides, climate control and maintenance labour through which permanence is produced, and brings them into the account of a design's cost. This reframing is available in principle from process philosophy alone, but it acquires practical traction only where materials that will not hold still make the cost of holding them still apparent.</w:t>
      </w:r>
    </w:p>
    <w:p>
      <w:pPr>
        <w:jc w:val="both"/>
      </w:pPr>
      <w:r>
        <w:t xml:space="preserve">The third is the </w:t>
      </w:r>
      <w:r>
        <w:rPr>
          <w:b/>
        </w:rPr>
        <w:t>provision of an analytical layer</w:t>
      </w:r>
      <w:r>
        <w:t>. Much writing on temporality in design remains at the level of orientation, and orientations are difficult to argue about because they cannot be wrong in any particular case. Table 2's six dimensions permit a proposal to be described precisely enough to be contested: a claim that a project "embraces impermanence" can be tested against what it specifies for rate, directionality, reversibility, scale, agency and terminus. This responds directly to Pschetz and Bastian's (2018) diagnosis that temporal thinking in design collapses into fast–slow dichotomies.</w:t>
      </w:r>
    </w:p>
    <w:p>
      <w:pPr>
        <w:pStyle w:val="Heading2"/>
      </w:pPr>
      <w:r>
        <w:t>7.2 Implications for Practice, Education and Evaluation</w:t>
      </w:r>
    </w:p>
    <w:p>
      <w:pPr>
        <w:jc w:val="both"/>
      </w:pPr>
      <w:r>
        <w:t xml:space="preserve">For </w:t>
      </w:r>
      <w:r>
        <w:rPr>
          <w:b/>
        </w:rPr>
        <w:t>practice</w:t>
      </w:r>
      <w:r>
        <w:t>, the framework suggests that temporal intent should be specified as deliberately as material and formal intent. A design brief that states a target lifespan has specified one dimension of six. Specifying the remaining five — particularly terminus and distribution of agency — changes what the brief asks of the designer, and changes what counts as a satisfactory answer.</w:t>
      </w:r>
    </w:p>
    <w:p>
      <w:pPr>
        <w:jc w:val="both"/>
      </w:pPr>
      <w:r>
        <w:t xml:space="preserve">For </w:t>
      </w:r>
      <w:r>
        <w:rPr>
          <w:b/>
        </w:rPr>
        <w:t>education</w:t>
      </w:r>
      <w:r>
        <w:t>, the argument bears on how material knowledge is taught. Material property tables in design curricula characterise strength, stiffness, density, thermal behaviour and cost; they rarely characterise how a material behaves over time except as durability or degradation resistance. The Material Driven Design method (Karana et al., 2015) already moves material teaching toward experiential qualities; adding temporal characterisation to that move is a modest extension with substantial consequences, since students who learn to ask what a material will become are asking a different design question from those who learn what it can withstand.</w:t>
      </w:r>
    </w:p>
    <w:p>
      <w:pPr>
        <w:jc w:val="both"/>
      </w:pPr>
      <w:r>
        <w:t xml:space="preserve">For </w:t>
      </w:r>
      <w:r>
        <w:rPr>
          <w:b/>
        </w:rPr>
        <w:t>evaluation</w:t>
      </w:r>
      <w:r>
        <w:t xml:space="preserve"> — in juries, competitions, awards and journal review — the framework offers a vocabulary for assessing proposals that do not aim at durability without defaulting either to dismissal or to uncritical enthusiasm. A project whose material decomposes can be assessed on whether its terminus is specified and achievable, whether its rate is compatible with its use, and whether the distribution of agency it claims is real or decorative. This is a more demanding standard than the current alternatives, which tend to be technical durability on one hand and ecological gesture on the other.</w:t>
      </w:r>
    </w:p>
    <w:p>
      <w:pPr>
        <w:pStyle w:val="Heading2"/>
      </w:pPr>
      <w:r>
        <w:t>7.3 Objections and Limitations</w:t>
      </w:r>
    </w:p>
    <w:p>
      <w:pPr>
        <w:jc w:val="both"/>
      </w:pPr>
      <w:r>
        <w:rPr>
          <w:b/>
        </w:rPr>
        <w:t>The proposal is not a licence for short life.</w:t>
      </w:r>
      <w:r>
        <w:t xml:space="preserve"> The alternative to permanence is not disposability or planned obsolescence, and the two must be sharply distinguished. Planned obsolescence is a permanence-paradigm strategy operating in bad faith: it depends on the object being understood as a stable product whose replacement can be scheduled, and it says nothing about material trajectory. A temporality-oriented approach is defined by circulation and specified terminus, not by brevity. Neither permanence nor impermanence is intrinsically sustainable; their value depends on sourcing, production, use, transformation and reintegration (Fry, 2009; Escobar, 2018; Bocken et al., 2016).</w:t>
      </w:r>
    </w:p>
    <w:p>
      <w:pPr>
        <w:jc w:val="both"/>
      </w:pPr>
      <w:r>
        <w:rPr>
          <w:b/>
        </w:rPr>
        <w:t>Material agency should not be overstated.</w:t>
      </w:r>
      <w:r>
        <w:t xml:space="preserve"> Recognising material agency does not entail that materials are designers in any literal sense, nor does it dissolve human responsibility. The concept directs attention to the ways in which material properties, biological processes, environmental conditions and human intentions jointly shape outcomes (Bennett, 2010; Ingold, 2013; Barad, 2007; Luck, 2025). There is a real risk that "distributed authorship" becomes a rhetorical device that diffuses accountability for design decisions that remain, in fact, human ones. The dimension of </w:t>
      </w:r>
      <w:r>
        <w:rPr>
          <w:i/>
        </w:rPr>
        <w:t>distribution of agency</w:t>
      </w:r>
      <w:r>
        <w:t xml:space="preserve"> in Table 2 is intended partly as a check against this: it asks the designer to state concretely which determinations were ceded and which were retained.</w:t>
      </w:r>
    </w:p>
    <w:p>
      <w:pPr>
        <w:jc w:val="both"/>
      </w:pPr>
      <w:r>
        <w:rPr>
          <w:b/>
        </w:rPr>
        <w:t>The historical claim is culturally bounded.</w:t>
      </w:r>
      <w:r>
        <w:t xml:space="preserve"> As Section 3.6 acknowledged, the permanence paradigm is strongest as a description of industrial-modern Western design culture. The framework's applicability to design traditions organised around maintenance, replacement or ritual reconstruction is an open question, and answering it would require comparative work beyond the scope of a conceptual synthesis.</w:t>
      </w:r>
    </w:p>
    <w:p>
      <w:pPr>
        <w:jc w:val="both"/>
      </w:pPr>
      <w:r>
        <w:rPr>
          <w:b/>
        </w:rPr>
        <w:t>Conceptual synthesis cannot demonstrate efficacy.</w:t>
      </w:r>
      <w:r>
        <w:t xml:space="preserve"> The framework is offered as theoretically coherent and analytically usable. Whether its adoption improves design outcomes, or whether designers find the six dimensions tractable in practice, are empirical questions the article does not answer.</w:t>
      </w:r>
    </w:p>
    <w:p>
      <w:pPr>
        <w:jc w:val="both"/>
      </w:pPr>
      <w:r>
        <w:rPr>
          <w:b/>
        </w:rPr>
        <w:t>Biodesign's own limits constrain the argument's reach.</w:t>
      </w:r>
      <w:r>
        <w:t xml:space="preserve"> As Section 5.7 established, biodesign is neither ecologically self-justifying nor politically innocent (Zhu &amp; Wang, 2020; Ginsberg &amp; Chieza, 2018). Its role here is diagnostic — it exposes an assumption — rather than exemplary.</w:t>
      </w:r>
    </w:p>
    <w:p>
      <w:pPr>
        <w:pStyle w:val="Heading2"/>
      </w:pPr>
      <w:r>
        <w:t>7.4 Directions for Further Research</w:t>
      </w:r>
    </w:p>
    <w:p>
      <w:pPr>
        <w:jc w:val="both"/>
      </w:pPr>
      <w:r>
        <w:t xml:space="preserve">Four lines of work follow. First, </w:t>
      </w:r>
      <w:r>
        <w:rPr>
          <w:b/>
        </w:rPr>
        <w:t>empirical validation</w:t>
      </w:r>
      <w:r>
        <w:t xml:space="preserve">: applying the six dimensions to a corpus of biodesign projects to test whether they discriminate usefully between proposals, and to established non-biological design cases to test whether their applicability extends beyond living materials. Second, </w:t>
      </w:r>
      <w:r>
        <w:rPr>
          <w:b/>
        </w:rPr>
        <w:t>user and inhabitant studies</w:t>
      </w:r>
      <w:r>
        <w:t xml:space="preserve">: Karana et al. (2020) and Ertürkan et al. (2022) have begun to characterise how people describe living materials; how people evaluate artefacts that visibly change, and under what conditions transformation is experienced as meaningful rather than as failure, remains largely open. Third, </w:t>
      </w:r>
      <w:r>
        <w:rPr>
          <w:b/>
        </w:rPr>
        <w:t>temporal characterisation of materials</w:t>
      </w:r>
      <w:r>
        <w:t xml:space="preserve">: developing representations of temporal behaviour comparable in usability to existing material property data, so that the dimensions can inform selection rather than only reflection. Fourth, </w:t>
      </w:r>
      <w:r>
        <w:rPr>
          <w:b/>
        </w:rPr>
        <w:t>comparative and historical work</w:t>
      </w:r>
      <w:r>
        <w:t xml:space="preserve"> on design cultures in which impermanence has been normative, which would both test and enrich the historical claim advanced in Section 3.</w:t>
      </w:r>
    </w:p>
    <w:p>
      <w:pPr>
        <w:pStyle w:val="Heading1"/>
      </w:pPr>
      <w:r>
        <w:t>8. Conclusion</w:t>
      </w:r>
    </w:p>
    <w:p>
      <w:pPr>
        <w:jc w:val="both"/>
      </w:pPr>
      <w:r>
        <w:t>This article has argued that permanence is not a neutral or universal characteristic of successful design. Its prominence is historically connected to modernity's emphasis on stability, predictability, control, standardisation and preservation, and was codified through industrial production into criteria that acquired the appearance of technical necessity (Giddens, 1990; Bauman, 2000; Forty, 1986). Durability continues to deliver genuine social, functional and environmental benefits, and the article has not disputed the arguments for it (Cooper, 2010; Chapman, 2015). But ecological conditions demonstrate that material persistence cannot be evaluated independently of the cycles in which materials participate, and that persistence and responsibility can come apart (Fry, 2009; Adam, 1998; Morton, 2013).</w:t>
      </w:r>
    </w:p>
    <w:p>
      <w:pPr>
        <w:jc w:val="both"/>
      </w:pPr>
      <w:r>
        <w:t>Design research has already developed a substantial temporal literature, theorising time as an environmental, experiential, social and more-than-human condition (Lynch, 1972; Mostafavi &amp; Leatherbarrow, 1993; Brand, 1994; Hallnäs &amp; Redström, 2001; Pschetz &amp; Bastian, 2018; Pschetz et al., 2024). Its comparatively underdeveloped register is the material one, in which time is not the medium in which an artefact is used or perceived but a condition of what the artefact substantively is.</w:t>
      </w:r>
    </w:p>
    <w:p>
      <w:pPr>
        <w:jc w:val="both"/>
      </w:pPr>
      <w:r>
        <w:t>Biodesign supplies that register. Through engagement with living organisms and biological processes, it makes growth, adaptation, transformation, senescence and decomposition operative within design practice, and it does so in a way that cannot be bracketed out of material specification (Myers, 2018; Camere &amp; Karana, 2018; Karana et al., 2018, 2020; Ertürkan et al., 2022). That temporality emerges inductively as one of five organising themes in practitioners' own accounts of living materials (Ertürkan et al., 2022) indicates that this is a condition of the work rather than a theoretical imposition upon it. Biodesign therefore permits the designed object to be reconsidered not as a finished and stable entity but as a temporary configuration within ongoing material processes — while its own ecological and political entanglements (Ginsberg &amp; Chieza, 2018; Zhu &amp; Wang, 2020) prevent it from being treated as a solution.</w:t>
      </w:r>
    </w:p>
    <w:p>
      <w:pPr>
        <w:jc w:val="both"/>
      </w:pPr>
      <w:r>
        <w:t>Drawing on process philosophy and new materialist design research, the article has proposed that impermanence be understood as an ontological condition of becoming rather than as material failure, with permanence reconceived as a temporary and costly stabilisation (Bergson, 1907/1998; Whitehead, 1929/1978; Bennett, 2010; Ingold, 2013; Luck, 2025). On this basis it has offered a two-part framework: paired orientations that state a direction of movement in design's temporal value structure, and six dimensions — rate, directionality, reversibility, scale, distribution of agency and terminus — through which temporal intent can be specified, assessed and contested. Boundary conditions have been stated explicitly, and they are substantial: in safety-critical, containment, infrastructural and cultural-transmission contexts, permanence remains the correct value.</w:t>
      </w:r>
    </w:p>
    <w:p>
      <w:pPr>
        <w:jc w:val="both"/>
      </w:pPr>
      <w:r>
        <w:t xml:space="preserve">The aim is therefore not to replace permanence with impermanence but to broaden the temporal imagination of design, and to require that temporal choices be argued rather than inherited. Such a framework allows design theory to ask not only how objects can endure, but how materials can transform meaningfully, participate in ecological cycles, and remain open to processes of becoming. Biodesign thus offers not only new materials and fabrication strategies, but an occasion to reconsider what it means for something to be designed </w:t>
      </w:r>
      <w:r>
        <w:rPr>
          <w:i/>
        </w:rPr>
        <w:t>in time</w:t>
      </w:r>
      <w:r>
        <w:t>.</w:t>
      </w:r>
    </w:p>
    <w:p>
      <w:pPr>
        <w:pStyle w:val="Heading1"/>
      </w:pPr>
      <w:r>
        <w:t>References</w:t>
      </w:r>
    </w:p>
    <w:p>
      <w:pPr>
        <w:spacing w:after="160" w:line="240" w:lineRule="auto"/>
        <w:ind w:left="720" w:hanging="720"/>
      </w:pPr>
      <w:r>
        <w:t xml:space="preserve">Adam, B. (1998). </w:t>
      </w:r>
      <w:r>
        <w:rPr>
          <w:i/>
        </w:rPr>
        <w:t>Timescapes of modernity: The environment and invisible hazards</w:t>
      </w:r>
      <w:r>
        <w:t>. Routledge.</w:t>
      </w:r>
    </w:p>
    <w:p>
      <w:pPr>
        <w:spacing w:after="160" w:line="240" w:lineRule="auto"/>
        <w:ind w:left="720" w:hanging="720"/>
      </w:pPr>
      <w:r>
        <w:t xml:space="preserve">Barad, K. (2007). </w:t>
      </w:r>
      <w:r>
        <w:rPr>
          <w:i/>
        </w:rPr>
        <w:t>Meeting the universe halfway: Quantum physics and the entanglement of matter and meaning</w:t>
      </w:r>
      <w:r>
        <w:t>. Duke University Press.</w:t>
      </w:r>
    </w:p>
    <w:p>
      <w:pPr>
        <w:spacing w:after="160" w:line="240" w:lineRule="auto"/>
        <w:ind w:left="720" w:hanging="720"/>
      </w:pPr>
      <w:r>
        <w:t xml:space="preserve">Bauman, Z. (2000). </w:t>
      </w:r>
      <w:r>
        <w:rPr>
          <w:i/>
        </w:rPr>
        <w:t>Liquid modernity</w:t>
      </w:r>
      <w:r>
        <w:t>. Polity Press.</w:t>
      </w:r>
    </w:p>
    <w:p>
      <w:pPr>
        <w:spacing w:after="160" w:line="240" w:lineRule="auto"/>
        <w:ind w:left="720" w:hanging="720"/>
      </w:pPr>
      <w:r>
        <w:t xml:space="preserve">Bennett, J. (2010). </w:t>
      </w:r>
      <w:r>
        <w:rPr>
          <w:i/>
        </w:rPr>
        <w:t>Vibrant matter: A political ecology of things</w:t>
      </w:r>
      <w:r>
        <w:t>. Duke University Press.</w:t>
      </w:r>
    </w:p>
    <w:p>
      <w:pPr>
        <w:spacing w:after="160" w:line="240" w:lineRule="auto"/>
        <w:ind w:left="720" w:hanging="720"/>
      </w:pPr>
      <w:r>
        <w:t xml:space="preserve">Bergson, H. (1998). </w:t>
      </w:r>
      <w:r>
        <w:rPr>
          <w:i/>
        </w:rPr>
        <w:t>Creative evolution</w:t>
      </w:r>
      <w:r>
        <w:t xml:space="preserve"> (A. Mitchell, Trans.). Dover. (Original work published 1907)</w:t>
      </w:r>
    </w:p>
    <w:p>
      <w:pPr>
        <w:spacing w:after="160" w:line="240" w:lineRule="auto"/>
        <w:ind w:left="720" w:hanging="720"/>
      </w:pPr>
      <w:r>
        <w:t xml:space="preserve">Bocken, N. M. P., de Pauw, I., Bakker, C., &amp; van der Grinten, B. (2016). Product design and business model strategies for a circular economy. </w:t>
      </w:r>
      <w:r>
        <w:rPr>
          <w:i/>
        </w:rPr>
        <w:t>Journal of Industrial and Production Engineering, 33</w:t>
      </w:r>
      <w:r>
        <w:t>(5), 308–320. https://doi.org/10.1080/21681015.2016.1172124</w:t>
      </w:r>
    </w:p>
    <w:p>
      <w:pPr>
        <w:spacing w:after="160" w:line="240" w:lineRule="auto"/>
        <w:ind w:left="720" w:hanging="720"/>
      </w:pPr>
      <w:r>
        <w:t xml:space="preserve">Brand, S. (1994). </w:t>
      </w:r>
      <w:r>
        <w:rPr>
          <w:i/>
        </w:rPr>
        <w:t>How buildings learn: What happens after they're built</w:t>
      </w:r>
      <w:r>
        <w:t>. Viking.</w:t>
      </w:r>
    </w:p>
    <w:p>
      <w:pPr>
        <w:spacing w:after="160" w:line="240" w:lineRule="auto"/>
        <w:ind w:left="720" w:hanging="720"/>
      </w:pPr>
      <w:r>
        <w:t xml:space="preserve">Camere, S., &amp; Karana, E. (2018). Fabricating materials from living organisms: An emerging design practice. </w:t>
      </w:r>
      <w:r>
        <w:rPr>
          <w:i/>
        </w:rPr>
        <w:t>Journal of Cleaner Production, 186</w:t>
      </w:r>
      <w:r>
        <w:t>, 570–584. https://doi.org/10.1016/j.jclepro.2018.03.081</w:t>
      </w:r>
    </w:p>
    <w:p>
      <w:pPr>
        <w:spacing w:after="160" w:line="240" w:lineRule="auto"/>
        <w:ind w:left="720" w:hanging="720"/>
      </w:pPr>
      <w:r>
        <w:t xml:space="preserve">Chapman, J. (2015). </w:t>
      </w:r>
      <w:r>
        <w:rPr>
          <w:i/>
        </w:rPr>
        <w:t>Emotionally durable design: Objects, experiences and empathy</w:t>
      </w:r>
      <w:r>
        <w:t xml:space="preserve"> (2nd ed.). Routledge.</w:t>
      </w:r>
    </w:p>
    <w:p>
      <w:pPr>
        <w:spacing w:after="160" w:line="240" w:lineRule="auto"/>
        <w:ind w:left="720" w:hanging="720"/>
      </w:pPr>
      <w:r>
        <w:t xml:space="preserve">Collet, C. (2013). </w:t>
      </w:r>
      <w:r>
        <w:rPr>
          <w:i/>
        </w:rPr>
        <w:t>Alive: New design frontiers</w:t>
      </w:r>
      <w:r>
        <w:t xml:space="preserve"> [Exhibition catalogue]. Fondation EDF; Central Saint Martins, University of the Arts London.</w:t>
      </w:r>
    </w:p>
    <w:p>
      <w:pPr>
        <w:spacing w:after="160" w:line="240" w:lineRule="auto"/>
        <w:ind w:left="720" w:hanging="720"/>
      </w:pPr>
      <w:r>
        <w:t xml:space="preserve">Collet, C. (2021). Designing our future bio-materiality. </w:t>
      </w:r>
      <w:r>
        <w:rPr>
          <w:i/>
        </w:rPr>
        <w:t>AI &amp; Society, 36</w:t>
      </w:r>
      <w:r>
        <w:t>(4), 1331–1342. https://doi.org/10.1007/s00146-020-01013-y</w:t>
      </w:r>
    </w:p>
    <w:p>
      <w:pPr>
        <w:spacing w:after="160" w:line="240" w:lineRule="auto"/>
        <w:ind w:left="720" w:hanging="720"/>
      </w:pPr>
      <w:r>
        <w:t xml:space="preserve">Cooper, T. (Ed.). (2010). </w:t>
      </w:r>
      <w:r>
        <w:rPr>
          <w:i/>
        </w:rPr>
        <w:t>Longer lasting products: Alternatives to the throwaway society</w:t>
      </w:r>
      <w:r>
        <w:t>. Gower.</w:t>
      </w:r>
    </w:p>
    <w:p>
      <w:pPr>
        <w:spacing w:after="160" w:line="240" w:lineRule="auto"/>
        <w:ind w:left="720" w:hanging="720"/>
      </w:pPr>
      <w:r>
        <w:t xml:space="preserve">Cruz, M., &amp; Beckett, R. (2016). Bioreceptive design: A novel approach to biodigital materiality. </w:t>
      </w:r>
      <w:r>
        <w:rPr>
          <w:i/>
        </w:rPr>
        <w:t>Architectural Research Quarterly, 20</w:t>
      </w:r>
      <w:r>
        <w:t>(1), 51–64. https://doi.org/10.1017/S1359135516000130</w:t>
      </w:r>
    </w:p>
    <w:p>
      <w:pPr>
        <w:spacing w:after="160" w:line="240" w:lineRule="auto"/>
        <w:ind w:left="720" w:hanging="720"/>
      </w:pPr>
      <w:r>
        <w:t xml:space="preserve">DeSilvey, C. (2017). </w:t>
      </w:r>
      <w:r>
        <w:rPr>
          <w:i/>
        </w:rPr>
        <w:t>Curated decay: Heritage beyond saving</w:t>
      </w:r>
      <w:r>
        <w:t>. University of Minnesota Press.</w:t>
      </w:r>
    </w:p>
    <w:p>
      <w:pPr>
        <w:spacing w:after="160" w:line="240" w:lineRule="auto"/>
        <w:ind w:left="720" w:hanging="720"/>
      </w:pPr>
      <w:r>
        <w:t xml:space="preserve">Ertürkan, H., Karana, E., &amp; Mugge, R. (2022). Is this alive? Towards a vocabulary for understanding and communicating living material experiences. In </w:t>
      </w:r>
      <w:r>
        <w:rPr>
          <w:i/>
        </w:rPr>
        <w:t>DRS2022: Bilbao</w:t>
      </w:r>
      <w:r>
        <w:t>. Design Research Society. https://doi.org/10.21606/drs.2022.796</w:t>
      </w:r>
    </w:p>
    <w:p>
      <w:pPr>
        <w:spacing w:after="160" w:line="240" w:lineRule="auto"/>
        <w:ind w:left="720" w:hanging="720"/>
      </w:pPr>
      <w:r>
        <w:t xml:space="preserve">Escobar, A. (2018). </w:t>
      </w:r>
      <w:r>
        <w:rPr>
          <w:i/>
        </w:rPr>
        <w:t>Designs for the pluriverse: Radical interdependence, autonomy, and the making of worlds</w:t>
      </w:r>
      <w:r>
        <w:t>. Duke University Press.</w:t>
      </w:r>
    </w:p>
    <w:p>
      <w:pPr>
        <w:spacing w:after="160" w:line="240" w:lineRule="auto"/>
        <w:ind w:left="720" w:hanging="720"/>
      </w:pPr>
      <w:r>
        <w:t xml:space="preserve">Forty, A. (1986). </w:t>
      </w:r>
      <w:r>
        <w:rPr>
          <w:i/>
        </w:rPr>
        <w:t>Objects of desire: Design and society since 1750</w:t>
      </w:r>
      <w:r>
        <w:t>. Thames &amp; Hudson.</w:t>
      </w:r>
    </w:p>
    <w:p>
      <w:pPr>
        <w:spacing w:after="160" w:line="240" w:lineRule="auto"/>
        <w:ind w:left="720" w:hanging="720"/>
      </w:pPr>
      <w:r>
        <w:t xml:space="preserve">Fry, T. (2009). </w:t>
      </w:r>
      <w:r>
        <w:rPr>
          <w:i/>
        </w:rPr>
        <w:t>Design futuring: Sustainability, ethics and new practice</w:t>
      </w:r>
      <w:r>
        <w:t>. Berg.</w:t>
      </w:r>
    </w:p>
    <w:p>
      <w:pPr>
        <w:spacing w:after="160" w:line="240" w:lineRule="auto"/>
        <w:ind w:left="720" w:hanging="720"/>
      </w:pPr>
      <w:r>
        <w:t xml:space="preserve">Giaccardi, E., &amp; Redström, J. (2020). Technology and more-than-human design. </w:t>
      </w:r>
      <w:r>
        <w:rPr>
          <w:i/>
        </w:rPr>
        <w:t>Design Issues, 36</w:t>
      </w:r>
      <w:r>
        <w:t>(4), 33–44. https://doi.org/10.1162/desi_a_00612</w:t>
      </w:r>
    </w:p>
    <w:p>
      <w:pPr>
        <w:spacing w:after="160" w:line="240" w:lineRule="auto"/>
        <w:ind w:left="720" w:hanging="720"/>
      </w:pPr>
      <w:r>
        <w:t xml:space="preserve">Giddens, A. (1990). </w:t>
      </w:r>
      <w:r>
        <w:rPr>
          <w:i/>
        </w:rPr>
        <w:t>The consequences of modernity</w:t>
      </w:r>
      <w:r>
        <w:t>. Stanford University Press.</w:t>
      </w:r>
    </w:p>
    <w:p>
      <w:pPr>
        <w:spacing w:after="160" w:line="240" w:lineRule="auto"/>
        <w:ind w:left="720" w:hanging="720"/>
      </w:pPr>
      <w:r>
        <w:t xml:space="preserve">Ginsberg, A. D., &amp; Chieza, N. (2018). Editorial: Other biological futures. </w:t>
      </w:r>
      <w:r>
        <w:rPr>
          <w:i/>
        </w:rPr>
        <w:t>Journal of Design and Science</w:t>
      </w:r>
      <w:r>
        <w:t>, (4). https://doi.org/10.21428/566868b5</w:t>
      </w:r>
    </w:p>
    <w:p>
      <w:pPr>
        <w:spacing w:after="160" w:line="240" w:lineRule="auto"/>
        <w:ind w:left="720" w:hanging="720"/>
      </w:pPr>
      <w:r>
        <w:t xml:space="preserve">Hallnäs, L., &amp; Redström, J. (2001). Slow technology — Designing for reflection. </w:t>
      </w:r>
      <w:r>
        <w:rPr>
          <w:i/>
        </w:rPr>
        <w:t>Personal and Ubiquitous Computing, 5</w:t>
      </w:r>
      <w:r>
        <w:t>(3), 201–212. https://doi.org/10.1007/PL00000019</w:t>
      </w:r>
    </w:p>
    <w:p>
      <w:pPr>
        <w:spacing w:after="160" w:line="240" w:lineRule="auto"/>
        <w:ind w:left="720" w:hanging="720"/>
      </w:pPr>
      <w:r>
        <w:t xml:space="preserve">Haraway, D. J. (2016). </w:t>
      </w:r>
      <w:r>
        <w:rPr>
          <w:i/>
        </w:rPr>
        <w:t>Staying with the trouble: Making kin in the Chthulucene</w:t>
      </w:r>
      <w:r>
        <w:t>. Duke University Press.</w:t>
      </w:r>
    </w:p>
    <w:p>
      <w:pPr>
        <w:spacing w:after="160" w:line="240" w:lineRule="auto"/>
        <w:ind w:left="720" w:hanging="720"/>
      </w:pPr>
      <w:r>
        <w:t xml:space="preserve">Heidegger, M. (1977). </w:t>
      </w:r>
      <w:r>
        <w:rPr>
          <w:i/>
        </w:rPr>
        <w:t>The question concerning technology and other essays</w:t>
      </w:r>
      <w:r>
        <w:t xml:space="preserve"> (W. Lovitt, Trans.). Harper &amp; Row. (Original work published 1954)</w:t>
      </w:r>
    </w:p>
    <w:p>
      <w:pPr>
        <w:spacing w:after="160" w:line="240" w:lineRule="auto"/>
        <w:ind w:left="720" w:hanging="720"/>
      </w:pPr>
      <w:r>
        <w:t xml:space="preserve">Ingold, T. (2007). Materials against materiality. </w:t>
      </w:r>
      <w:r>
        <w:rPr>
          <w:i/>
        </w:rPr>
        <w:t>Archaeological Dialogues, 14</w:t>
      </w:r>
      <w:r>
        <w:t>(1), 1–16. https://doi.org/10.1017/S1380203807002127</w:t>
      </w:r>
    </w:p>
    <w:p>
      <w:pPr>
        <w:spacing w:after="160" w:line="240" w:lineRule="auto"/>
        <w:ind w:left="720" w:hanging="720"/>
      </w:pPr>
      <w:r>
        <w:t xml:space="preserve">Ingold, T. (2013). </w:t>
      </w:r>
      <w:r>
        <w:rPr>
          <w:i/>
        </w:rPr>
        <w:t>Making: Anthropology, archaeology, art and architecture</w:t>
      </w:r>
      <w:r>
        <w:t>. Routledge.</w:t>
      </w:r>
    </w:p>
    <w:p>
      <w:pPr>
        <w:spacing w:after="160" w:line="240" w:lineRule="auto"/>
        <w:ind w:left="720" w:hanging="720"/>
      </w:pPr>
      <w:r>
        <w:t xml:space="preserve">Jaakkola, E. (2020). Designing conceptual articles: Four approaches. </w:t>
      </w:r>
      <w:r>
        <w:rPr>
          <w:i/>
        </w:rPr>
        <w:t>AMS Review, 10</w:t>
      </w:r>
      <w:r>
        <w:t>(1–2), 18–26. https://doi.org/10.1007/s13162-020-00161-0</w:t>
      </w:r>
    </w:p>
    <w:p>
      <w:pPr>
        <w:spacing w:after="160" w:line="240" w:lineRule="auto"/>
        <w:ind w:left="720" w:hanging="720"/>
      </w:pPr>
      <w:r>
        <w:t xml:space="preserve">Jones, M., Mautner, A., Luenco, S., Bismarck, A., &amp; John, S. (2020). Engineered mycelium composite construction materials from fungal biorefineries: A critical review. </w:t>
      </w:r>
      <w:r>
        <w:rPr>
          <w:i/>
        </w:rPr>
        <w:t>Materials &amp; Design, 187</w:t>
      </w:r>
      <w:r>
        <w:t>, 108397. https://doi.org/10.1016/j.matdes.2019.108397</w:t>
      </w:r>
    </w:p>
    <w:p>
      <w:pPr>
        <w:spacing w:after="160" w:line="240" w:lineRule="auto"/>
        <w:ind w:left="720" w:hanging="720"/>
      </w:pPr>
      <w:r>
        <w:t xml:space="preserve">Karana, E., Barati, B., &amp; Giaccardi, E. (2020). Living artefacts: Conceptualizing livingness as a material quality in everyday artefacts. </w:t>
      </w:r>
      <w:r>
        <w:rPr>
          <w:i/>
        </w:rPr>
        <w:t>International Journal of Design, 14</w:t>
      </w:r>
      <w:r>
        <w:t>(3), 37–53.</w:t>
      </w:r>
    </w:p>
    <w:p>
      <w:pPr>
        <w:spacing w:after="160" w:line="240" w:lineRule="auto"/>
        <w:ind w:left="720" w:hanging="720"/>
      </w:pPr>
      <w:r>
        <w:t xml:space="preserve">Karana, E., Barati, B., Rognoli, V., &amp; Zeeuw van der Laan, A. (2015). Material driven design (MDD): A method to design for material experiences. </w:t>
      </w:r>
      <w:r>
        <w:rPr>
          <w:i/>
        </w:rPr>
        <w:t>International Journal of Design, 9</w:t>
      </w:r>
      <w:r>
        <w:t>(2), 35–54.</w:t>
      </w:r>
    </w:p>
    <w:p>
      <w:pPr>
        <w:spacing w:after="160" w:line="240" w:lineRule="auto"/>
        <w:ind w:left="720" w:hanging="720"/>
      </w:pPr>
      <w:r>
        <w:t xml:space="preserve">Karana, E., Blauwhoff, D., Hultink, E.-J., &amp; Camere, S. (2018). When the material grows: A case study on designing (with) mycelium-based materials. </w:t>
      </w:r>
      <w:r>
        <w:rPr>
          <w:i/>
        </w:rPr>
        <w:t>International Journal of Design, 12</w:t>
      </w:r>
      <w:r>
        <w:t>(2), 119–136.</w:t>
      </w:r>
    </w:p>
    <w:p>
      <w:pPr>
        <w:spacing w:after="160" w:line="240" w:lineRule="auto"/>
        <w:ind w:left="720" w:hanging="720"/>
      </w:pPr>
      <w:r>
        <w:t xml:space="preserve">Koren, L. (1994). </w:t>
      </w:r>
      <w:r>
        <w:rPr>
          <w:i/>
        </w:rPr>
        <w:t>Wabi-sabi for artists, designers, poets &amp; philosophers</w:t>
      </w:r>
      <w:r>
        <w:t>. Stone Bridge Press.</w:t>
      </w:r>
    </w:p>
    <w:p>
      <w:pPr>
        <w:spacing w:after="160" w:line="240" w:lineRule="auto"/>
        <w:ind w:left="720" w:hanging="720"/>
      </w:pPr>
      <w:r>
        <w:t xml:space="preserve">Latour, B. (1993). </w:t>
      </w:r>
      <w:r>
        <w:rPr>
          <w:i/>
        </w:rPr>
        <w:t>We have never been modern</w:t>
      </w:r>
      <w:r>
        <w:t xml:space="preserve"> (C. Porter, Trans.). Harvard University Press.</w:t>
      </w:r>
    </w:p>
    <w:p>
      <w:pPr>
        <w:spacing w:after="160" w:line="240" w:lineRule="auto"/>
        <w:ind w:left="720" w:hanging="720"/>
      </w:pPr>
      <w:r>
        <w:t xml:space="preserve">Luck, R. (2025). From practices to matter: Social science and new materialist reorientation of ways of knowing, being and becoming-with in design research. </w:t>
      </w:r>
      <w:r>
        <w:rPr>
          <w:i/>
        </w:rPr>
        <w:t>Designing, 1</w:t>
      </w:r>
      <w:r>
        <w:t>(1), 18–23. https://doi.org/10.1177/30497671251400138</w:t>
      </w:r>
    </w:p>
    <w:p>
      <w:pPr>
        <w:spacing w:after="160" w:line="240" w:lineRule="auto"/>
        <w:ind w:left="720" w:hanging="720"/>
      </w:pPr>
      <w:r>
        <w:t xml:space="preserve">Lynch, K. (1972). </w:t>
      </w:r>
      <w:r>
        <w:rPr>
          <w:i/>
        </w:rPr>
        <w:t>What time is this place?</w:t>
      </w:r>
      <w:r>
        <w:t xml:space="preserve"> MIT Press.</w:t>
      </w:r>
    </w:p>
    <w:p>
      <w:pPr>
        <w:spacing w:after="160" w:line="240" w:lineRule="auto"/>
        <w:ind w:left="720" w:hanging="720"/>
      </w:pPr>
      <w:r>
        <w:t xml:space="preserve">McDonough, W., &amp; Braungart, M. (2002). </w:t>
      </w:r>
      <w:r>
        <w:rPr>
          <w:i/>
        </w:rPr>
        <w:t>Cradle to cradle: Remaking the way we make things</w:t>
      </w:r>
      <w:r>
        <w:t>. North Point Press.</w:t>
      </w:r>
    </w:p>
    <w:p>
      <w:pPr>
        <w:spacing w:after="160" w:line="240" w:lineRule="auto"/>
        <w:ind w:left="720" w:hanging="720"/>
      </w:pPr>
      <w:r>
        <w:t xml:space="preserve">Morton, T. (2013). </w:t>
      </w:r>
      <w:r>
        <w:rPr>
          <w:i/>
        </w:rPr>
        <w:t>Hyperobjects: Philosophy and ecology after the end of the world</w:t>
      </w:r>
      <w:r>
        <w:t>. University of Minnesota Press.</w:t>
      </w:r>
    </w:p>
    <w:p>
      <w:pPr>
        <w:spacing w:after="160" w:line="240" w:lineRule="auto"/>
        <w:ind w:left="720" w:hanging="720"/>
      </w:pPr>
      <w:r>
        <w:t xml:space="preserve">Mostafavi, M., &amp; Leatherbarrow, D. (1993). </w:t>
      </w:r>
      <w:r>
        <w:rPr>
          <w:i/>
        </w:rPr>
        <w:t>On weathering: The life of buildings in time</w:t>
      </w:r>
      <w:r>
        <w:t>. MIT Press.</w:t>
      </w:r>
    </w:p>
    <w:p>
      <w:pPr>
        <w:spacing w:after="160" w:line="240" w:lineRule="auto"/>
        <w:ind w:left="720" w:hanging="720"/>
      </w:pPr>
      <w:r>
        <w:t xml:space="preserve">Myers, W. (2018). </w:t>
      </w:r>
      <w:r>
        <w:rPr>
          <w:i/>
        </w:rPr>
        <w:t>Bio design: Nature, science, creativity</w:t>
      </w:r>
      <w:r>
        <w:t xml:space="preserve"> (2nd ed.). Museum of Modern Art; Thames &amp; Hudson. (Original work published 2012)</w:t>
      </w:r>
    </w:p>
    <w:p>
      <w:pPr>
        <w:spacing w:after="160" w:line="240" w:lineRule="auto"/>
        <w:ind w:left="720" w:hanging="720"/>
      </w:pPr>
      <w:r>
        <w:t xml:space="preserve">Papanek, V. (1971). </w:t>
      </w:r>
      <w:r>
        <w:rPr>
          <w:i/>
        </w:rPr>
        <w:t>Design for the real world: Human ecology and social change</w:t>
      </w:r>
      <w:r>
        <w:t>. Pantheon Books.</w:t>
      </w:r>
    </w:p>
    <w:p>
      <w:pPr>
        <w:spacing w:after="160" w:line="240" w:lineRule="auto"/>
        <w:ind w:left="720" w:hanging="720"/>
      </w:pPr>
      <w:r>
        <w:t xml:space="preserve">Pschetz, L., &amp; Bastian, M. (2018). Temporal design: Rethinking time in design. </w:t>
      </w:r>
      <w:r>
        <w:rPr>
          <w:i/>
        </w:rPr>
        <w:t>Design Studies, 56</w:t>
      </w:r>
      <w:r>
        <w:t>, 169–184. https://doi.org/10.1016/j.destud.2017.10.007</w:t>
      </w:r>
    </w:p>
    <w:p>
      <w:pPr>
        <w:spacing w:after="160" w:line="240" w:lineRule="auto"/>
        <w:ind w:left="720" w:hanging="720"/>
      </w:pPr>
      <w:r>
        <w:t xml:space="preserve">Pschetz, L., Gebker, M., Wieland, S., &amp; Bastian, M. (2024). Designing temporal ecologies: Reframing multispecies temporalities through design. In </w:t>
      </w:r>
      <w:r>
        <w:rPr>
          <w:i/>
        </w:rPr>
        <w:t>DRS2024: Boston</w:t>
      </w:r>
      <w:r>
        <w:t>. Design Research Society. https://doi.org/10.21606/drs.2024.1068</w:t>
      </w:r>
    </w:p>
    <w:p>
      <w:pPr>
        <w:spacing w:after="160" w:line="240" w:lineRule="auto"/>
        <w:ind w:left="720" w:hanging="720"/>
      </w:pPr>
      <w:r>
        <w:t xml:space="preserve">Puig de la Bellacasa, M. (2017). </w:t>
      </w:r>
      <w:r>
        <w:rPr>
          <w:i/>
        </w:rPr>
        <w:t>Matters of care: Speculative ethics in more than human worlds</w:t>
      </w:r>
      <w:r>
        <w:t>. University of Minnesota Press.</w:t>
      </w:r>
    </w:p>
    <w:p>
      <w:pPr>
        <w:spacing w:after="160" w:line="240" w:lineRule="auto"/>
        <w:ind w:left="720" w:hanging="720"/>
      </w:pPr>
      <w:r>
        <w:t xml:space="preserve">Rognoli, V., Bianchini, M., Maffei, S., &amp; Karana, E. (2015). DIY materials. </w:t>
      </w:r>
      <w:r>
        <w:rPr>
          <w:i/>
        </w:rPr>
        <w:t>Materials &amp; Design, 86</w:t>
      </w:r>
      <w:r>
        <w:t>, 692–702. https://doi.org/10.1016/j.matdes.2015.07.020</w:t>
      </w:r>
    </w:p>
    <w:p>
      <w:pPr>
        <w:spacing w:after="160" w:line="240" w:lineRule="auto"/>
        <w:ind w:left="720" w:hanging="720"/>
      </w:pPr>
      <w:r>
        <w:t xml:space="preserve">Snyder, H. (2019). Literature review as a research methodology: An overview and guidelines. </w:t>
      </w:r>
      <w:r>
        <w:rPr>
          <w:i/>
        </w:rPr>
        <w:t>Journal of Business Research, 104</w:t>
      </w:r>
      <w:r>
        <w:t>, 333–339. https://doi.org/10.1016/j.jbusres.2019.07.039</w:t>
      </w:r>
    </w:p>
    <w:p>
      <w:pPr>
        <w:spacing w:after="160" w:line="240" w:lineRule="auto"/>
        <w:ind w:left="720" w:hanging="720"/>
      </w:pPr>
      <w:r>
        <w:t xml:space="preserve">Tsing, A. L. (2015). </w:t>
      </w:r>
      <w:r>
        <w:rPr>
          <w:i/>
        </w:rPr>
        <w:t>The mushroom at the end of the world: On the possibility of life in capitalist ruins</w:t>
      </w:r>
      <w:r>
        <w:t>. Princeton University Press.</w:t>
      </w:r>
    </w:p>
    <w:p>
      <w:pPr>
        <w:spacing w:after="160" w:line="240" w:lineRule="auto"/>
        <w:ind w:left="720" w:hanging="720"/>
      </w:pPr>
      <w:r>
        <w:t xml:space="preserve">Wakkary, R. (2021). </w:t>
      </w:r>
      <w:r>
        <w:rPr>
          <w:i/>
        </w:rPr>
        <w:t>Things we could design: For more than human-centered worlds</w:t>
      </w:r>
      <w:r>
        <w:t>. MIT Press.</w:t>
      </w:r>
    </w:p>
    <w:p>
      <w:pPr>
        <w:spacing w:after="160" w:line="240" w:lineRule="auto"/>
        <w:ind w:left="720" w:hanging="720"/>
      </w:pPr>
      <w:r>
        <w:t xml:space="preserve">Whitehead, A. N. (1978). </w:t>
      </w:r>
      <w:r>
        <w:rPr>
          <w:i/>
        </w:rPr>
        <w:t>Process and reality: An essay in cosmology</w:t>
      </w:r>
      <w:r>
        <w:t xml:space="preserve"> (D. R. Griffin &amp; D. W. Sherburne, Eds.; Corrected ed.). Free Press. (Original work published 1929)</w:t>
      </w:r>
    </w:p>
    <w:p>
      <w:pPr>
        <w:spacing w:after="160" w:line="240" w:lineRule="auto"/>
        <w:ind w:left="720" w:hanging="720"/>
      </w:pPr>
      <w:r>
        <w:t xml:space="preserve">Zhu, J., &amp; Wang, C. (2020). Biodegradable plastics: Green hope or greenwashing? </w:t>
      </w:r>
      <w:r>
        <w:rPr>
          <w:i/>
        </w:rPr>
        <w:t>Marine Pollution Bulletin, 161</w:t>
      </w:r>
      <w:r>
        <w:t>(Part B), 111774. https://doi.org/10.1016/j.marpolbul.2020.111774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