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BEYOND PERMANENCE: RETHINKING TEMPORALITY AS A DESIGN VALUE THROUGH BIODESIGN</w:t>
      </w:r>
    </w:p>
    <w:p>
      <w:pPr>
        <w:jc w:val="center"/>
      </w:pPr>
      <w:r>
        <w:rPr>
          <w:i/>
          <w:sz w:val="22"/>
        </w:rPr>
        <w:t>Working Academic Manuscript – Revised and Expanded</w:t>
      </w:r>
    </w:p>
    <w:p>
      <w:pPr>
        <w:pStyle w:val="Heading1"/>
      </w:pPr>
      <w:r>
        <w:t>Abstract</w:t>
      </w:r>
    </w:p>
    <w:p>
      <w:r>
        <w:t>Design has historically privileged permanence, durability, stability, and control as indicators of successful design. This orientation is closely related to modernity’s broader ambition to render material and social environments predictable, orderly, and controllable (Giddens, 1990; Bauman, 2000; Forty, 1986). Contemporary ecological crises, however, expose important limitations in treating material persistence as an unquestioned design virtue. This article examines how biodesign can challenge the permanence paradigm by bringing processes of growth, transformation, decay, regeneration, and material agency into the field of design. Rather than approaching biodesign solely as a strategy for developing sustainable materials, the article considers it as a theoretical lens through which the temporal and ontological foundations of design can be reconsidered. A conceptual and critical literature review is employed, bringing together design theory, biodesign research, phenomenology, posthumanism, and new materialist perspectives. The discussion proposes that impermanence should not be understood only as material failure or reduced durability, but also as an ontological condition of becoming and a potential design value. The article therefore develops a conceptual shift from permanence toward temporality, from product toward process, and from control toward co-existence. It concludes by proposing a preliminary framework through which transformation, adaptability, regeneration, material agency, and cyclical lifecycles can be considered alongside, rather than simply against, durability and permanence.</w:t>
      </w:r>
    </w:p>
    <w:p>
      <w:r>
        <w:t>Keywords: biodesign; temporality; impermanence; permanence; material agency; becoming; design theory; new materialism</w:t>
      </w:r>
    </w:p>
    <w:p>
      <w:pPr>
        <w:pStyle w:val="Heading1"/>
      </w:pPr>
      <w:r>
        <w:t>1. Introduction</w:t>
      </w:r>
    </w:p>
    <w:p>
      <w:r>
        <w:t>Throughout its historical development, design has been closely associated with durability, stability, and the capacity to control material conditions. With the expansion of industrial production, the longevity and consistent performance of designed objects became important indicators of technical adequacy, reliability, and value. Within this framework, the designed object is commonly understood as a form that should retain its intended function and identity over time (Forty, 1986; Papanek, 1971). The preference for durable objects is therefore not simply a technical matter; it is also embedded in a broader cultural understanding of design as a means of producing stable and predictable conditions.</w:t>
      </w:r>
    </w:p>
    <w:p>
      <w:r>
        <w:t>This orientation can be situated within the wider intellectual conditions of modernity. Modernity has been characterized by efforts to make social and material environments increasingly knowable, calculable, and governable (Giddens, 1990). Bauman (2000) similarly describes modernity through its persistent concern with ordering conditions that are experienced as uncertain or unstable. In design, this orientation becomes visible through the emphasis placed on standardization, repeatability, reliability, and durability. Design does not merely respond to a stable world; it also participates in producing stability as a desirable condition.</w:t>
      </w:r>
    </w:p>
    <w:p>
      <w:r>
        <w:t>The ecological crises of the twenty-first century have made this value system increasingly difficult to sustain without qualification. Climate change, biodiversity loss, resource depletion, and the accumulation of persistent materials have demonstrated that material longevity does not automatically correspond to ecological responsibility (Fry, 2009; Escobar, 2018). A product that lasts longer may reduce replacement and consumption in some circumstances, yet materials designed to resist degradation can also persist beyond their useful life and become ecological burdens. The relationship between durability and sustainability is therefore more complex than a simple equation between longer lifespan and better design.</w:t>
      </w:r>
    </w:p>
    <w:p>
      <w:r>
        <w:t>At the same time, biodesign has introduced forms of design practice in which biological organisms and processes participate directly in material development and making. Biodesign research has explored bacteria, algae, fungi, plants, and other living systems as sources of materiality and as active participants in design processes (Myers, 2012; Collet, 2018; Camere &amp; Karana, 2018). Karana, Barati, and Giaccardi (2020) further argue that the notion of livingness can extend beyond the biological source of a material toward the experience and use of artefacts that grow, adapt, respond, and eventually transform.</w:t>
      </w:r>
    </w:p>
    <w:p>
      <w:r>
        <w:t>The significance of biodesign therefore extends beyond the development of alternative materials. It can also challenge the assumption that the designed object should be understood primarily as a finished and stable entity. When growth, adaptation, transformation, and decay become relevant to the material process, the temporal dimension of design becomes difficult to treat as merely external to the object. Recent design research on living materials has explicitly identified temporality as one of the dimensions through which living material experiences can be understood (Ertürkan, Karana, &amp; Mugge, 2022).</w:t>
      </w:r>
    </w:p>
    <w:p>
      <w:r>
        <w:t>This situation raises a theoretical question: if transformation is intrinsic to material and biological processes, should permanence continue to function as a universal measure of design success? The question is not whether durable design should be abandoned. Rather, it is whether design theory can accommodate other temporal conditions as legitimate forms of value. The present article addresses this question by examining permanence as a historically situated design paradigm and by considering biodesign as a field through which temporality and impermanence can be reconceptualized.</w:t>
      </w:r>
    </w:p>
    <w:p>
      <w:r>
        <w:t>The study asks: How does biodesign challenge the paradigm of permanence that has long influenced design, and how can temporality be reconsidered as a legitimate design value? Three sub-questions guide the discussion: (1) How did permanence become associated with successful design? (2) In what ways does biodesign challenge this value system? and (3) How can impermanence and temporality be conceptualized within design theory?</w:t>
      </w:r>
    </w:p>
    <w:p>
      <w:r>
        <w:t>The article adopts a conceptual and critical literature review. Literature concerning design history and theory, biodesign, material experience, phenomenology, posthumanism, and new materialism is read comparatively in order to develop a conceptual argument. The contribution of the article is not a claim that impermanence should replace durability in all design contexts. Instead, it proposes an expanded temporal value system in which transformation, adaptability, regeneration, material agency, and becoming can be considered alongside permanence where appropriate.</w:t>
      </w:r>
    </w:p>
    <w:p>
      <w:pPr>
        <w:pStyle w:val="Heading1"/>
      </w:pPr>
      <w:r>
        <w:t>2. The Permanence Paradigm in Design</w:t>
      </w:r>
    </w:p>
    <w:p>
      <w:pPr>
        <w:pStyle w:val="Heading2"/>
      </w:pPr>
      <w:r>
        <w:t>2.1. Modernity and the Ideal of Permanence</w:t>
      </w:r>
    </w:p>
    <w:p>
      <w:r>
        <w:t>The predominance of permanence as a design value is neither natural nor universal. It is historically related to cultural and technological conditions that have privileged stability, predictability, order, and control (Giddens, 1990; Bauman, 2000). Within such a framework, uncertainty is frequently positioned as a condition to be reduced, while stability is treated as a desirable outcome. Design consequently becomes more than the production of objects: it becomes a material practice through which expectations of continuity and order are made tangible.</w:t>
      </w:r>
    </w:p>
    <w:p>
      <w:r>
        <w:t>Heidegger’s (1977) critique of modern technology provides a philosophical perspective on this relationship. His concept of enframing describes a mode of revealing through which entities are encountered primarily in terms of availability and utility. Nature is thereby approached as something that can be ordered, extracted, stored, and made available for use. While Heidegger does not formulate a theory of design permanence, his analysis helps clarify the ontological background against which stability and control become desirable conditions for technological practices.</w:t>
      </w:r>
    </w:p>
    <w:p>
      <w:r>
        <w:t>The industrialization of production reinforced these conditions. Standardized manufacturing required products to maintain consistent characteristics across repeated production and extended periods of use. Design therefore became increasingly associated with reliability, repeatability, and durability. Forty (1986) demonstrates that objects are not neutral technical entities but material expressions of social values. The preference for enduring objects consequently participated in the cultural construction of durability as a sign of quality, progress, and reliability.</w:t>
      </w:r>
    </w:p>
    <w:p>
      <w:pPr>
        <w:pStyle w:val="Heading2"/>
      </w:pPr>
      <w:r>
        <w:t>2.2. Design as Control and Preservation</w:t>
      </w:r>
    </w:p>
    <w:p>
      <w:r>
        <w:t>The association between design and permanence is also connected to the aspiration to reduce uncertainty. Designed objects, systems, and environments are commonly expected to perform according to predetermined specifications. Variation can consequently be interpreted as inefficiency, while material change is frequently treated as a problem requiring maintenance or correction. Durability, reliability, and standardization therefore operate not only as technical criteria but also as mechanisms for stabilizing material conditions (Forty, 1986).</w:t>
      </w:r>
    </w:p>
    <w:p>
      <w:r>
        <w:t>This logic is especially visible in the treatment of material processes such as weathering, corrosion, decomposition, and degradation. When the intended identity of an object depends upon maintaining a predefined state, these processes become signs that the object is moving away from its designed condition. Preservation strategies consequently attempt to delay or prevent transformation through coatings, maintenance, protective technologies, or material selection. The underlying assumption is that successful design should preserve the object's intended identity for as long as possible.</w:t>
      </w:r>
    </w:p>
    <w:p>
      <w:r>
        <w:t>Such a model reinforces an object-centred understanding of design. The design process culminates in a finished product, while subsequent changes are often classified as use, maintenance, repair, deterioration, or disposal rather than as part of design itself. This distinction separates the moment of design from the material processes that continue after production. A process-oriented understanding of materiality challenges precisely this separation.</w:t>
      </w:r>
    </w:p>
    <w:p>
      <w:pPr>
        <w:pStyle w:val="Heading2"/>
      </w:pPr>
      <w:r>
        <w:t>2.3. Durability, Progress, and the Designed Object</w:t>
      </w:r>
    </w:p>
    <w:p>
      <w:r>
        <w:t>Durability has also been an important component of environmental design discourse. Extending product life can reduce the need for replacement and can therefore contribute to lower material and energy demand under particular conditions. Papanek (1971), despite his broader ecological and social critique of design, emphasized responsible production and longer-lasting solutions. The problem emerges when durability becomes detached from the ecological trajectories of the materials being preserved.</w:t>
      </w:r>
    </w:p>
    <w:p>
      <w:r>
        <w:t>Fry (2009) argues that ecological problems must be considered in relation to the consequences of design decisions for future conditions. From this perspective, design does not simply solve present problems; it participates in shaping future possibilities. A permanence-oriented approach can therefore become problematic when it extends the persistence of materials without considering whether that persistence is compatible with ecological regeneration.</w:t>
      </w:r>
    </w:p>
    <w:p>
      <w:pPr>
        <w:pStyle w:val="Heading2"/>
      </w:pPr>
      <w:r>
        <w:t>2.4. Ecological Limits of the Permanence Paradigm</w:t>
      </w:r>
    </w:p>
    <w:p>
      <w:r>
        <w:t>The ecological crisis exposes a central tension within permanence-oriented design. Persistence can be beneficial when it reduces repeated production, but persistence can also become problematic when materials remain in ecological systems long after their functional usefulness has ended. The environmental significance of a material therefore cannot be determined by lifespan alone. It must also be considered in relation to sourcing, production, use, transformation, disposal, and potential reintegration into material cycles (Fry, 2009; Escobar, 2018).</w:t>
      </w:r>
    </w:p>
    <w:p>
      <w:r>
        <w:t>This contradiction suggests that the ecological question is not simply how long an object should last. It is also what kind of temporal relationship the object establishes with material and ecological systems. Latour (1993) critiques the modern separation between nature and society, while Haraway (2016) emphasizes interdependence and the need to move beyond narratives of human mastery. Escobar (2018) similarly proposes relational approaches that challenge modernist assumptions of separation and control. Together, these perspectives provide a basis for considering design as embedded in dynamic relations rather than as an activity performed upon a passive environment.</w:t>
      </w:r>
    </w:p>
    <w:p>
      <w:r>
        <w:t>The limitation of permanence is therefore both ecological and ontological. Ecologically, permanence does not necessarily correspond to regeneration or compatibility with material cycles. Ontologically, permanence assumes that stable identities are the preferred condition of entities that may instead be continuously changing. This creates the conceptual opening through which biodesign can be understood as a challenge to permanence rather than simply as a new category of sustainable material production.</w:t>
      </w:r>
    </w:p>
    <w:p>
      <w:pPr>
        <w:pStyle w:val="Heading1"/>
      </w:pPr>
      <w:r>
        <w:t>3. Biodesign and the Transformation of Permanence</w:t>
      </w:r>
    </w:p>
    <w:p>
      <w:pPr>
        <w:pStyle w:val="Heading2"/>
      </w:pPr>
      <w:r>
        <w:t>3.1. From Designed Objects to Living Processes</w:t>
      </w:r>
    </w:p>
    <w:p>
      <w:r>
        <w:t>Biodesign encompasses practices in which biological knowledge, organisms, and processes become integral to design. Myers (2012) and Collet (2018) document the emergence of practices that bring biology and design into closer interaction, while Camere and Karana (2018) describe the growing practice of fabricating materials from living organisms. These practices include the use of microorganisms, fungi, algae, plants, and other biological systems in the development of materials and artefacts.</w:t>
      </w:r>
    </w:p>
    <w:p>
      <w:r>
        <w:t>An important consequence of this approach is that material formation can become part of the design process rather than merely a preparatory stage preceding fabrication. In growing-design practices, for example, designers work with organisms whose growth and biological behaviour contribute to the emergence of material form (Camere &amp; Karana, 2018). The resulting object is therefore connected to a process that cannot be fully described by its final state.</w:t>
      </w:r>
    </w:p>
    <w:p>
      <w:r>
        <w:t>Karana et al. (2020) extend this argument through the concept of living artefacts. Their framework identifies livingness as biological, ecological, and experiential and considers artefacts whose characteristics can include sensing, growing, adapting, and eventually dying. This perspective is significant for the present argument because it places temporal transformation within the material experience of the designed artefact rather than treating time only as a background variable.</w:t>
      </w:r>
    </w:p>
    <w:p>
      <w:pPr>
        <w:pStyle w:val="Heading2"/>
      </w:pPr>
      <w:r>
        <w:t>3.2. Growth, Decay, Regeneration, and Transformation</w:t>
      </w:r>
    </w:p>
    <w:p>
      <w:r>
        <w:t>Growth, decay, and regeneration challenge the expectation that a designed form should remain identical to its initial condition. In living and bio-based systems, change may be constitutive of the material rather than an external event. Recent research on livingness and biodesign explicitly identifies temporal characteristics among the dimensions through which living material experiences can be described (Ertürkan et al., 2022).</w:t>
      </w:r>
    </w:p>
    <w:p>
      <w:r>
        <w:t>This does not mean that every form of degradation should be interpreted positively. Rather, it means that the design value of a material cannot always be reduced to its resistance to change. Where transformation is anticipated and ecologically meaningful, change may become part of the intended material lifecycle. The relevant design question consequently shifts from 'How can the object resist transformation?' toward 'How can design work with transformation?'</w:t>
      </w:r>
    </w:p>
    <w:p>
      <w:r>
        <w:t>Such a shift also complicates the boundary between use and end-of-life. In a linear product model, production, use, and disposal can be treated as distinct phases. In a cyclical material model, transformation after use may instead be understood as a continuation of material activity. This interpretation is consistent with biodesign approaches that connect material development to broader biological and ecological processes (Camere &amp; Karana, 2018; Karana et al., 2020).</w:t>
      </w:r>
    </w:p>
    <w:p>
      <w:pPr>
        <w:pStyle w:val="Heading2"/>
      </w:pPr>
      <w:r>
        <w:t>3.3. Material Agency and More-than-Human Relations</w:t>
      </w:r>
    </w:p>
    <w:p>
      <w:r>
        <w:t>Biodesign also challenges a purely instrumental understanding of materiality. New materialist perspectives have emphasized that matter should not be treated simply as passive substance subordinated to human intention. Bennett (2010) conceptualizes matter as possessing capacities that participate in assemblages, while Ingold (2013) approaches making as an ongoing correspondence with materials rather than the imposition of form upon inert matter.</w:t>
      </w:r>
    </w:p>
    <w:p>
      <w:r>
        <w:t>This theoretical orientation has become increasingly relevant to design research. Luck (2025) describes the new materialist turn in design research as a shift toward material agency, relationality, process, and becoming. Such approaches do not eliminate human design intention; rather, they complicate the assumption that design outcomes are produced exclusively through human control.</w:t>
      </w:r>
    </w:p>
    <w:p>
      <w:r>
        <w:t>Within biodesign, this is particularly important because biological systems possess behaviours that may be only partially predictable or controllable. Designing with living organisms can therefore involve negotiation with growth conditions, environmental factors, material responses, and biological processes (Camere &amp; Karana, 2018; Karana et al., 2020). Design becomes less a matter of fixing a final state and more a matter of establishing conditions for an unfolding process.</w:t>
      </w:r>
    </w:p>
    <w:p>
      <w:pPr>
        <w:pStyle w:val="Heading2"/>
      </w:pPr>
      <w:r>
        <w:t>3.4. From Product Lifespan to Material Lifecycle</w:t>
      </w:r>
    </w:p>
    <w:p>
      <w:r>
        <w:t>The permanence paradigm tends to evaluate materials through the duration of the finished product. Biodesign makes a different temporal scale visible: the lifecycle of matter. The relevant sequence may include biological growth, fabrication, use, transformation, decomposition, and possible reintegration. Consequently, material value can be considered through relationships between different temporal stages rather than through duration alone.</w:t>
      </w:r>
    </w:p>
    <w:p>
      <w:r>
        <w:t>This distinction is important because a shorter product lifespan does not necessarily imply lower environmental value, just as a longer lifespan does not automatically imply higher value. The environmental implications of a material depend on the wider system in which its transformation occurs. A temporality-oriented design perspective therefore requires attention to the pathways through which matter moves rather than only to the length of time for which a particular form is preserved.</w:t>
      </w:r>
    </w:p>
    <w:p>
      <w:pPr>
        <w:pStyle w:val="Heading2"/>
      </w:pPr>
      <w:r>
        <w:t>3.5. Biodesign as a Temporal Practice</w:t>
      </w:r>
    </w:p>
    <w:p>
      <w:r>
        <w:t>Taken together, these characteristics support the interpretation of biodesign as a temporal practice. Biodesign does not simply introduce new biological sources into an otherwise conventional design process. It can also expose growth, transformation, adaptation, decay, and regeneration as dimensions of material experience and design practice (Karana et al., 2020; Ertürkan et al., 2022).</w:t>
      </w:r>
    </w:p>
    <w:p>
      <w:r>
        <w:t>This temporal orientation creates a conceptual bridge between contemporary biodesign and philosophical accounts of becoming. If materials are understood as processes rather than static entities, then the permanence of a particular form can be interpreted as a temporary stabilization rather than as the fundamental condition of existence. The following section develops this argument through phenomenological and new materialist perspectives.</w:t>
      </w:r>
    </w:p>
    <w:p>
      <w:pPr>
        <w:pStyle w:val="Heading1"/>
      </w:pPr>
      <w:r>
        <w:t>4. Toward Temporality as a Design Value</w:t>
      </w:r>
    </w:p>
    <w:p>
      <w:pPr>
        <w:pStyle w:val="Heading2"/>
      </w:pPr>
      <w:r>
        <w:t>4.1. Impermanence as an Ontological Condition of Becoming</w:t>
      </w:r>
    </w:p>
    <w:p>
      <w:r>
        <w:t>Within dominant design discourse, impermanence is frequently associated with instability, deterioration, fragility, or failure. Design quality has traditionally been evaluated according to a product's ability to maintain its form, function, and performance over time. However, philosophical approaches that emphasize process and becoming challenge the assumption that stability is the natural condition of material existence.</w:t>
      </w:r>
    </w:p>
    <w:p>
      <w:r>
        <w:t>Bergson's (1911) concept of duration provides an important basis for understanding reality as continuous movement rather than as a sequence of isolated states. From this perspective, change is not simply something that happens to an entity; it is constitutive of the entity's existence. A stable state can therefore be understood as a temporary configuration within an ongoing process.</w:t>
      </w:r>
    </w:p>
    <w:p>
      <w:r>
        <w:t>Ingold (2013) similarly critiques object-centred understandings of materiality by emphasizing processes of formation and becoming. Things are encountered through the movements, forces, and materials through which they come into being. Bennett (2010) further challenges the conception of matter as passive by emphasizing the capacities of material assemblages to produce effects beyond deliberate human intention.</w:t>
      </w:r>
    </w:p>
    <w:p>
      <w:r>
        <w:t>From these perspectives, impermanence should not be reduced to disappearance or failure. It can instead be understood as an ontological condition of becoming: a condition in which entities participate continuously in transformation, interaction, and relational exchange. Permanence then becomes a temporary stabilization rather than the universal opposite of change (Bergson, 1911; Bennett, 2010; Ingold, 2013).</w:t>
      </w:r>
    </w:p>
    <w:p>
      <w:pPr>
        <w:pStyle w:val="Heading2"/>
      </w:pPr>
      <w:r>
        <w:t>4.2. Temporality and Material Becoming</w:t>
      </w:r>
    </w:p>
    <w:p>
      <w:r>
        <w:t>If becoming is understood as fundamental to material existence, temporality cannot be treated merely as an external dimension in which design objects happen to exist. Time becomes constitutive of material identity. Materials weather, age, transform, interact with their environments, and acquire different conditions through these processes. New materialist scholarship similarly treats matter as processual rather than as inert substance that simply occupies space (Bennett, 2010; Luck, 2025).</w:t>
      </w:r>
    </w:p>
    <w:p>
      <w:r>
        <w:t>For design theory, this suggests that temporal properties can be considered alongside more established material properties. Strength, flexibility, weight, texture, and durability describe particular capacities, but the capacity to change can also be materially and experientially significant. Research on living materials has begun to articulate precisely such temporal dimensions, including growth, adaptation, transformation, and finitude (Karana et al., 2020; Ertürkan et al., 2022).</w:t>
      </w:r>
    </w:p>
    <w:p>
      <w:pPr>
        <w:pStyle w:val="Heading2"/>
      </w:pPr>
      <w:r>
        <w:t>4.3. From Control to Co-existence</w:t>
      </w:r>
    </w:p>
    <w:p>
      <w:r>
        <w:t>Reconceptualizing temporality also changes the relationship between designer and material. In a control-oriented model, the designer attempts to determine the material's final condition and to maintain that condition. In a process-oriented model, the designer may instead establish conditions within which material behaviour can unfold. Ingold's (2013) account of making as correspondence with materials and Bennett's (2010) account of material agency support this shift from unilateral control toward interaction and emergence.</w:t>
      </w:r>
    </w:p>
    <w:p>
      <w:r>
        <w:t>Biodesign provides a concrete context for this theoretical shift because biological processes can require ongoing care, adjustment, and responsiveness. Karana et al. (2020) emphasize care, symbiosis, cohabitation, and adaptation in relation to living artefacts. The design role consequently becomes less about suppressing change and more about negotiating the conditions under which change can occur.</w:t>
      </w:r>
    </w:p>
    <w:p>
      <w:pPr>
        <w:pStyle w:val="Heading2"/>
      </w:pPr>
      <w:r>
        <w:t>4.4. From Permanence to Regeneration</w:t>
      </w:r>
    </w:p>
    <w:p>
      <w:r>
        <w:t>The alternative to permanence should not be equated with disposability or planned short life. A temporality-oriented design approach is more productively understood through cycles of transformation, renewal, decomposition, and regeneration. Such a perspective shifts attention from the persistence of a single form toward the continuity of material processes.</w:t>
      </w:r>
    </w:p>
    <w:p>
      <w:r>
        <w:t>This distinction is important for ecological design because neither permanence nor impermanence is intrinsically sustainable. Their value depends on how materials are sourced, produced, used, transformed, and reintegrated. The theoretical proposal is therefore not to celebrate short duration, but to recognize temporal plurality as a design condition and to evaluate duration in relation to ecological and social processes (Fry, 2009; Escobar, 2018).</w:t>
      </w:r>
    </w:p>
    <w:p>
      <w:pPr>
        <w:pStyle w:val="Heading2"/>
      </w:pPr>
      <w:r>
        <w:t>4.5. A Preliminary Framework for Temporality as a Design Value</w:t>
      </w:r>
    </w:p>
    <w:p>
      <w:r>
        <w:t>Based on the preceding discussion, temporality can be conceptualized through a set of paired design orientations. These pairs are not intended as mutually exclusive categories. Rather, they describe a movement from a design paradigm centred primarily on stabilization toward one that also recognizes transformation and relational processes.</w:t>
      </w:r>
    </w:p>
    <w:tbl>
      <w:tblPr>
        <w:tblStyle w:val="TableGrid"/>
        <w:tblW w:type="auto" w:w="0"/>
        <w:jc w:val="center"/>
        <w:tblLook w:firstColumn="1" w:firstRow="1" w:lastColumn="0" w:lastRow="0" w:noHBand="0" w:noVBand="1" w:val="04A0"/>
      </w:tblPr>
      <w:tblGrid>
        <w:gridCol w:w="4680"/>
        <w:gridCol w:w="4680"/>
      </w:tblGrid>
      <w:tr>
        <w:tc>
          <w:tcPr>
            <w:tcW w:type="dxa" w:w="4680"/>
          </w:tcPr>
          <w:p>
            <w:r>
              <w:t>Permanence-oriented design value</w:t>
            </w:r>
          </w:p>
        </w:tc>
        <w:tc>
          <w:tcPr>
            <w:tcW w:type="dxa" w:w="4680"/>
          </w:tcPr>
          <w:p>
            <w:r>
              <w:t>Temporality-oriented design value</w:t>
            </w:r>
          </w:p>
        </w:tc>
      </w:tr>
      <w:tr>
        <w:tc>
          <w:tcPr>
            <w:tcW w:type="dxa" w:w="4680"/>
            <w:vAlign w:val="center"/>
          </w:tcPr>
          <w:p>
            <w:r>
              <w:t>Stability</w:t>
            </w:r>
          </w:p>
        </w:tc>
        <w:tc>
          <w:tcPr>
            <w:tcW w:type="dxa" w:w="4680"/>
            <w:vAlign w:val="center"/>
          </w:tcPr>
          <w:p>
            <w:r>
              <w:t>Transformation</w:t>
            </w:r>
          </w:p>
        </w:tc>
      </w:tr>
      <w:tr>
        <w:tc>
          <w:tcPr>
            <w:tcW w:type="dxa" w:w="4680"/>
            <w:vAlign w:val="center"/>
          </w:tcPr>
          <w:p>
            <w:r>
              <w:t>Durability</w:t>
            </w:r>
          </w:p>
        </w:tc>
        <w:tc>
          <w:tcPr>
            <w:tcW w:type="dxa" w:w="4680"/>
            <w:vAlign w:val="center"/>
          </w:tcPr>
          <w:p>
            <w:r>
              <w:t>Adaptability</w:t>
            </w:r>
          </w:p>
        </w:tc>
      </w:tr>
      <w:tr>
        <w:tc>
          <w:tcPr>
            <w:tcW w:type="dxa" w:w="4680"/>
            <w:vAlign w:val="center"/>
          </w:tcPr>
          <w:p>
            <w:r>
              <w:t>Control</w:t>
            </w:r>
          </w:p>
        </w:tc>
        <w:tc>
          <w:tcPr>
            <w:tcW w:type="dxa" w:w="4680"/>
            <w:vAlign w:val="center"/>
          </w:tcPr>
          <w:p>
            <w:r>
              <w:t>Co-existence</w:t>
            </w:r>
          </w:p>
        </w:tc>
      </w:tr>
      <w:tr>
        <w:tc>
          <w:tcPr>
            <w:tcW w:type="dxa" w:w="4680"/>
            <w:vAlign w:val="center"/>
          </w:tcPr>
          <w:p>
            <w:r>
              <w:t>Preservation</w:t>
            </w:r>
          </w:p>
        </w:tc>
        <w:tc>
          <w:tcPr>
            <w:tcW w:type="dxa" w:w="4680"/>
            <w:vAlign w:val="center"/>
          </w:tcPr>
          <w:p>
            <w:r>
              <w:t>Regeneration</w:t>
            </w:r>
          </w:p>
        </w:tc>
      </w:tr>
      <w:tr>
        <w:tc>
          <w:tcPr>
            <w:tcW w:type="dxa" w:w="4680"/>
            <w:vAlign w:val="center"/>
          </w:tcPr>
          <w:p>
            <w:r>
              <w:t>Fixed form</w:t>
            </w:r>
          </w:p>
        </w:tc>
        <w:tc>
          <w:tcPr>
            <w:tcW w:type="dxa" w:w="4680"/>
            <w:vAlign w:val="center"/>
          </w:tcPr>
          <w:p>
            <w:r>
              <w:t>Becoming</w:t>
            </w:r>
          </w:p>
        </w:tc>
      </w:tr>
      <w:tr>
        <w:tc>
          <w:tcPr>
            <w:tcW w:type="dxa" w:w="4680"/>
            <w:vAlign w:val="center"/>
          </w:tcPr>
          <w:p>
            <w:r>
              <w:t>Product</w:t>
            </w:r>
          </w:p>
        </w:tc>
        <w:tc>
          <w:tcPr>
            <w:tcW w:type="dxa" w:w="4680"/>
            <w:vAlign w:val="center"/>
          </w:tcPr>
          <w:p>
            <w:r>
              <w:t>Process</w:t>
            </w:r>
          </w:p>
        </w:tc>
      </w:tr>
      <w:tr>
        <w:tc>
          <w:tcPr>
            <w:tcW w:type="dxa" w:w="4680"/>
            <w:vAlign w:val="center"/>
          </w:tcPr>
          <w:p>
            <w:r>
              <w:t>Material resistance</w:t>
            </w:r>
          </w:p>
        </w:tc>
        <w:tc>
          <w:tcPr>
            <w:tcW w:type="dxa" w:w="4680"/>
            <w:vAlign w:val="center"/>
          </w:tcPr>
          <w:p>
            <w:r>
              <w:t>Material agency</w:t>
            </w:r>
          </w:p>
        </w:tc>
      </w:tr>
      <w:tr>
        <w:tc>
          <w:tcPr>
            <w:tcW w:type="dxa" w:w="4680"/>
            <w:vAlign w:val="center"/>
          </w:tcPr>
          <w:p>
            <w:r>
              <w:t>Linear lifespan</w:t>
            </w:r>
          </w:p>
        </w:tc>
        <w:tc>
          <w:tcPr>
            <w:tcW w:type="dxa" w:w="4680"/>
            <w:vAlign w:val="center"/>
          </w:tcPr>
          <w:p>
            <w:r>
              <w:t>Cyclical lifecycle</w:t>
            </w:r>
          </w:p>
        </w:tc>
      </w:tr>
      <w:tr>
        <w:tc>
          <w:tcPr>
            <w:tcW w:type="dxa" w:w="4680"/>
            <w:vAlign w:val="center"/>
          </w:tcPr>
          <w:p>
            <w:r>
              <w:t>Human control</w:t>
            </w:r>
          </w:p>
        </w:tc>
        <w:tc>
          <w:tcPr>
            <w:tcW w:type="dxa" w:w="4680"/>
            <w:vAlign w:val="center"/>
          </w:tcPr>
          <w:p>
            <w:r>
              <w:t>More-than-human relations</w:t>
            </w:r>
          </w:p>
        </w:tc>
      </w:tr>
    </w:tbl>
    <w:p>
      <w:r>
        <w:t>The framework should be understood as a conceptual proposition rather than as a universal evaluation model. Its purpose is to expand the vocabulary through which design quality can be discussed. Permanence and durability remain meaningful values in many contexts; however, they need not exhaust the temporal qualities through which design can be evaluated.</w:t>
      </w:r>
    </w:p>
    <w:p>
      <w:pPr>
        <w:pStyle w:val="Heading1"/>
      </w:pPr>
      <w:r>
        <w:t>5. Discussion</w:t>
      </w:r>
    </w:p>
    <w:p>
      <w:r>
        <w:t>The proposed shift from permanence toward temporality should not be interpreted as a binary replacement of one value with another. Durability remains necessary where safety, infrastructure, maintenance, cultural continuity, or long-term use require material persistence. The argument is instead that permanence should not automatically function as the universal measure of successful design.</w:t>
      </w:r>
    </w:p>
    <w:p>
      <w:r>
        <w:t>The ecological implications of temporality also require caution. A temporary object is not necessarily ecologically preferable, and biodegradability alone does not establish regeneration. Ecological value depends upon material sourcing, energy use, production processes, use patterns, environmental conditions, and end-of-life pathways. The conceptual shift proposed here therefore concerns the temporal framework through which these questions are asked, rather than a simple preference for shorter lifespans.</w:t>
      </w:r>
    </w:p>
    <w:p>
      <w:r>
        <w:t>A second issue concerns design authorship and control. Recognizing material agency does not mean that materials become autonomous designers in a literal sense. Rather, the concept draws attention to the ways in which material properties, biological processes, environmental conditions, and human intentions jointly shape outcomes (Bennett, 2010; Ingold, 2013; Luck, 2025). Biodesign makes these relations particularly visible because living systems can respond to conditions and change through time.</w:t>
      </w:r>
    </w:p>
    <w:p>
      <w:r>
        <w:t>A third issue concerns the relationship between temporality and experience. If materials change through time, their meanings and sensory qualities may also change. Karana et al. (2020) demonstrate that livingness can be understood not only biologically but also ecologically and experientially. Temporality can therefore be considered not simply a property of material performance but also a dimension of how designed environments and artefacts are encountered.</w:t>
      </w:r>
    </w:p>
    <w:p>
      <w:r>
        <w:t>These considerations indicate that temporality is best understood as a relational design value. It does not describe a single material property or prescribe a single lifespan. Instead, it concerns the relationship between form, matter, use, environment, and transformation. The contribution of the proposed framework is consequently to make this relationship theoretically explicit.</w:t>
      </w:r>
    </w:p>
    <w:p>
      <w:pPr>
        <w:pStyle w:val="Heading1"/>
      </w:pPr>
      <w:r>
        <w:t>6. Conclusion</w:t>
      </w:r>
    </w:p>
    <w:p>
      <w:r>
        <w:t>This article has argued that permanence is not a neutral or universal characteristic of successful design. Its prominence is historically connected to modernity's broader emphasis on stability, predictability, control, standardization, and preservation (Giddens, 1990; Bauman, 2000; Forty, 1986). Although durability can provide important social, functional, and environmental benefits, ecological crises demonstrate that material persistence cannot be treated independently from the larger cycles in which materials participate.</w:t>
      </w:r>
    </w:p>
    <w:p>
      <w:r>
        <w:t>Biodesign provides a particularly productive context for reconsidering this assumption. Through engagement with living organisms and biological processes, biodesign makes growth, adaptation, transformation, decay, and regeneration visible within design practice (Myers, 2012; Camere &amp; Karana, 2018; Karana et al., 2020). It therefore allows the designed object to be reconsidered not simply as a finished and stable entity, but as a temporary configuration within ongoing material processes.</w:t>
      </w:r>
    </w:p>
    <w:p>
      <w:r>
        <w:t>Drawing on Bergson, Ingold, Bennett, and contemporary new materialist design research, the article has further proposed that impermanence can be understood as an ontological condition of becoming rather than merely as material failure (Bergson, 1911; Bennett, 2010; Ingold, 2013; Luck, 2025). From this perspective, temporality becomes a possible design value through which transformation, adaptability, regeneration, material agency, and cyclical lifecycles can be considered alongside durability and permanence.</w:t>
      </w:r>
    </w:p>
    <w:p>
      <w:r>
        <w:t>The aim is therefore not to replace permanence with impermanence, but to broaden the temporal imagination of design. Such an expanded framework enables design theory to ask not only how objects can endure, but also how materials can transform meaningfully, participate in ecological cycles, and remain open to processes of becoming. Biodesign thus offers not only new materials and fabrication strategies, but also an opportunity to reconsider what it means for something to be designed in time.</w:t>
      </w:r>
    </w:p>
    <w:p>
      <w:pPr>
        <w:pStyle w:val="Heading1"/>
      </w:pPr>
      <w:r>
        <w:t>References</w:t>
      </w:r>
    </w:p>
    <w:p>
      <w:pPr>
        <w:spacing w:line="240" w:lineRule="auto" w:after="80"/>
        <w:ind w:left="360" w:hanging="360"/>
      </w:pPr>
      <w:r>
        <w:t>Bauman, Z. (2000). Liquid Modernity. Cambridge: Polity Press.</w:t>
      </w:r>
    </w:p>
    <w:p>
      <w:pPr>
        <w:spacing w:line="240" w:lineRule="auto" w:after="80"/>
        <w:ind w:left="360" w:hanging="360"/>
      </w:pPr>
      <w:r>
        <w:t>Bennett, J. (2010). Vibrant Matter: A Political Ecology of Things. Durham, NC: Duke University Press.</w:t>
      </w:r>
    </w:p>
    <w:p>
      <w:pPr>
        <w:spacing w:line="240" w:lineRule="auto" w:after="80"/>
        <w:ind w:left="360" w:hanging="360"/>
      </w:pPr>
      <w:r>
        <w:t>Bergson, H. (1911). Creative Evolution. New York, NY: Henry Holt and Company.</w:t>
      </w:r>
    </w:p>
    <w:p>
      <w:pPr>
        <w:spacing w:line="240" w:lineRule="auto" w:after="80"/>
        <w:ind w:left="360" w:hanging="360"/>
      </w:pPr>
      <w:r>
        <w:t>Camere, S., &amp; Karana, E. (2018). Fabricating materials from living organisms: An emerging design practice. Journal of Cleaner Production, 186, 570–584. https://doi.org/10.1016/j.jclepro.2018.03.081</w:t>
      </w:r>
    </w:p>
    <w:p>
      <w:pPr>
        <w:spacing w:line="240" w:lineRule="auto" w:after="80"/>
        <w:ind w:left="360" w:hanging="360"/>
      </w:pPr>
      <w:r>
        <w:t>Collet, C. (2018). Biodesign: Nature, Science, Creativity. London: V&amp;A Publishing.</w:t>
      </w:r>
    </w:p>
    <w:p>
      <w:pPr>
        <w:spacing w:line="240" w:lineRule="auto" w:after="80"/>
        <w:ind w:left="360" w:hanging="360"/>
      </w:pPr>
      <w:r>
        <w:t>Ertürkan, H., Karana, E., &amp; Mugge, R. (2022). Is this alive? Towards a vocabulary for understanding and communicating living material experiences. DRS2022, Bilbao. https://doi.org/10.21606/drs.2022.796</w:t>
      </w:r>
    </w:p>
    <w:p>
      <w:pPr>
        <w:spacing w:line="240" w:lineRule="auto" w:after="80"/>
        <w:ind w:left="360" w:hanging="360"/>
      </w:pPr>
      <w:r>
        <w:t>Escobar, A. (2018). Designs for the Pluriverse: Radical Interdependence, Autonomy, and the Making of Worlds. Durham, NC: Duke University Press.</w:t>
      </w:r>
    </w:p>
    <w:p>
      <w:pPr>
        <w:spacing w:line="240" w:lineRule="auto" w:after="80"/>
        <w:ind w:left="360" w:hanging="360"/>
      </w:pPr>
      <w:r>
        <w:t>Forty, A. (1986). Objects of Desire: Design and Society Since 1750. London: Thames &amp; Hudson.</w:t>
      </w:r>
    </w:p>
    <w:p>
      <w:pPr>
        <w:spacing w:line="240" w:lineRule="auto" w:after="80"/>
        <w:ind w:left="360" w:hanging="360"/>
      </w:pPr>
      <w:r>
        <w:t>Fry, T. (2009). Design Futuring: Sustainability, Ethics and New Practice. Oxford: Berg.</w:t>
      </w:r>
    </w:p>
    <w:p>
      <w:pPr>
        <w:spacing w:line="240" w:lineRule="auto" w:after="80"/>
        <w:ind w:left="360" w:hanging="360"/>
      </w:pPr>
      <w:r>
        <w:t>Giddens, A. (1990). The Consequences of Modernity. Stanford, CA: Stanford University Press.</w:t>
      </w:r>
    </w:p>
    <w:p>
      <w:pPr>
        <w:spacing w:line="240" w:lineRule="auto" w:after="80"/>
        <w:ind w:left="360" w:hanging="360"/>
      </w:pPr>
      <w:r>
        <w:t>Haraway, D. J. (2016). Staying with the Trouble: Making Kin in the Chthulucene. Durham, NC: Duke University Press.</w:t>
      </w:r>
    </w:p>
    <w:p>
      <w:pPr>
        <w:spacing w:line="240" w:lineRule="auto" w:after="80"/>
        <w:ind w:left="360" w:hanging="360"/>
      </w:pPr>
      <w:r>
        <w:t>Heidegger, M. (1977). The Question Concerning Technology and Other Essays (W. Lovitt, Trans.). New York, NY: Harper &amp; Row.</w:t>
      </w:r>
    </w:p>
    <w:p>
      <w:pPr>
        <w:spacing w:line="240" w:lineRule="auto" w:after="80"/>
        <w:ind w:left="360" w:hanging="360"/>
      </w:pPr>
      <w:r>
        <w:t>Ingold, T. (2013). Making: Anthropology, Archaeology, Art and Architecture. London: Routledge.</w:t>
      </w:r>
    </w:p>
    <w:p>
      <w:pPr>
        <w:spacing w:line="240" w:lineRule="auto" w:after="80"/>
        <w:ind w:left="360" w:hanging="360"/>
      </w:pPr>
      <w:r>
        <w:t>Karana, E., Barati, B., &amp; Giaccardi, E. (2020). Living artefacts: Conceptualizing livingness as a material quality in everyday artefacts. International Journal of Design, 14(3), 37–53.</w:t>
      </w:r>
    </w:p>
    <w:p>
      <w:pPr>
        <w:spacing w:line="240" w:lineRule="auto" w:after="80"/>
        <w:ind w:left="360" w:hanging="360"/>
      </w:pPr>
      <w:r>
        <w:t>Latour, B. (1993). We Have Never Been Modern. Cambridge, MA: Harvard University Press.</w:t>
      </w:r>
    </w:p>
    <w:p>
      <w:pPr>
        <w:spacing w:line="240" w:lineRule="auto" w:after="80"/>
        <w:ind w:left="360" w:hanging="360"/>
      </w:pPr>
      <w:r>
        <w:t>Luck, R. (2025). From practices to matter: Social science and new materialist reorientation of ways of knowing, being and becoming-with in design research. Designing, 1(1), 18–23. https://doi.org/10.1177/30497671251400138</w:t>
      </w:r>
    </w:p>
    <w:p>
      <w:pPr>
        <w:spacing w:line="240" w:lineRule="auto" w:after="80"/>
        <w:ind w:left="360" w:hanging="360"/>
      </w:pPr>
      <w:r>
        <w:t>Myers, W. (2012). Bio Design: Nature + Science + Creativity. London: Thames &amp; Hudson.</w:t>
      </w:r>
    </w:p>
    <w:p>
      <w:pPr>
        <w:spacing w:line="240" w:lineRule="auto" w:after="80"/>
        <w:ind w:left="360" w:hanging="360"/>
      </w:pPr>
      <w:r>
        <w:t>Papanek, V. (1971). Design for the Real World: Human Ecology and Social Change. New York, NY: Pantheon Books.</w:t>
      </w:r>
    </w:p>
    <w:p>
      <w:r>
        <w:br w:type="page"/>
      </w:r>
    </w:p>
    <w:p>
      <w:pPr>
        <w:pStyle w:val="Heading1"/>
      </w:pPr>
      <w:r>
        <w:t>Editorial Notes for the Next Revision</w:t>
      </w:r>
    </w:p>
    <w:p>
      <w:r>
        <w:t>• The manuscript now has a continuous argument from permanence → control → ecological limits → biodesign → temporality → impermanence → design value.</w:t>
      </w:r>
    </w:p>
    <w:p>
      <w:r>
        <w:t>• Duplicate references from the original draft have been removed.</w:t>
      </w:r>
    </w:p>
    <w:p>
      <w:r>
        <w:t>• The new biodesign section is supported with biodesign-specific sources rather than relying only on general sustainability literature.</w:t>
      </w:r>
    </w:p>
    <w:p>
      <w:r>
        <w:t>• The framework in Section 4.5 is deliberately presented as a preliminary conceptual proposition, not as an empirically validated model.</w:t>
      </w:r>
    </w:p>
    <w:p>
      <w:r>
        <w:t>• Before journal submission, the reference style should be matched exactly to the target journal's author guidelines, and every bibliographic entry should be checked against the final publisher metadata.</w:t>
      </w:r>
    </w:p>
    <w:p>
      <w:r>
        <w:t>• The next substantive step should be a second-pass literature check focused specifically on the claim that permanence has functioned as a dominant value in design, because this is the central historical premise of the article.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