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32"/>
        </w:rPr>
        <w:t>Revizyon Raporu</w:t>
      </w:r>
    </w:p>
    <w:p>
      <w:pPr>
        <w:jc w:val="both"/>
      </w:pPr>
      <w:r>
        <w:rPr>
          <w:b/>
        </w:rPr>
        <w:t>Makale:</w:t>
      </w:r>
      <w:r>
        <w:t xml:space="preserve"> Beyond Permanence: Reframing Temporality as a Design Value through Biodesign</w:t>
      </w:r>
    </w:p>
    <w:p>
      <w:pPr>
        <w:jc w:val="both"/>
      </w:pPr>
      <w:r>
        <w:rPr>
          <w:b/>
        </w:rPr>
        <w:t>Tarih:</w:t>
      </w:r>
      <w:r>
        <w:t xml:space="preserve"> 8 Eylül 2026</w:t>
      </w:r>
    </w:p>
    <w:p>
      <w:pPr>
        <w:jc w:val="both"/>
      </w:pPr>
      <w:r>
        <w:rPr>
          <w:b/>
        </w:rPr>
        <w:t>Kapsam:</w:t>
      </w:r>
      <w:r>
        <w:t xml:space="preserve"> Literatür taraması, eksik analizi, içerik genişletme, kaynakça doğrulama ve düzeltme</w:t>
      </w:r>
    </w:p>
    <w:p>
      <w:pPr>
        <w:pStyle w:val="Heading1"/>
      </w:pPr>
      <w:r>
        <w:t>1. Özet</w:t>
      </w:r>
    </w:p>
    <w:p>
      <w:pPr>
        <w:jc w:val="both"/>
      </w:pPr>
      <w:r>
        <w:t>Elinizdeki taslak (yaklaşık 5.000 kelime, 18 kaynak) tutarlı bir argümana ve temiz bir akademik dile sahipti. Ancak hakem değerlendirmesinde üç noktadan itiraz alması muhtemeldi: yöntem bölümünün olmaması, tasarım araştırmalarındaki mevcut zamansallık literatürünün hiç anılmaması, ve önerilen çerçevenin analitik olarak kullanılamayacak kadar soyut kalması. Ayrıca kaynakçada bir künye hatalıydı.</w:t>
      </w:r>
    </w:p>
    <w:p>
      <w:pPr>
        <w:jc w:val="both"/>
      </w:pPr>
      <w:r>
        <w:t xml:space="preserve">Revize edilmiş metin yaklaşık </w:t>
      </w:r>
      <w:r>
        <w:rPr>
          <w:b/>
        </w:rPr>
        <w:t>10.000 kelime</w:t>
      </w:r>
      <w:r>
        <w:t xml:space="preserve"> ve </w:t>
      </w:r>
      <w:r>
        <w:rPr>
          <w:b/>
        </w:rPr>
        <w:t>49 doğrulanmış kaynak</w:t>
      </w:r>
      <w:r>
        <w:t xml:space="preserve"> içermektedir. Argümanın özü ve sizin kavramsal katkınız korunmuş; etrafına hakem itirazlarını karşılayacak yapı kurulmuştur.</w:t>
      </w:r>
    </w:p>
    <w:p>
      <w:pPr>
        <w:pStyle w:val="Heading1"/>
      </w:pPr>
      <w:r>
        <w:t>2. Kaynakça Sorunları (Öncelikli)</w:t>
      </w:r>
    </w:p>
    <w:p>
      <w:pPr>
        <w:pStyle w:val="Heading2"/>
      </w:pPr>
      <w:r>
        <w:t>2.1 Hatalı künye — düzeltildi</w:t>
      </w:r>
    </w:p>
    <w:p>
      <w:pPr>
        <w:jc w:val="both"/>
      </w:pPr>
      <w:r>
        <w:t>Taslakta şu kaynak yer alıyordu:</w:t>
      </w:r>
    </w:p>
    <w:p>
      <w:pPr>
        <w:jc w:val="both"/>
      </w:pPr>
      <w:r>
        <w:t xml:space="preserve">&gt; Collet, C. (2018). </w:t>
      </w:r>
      <w:r>
        <w:rPr>
          <w:i/>
        </w:rPr>
        <w:t>Biodesign: Nature, Science, Creativity</w:t>
      </w:r>
      <w:r>
        <w:t>. London: V&amp;A Publishing.</w:t>
      </w:r>
    </w:p>
    <w:p>
      <w:pPr>
        <w:jc w:val="both"/>
      </w:pPr>
      <w:r>
        <w:rPr>
          <w:b/>
        </w:rPr>
        <w:t>Bu künye hatalıdır.</w:t>
      </w:r>
      <w:r>
        <w:t xml:space="preserve"> Bu başlığa sahip kitap Carole Collet'e değil, </w:t>
      </w:r>
      <w:r>
        <w:rPr>
          <w:b/>
        </w:rPr>
        <w:t>William Myers</w:t>
      </w:r>
      <w:r>
        <w:t>'a aittir ve V&amp;A Publishing tarafından değil, Museum of Modern Art / Thames &amp; Hudson tarafından yayımlanmıştır. Görünüşe göre iki ayrı kaynak birleşmiş. Bu tür bir hata hakem sürecinde ciddi bir güven kaybına yol açar; metnin diğer kaynaklarının da denetlenmesini tetikleyebilir.</w:t>
      </w:r>
    </w:p>
    <w:p>
      <w:pPr>
        <w:jc w:val="both"/>
      </w:pPr>
      <w:r>
        <w:t>Düzeltme olarak Collet'in gerçek çalışmaları eklendi:</w:t>
      </w:r>
    </w:p>
    <w:p>
      <w:pPr>
        <w:pStyle w:val="ListBullet"/>
        <w:spacing w:line="360" w:lineRule="auto"/>
      </w:pPr>
      <w:r>
        <w:t xml:space="preserve">Collet, C. (2013). </w:t>
      </w:r>
      <w:r>
        <w:rPr>
          <w:i/>
        </w:rPr>
        <w:t>Alive: New Design Frontiers</w:t>
      </w:r>
      <w:r>
        <w:t xml:space="preserve"> — biyotasarımı sürdürülebilirlik ekseninde ele alan ilk uluslararası sergi. Buradan gelen "doğa model olarak / doğa iş ortağı olarak / doğa hacklenebilir sistem olarak" üçlü ayrımı metne analitik bir araç olarak eklendi (Bölüm 5.1).</w:t>
      </w:r>
    </w:p>
    <w:p>
      <w:pPr>
        <w:pStyle w:val="ListBullet"/>
        <w:spacing w:line="360" w:lineRule="auto"/>
      </w:pPr>
      <w:r>
        <w:t xml:space="preserve">Collet, C. (2021). Designing our future bio-materiality. </w:t>
      </w:r>
      <w:r>
        <w:rPr>
          <w:i/>
        </w:rPr>
        <w:t>AI &amp; Society</w:t>
      </w:r>
      <w:r>
        <w:t>, 36(4), 1331–1342.</w:t>
      </w:r>
    </w:p>
    <w:p>
      <w:pPr>
        <w:jc w:val="both"/>
      </w:pPr>
      <w:r>
        <w:t>Myers ise doğru künyesiyle (2018, 2. baskı; ilk baskı 2012) korundu.</w:t>
      </w:r>
    </w:p>
    <w:p>
      <w:pPr>
        <w:pStyle w:val="Heading2"/>
      </w:pPr>
      <w:r>
        <w:t>2.2 Doğrulanan mevcut kaynaklar</w:t>
      </w:r>
    </w:p>
    <w:p>
      <w:pPr>
        <w:jc w:val="both"/>
      </w:pPr>
      <w:r>
        <w:t>Taslaktaki diğer 17 kaynağın tamamı bağımsız olarak doğrulandı ve künyeleri düzeltildi. Öne çıkanlar:</w:t>
      </w:r>
    </w:p>
    <w:p>
      <w:pPr>
        <w:pStyle w:val="ListBullet"/>
        <w:spacing w:line="360" w:lineRule="auto"/>
      </w:pPr>
      <w:r>
        <w:rPr>
          <w:b/>
        </w:rPr>
        <w:t>Luck (2025)</w:t>
      </w:r>
      <w:r>
        <w:t xml:space="preserve">, </w:t>
      </w:r>
      <w:r>
        <w:rPr>
          <w:i/>
        </w:rPr>
        <w:t>Designing</w:t>
      </w:r>
      <w:r>
        <w:t xml:space="preserve"> dergisi 1(1), 18–23 — doğrulandı. Yeni kurulmuş bir Sage dergisi; hakem "bu dergi nedir?" diye sorabilir, bu normaldir.</w:t>
      </w:r>
    </w:p>
    <w:p>
      <w:pPr>
        <w:pStyle w:val="ListBullet"/>
        <w:spacing w:line="360" w:lineRule="auto"/>
      </w:pPr>
      <w:r>
        <w:rPr>
          <w:b/>
        </w:rPr>
        <w:t>Ertürkan, Karana &amp; Mugge (2022)</w:t>
      </w:r>
      <w:r>
        <w:t xml:space="preserve">, DRS2022 Bilbao — doğrulandı. Bu kaynağın içeriğini metinde çok daha güçlü kullandım: 45 maddelik "Living Materials Vocabulary" beş tema altında toplanıyor ve </w:t>
      </w:r>
      <w:r>
        <w:rPr>
          <w:b/>
        </w:rPr>
        <w:t>temporality bu beş temadan biri</w:t>
      </w:r>
      <w:r>
        <w:t>. Bu, makalenizin merkezi iddiası için doğrudan ampirik dayanak; taslakta yalnızca geçerken anılmıştı.</w:t>
      </w:r>
    </w:p>
    <w:p>
      <w:pPr>
        <w:pStyle w:val="ListBullet"/>
        <w:spacing w:line="360" w:lineRule="auto"/>
      </w:pPr>
      <w:r>
        <w:rPr>
          <w:b/>
        </w:rPr>
        <w:t>Camere &amp; Karana (2018)</w:t>
      </w:r>
      <w:r>
        <w:t xml:space="preserve">, </w:t>
      </w:r>
      <w:r>
        <w:rPr>
          <w:i/>
        </w:rPr>
        <w:t>Journal of Cleaner Production</w:t>
      </w:r>
      <w:r>
        <w:t>, 186, 570–584 — doğrulandı.</w:t>
      </w:r>
    </w:p>
    <w:p>
      <w:pPr>
        <w:pStyle w:val="ListBullet"/>
        <w:spacing w:line="360" w:lineRule="auto"/>
      </w:pPr>
      <w:r>
        <w:rPr>
          <w:b/>
        </w:rPr>
        <w:t>Karana, Barati &amp; Giaccardi (2020)</w:t>
      </w:r>
      <w:r>
        <w:t xml:space="preserve">, </w:t>
      </w:r>
      <w:r>
        <w:rPr>
          <w:i/>
        </w:rPr>
        <w:t>International Journal of Design</w:t>
      </w:r>
      <w:r>
        <w:t>, 14(3), 37–53 — doğrulandı.</w:t>
      </w:r>
    </w:p>
    <w:p>
      <w:pPr>
        <w:pStyle w:val="Heading2"/>
      </w:pPr>
      <w:r>
        <w:t>2.3 Biçim</w:t>
      </w:r>
    </w:p>
    <w:p>
      <w:pPr>
        <w:jc w:val="both"/>
      </w:pPr>
      <w:r>
        <w:t>Kaynakça APA 7'ye çevrildi (yayıncı şehri kaldırıldı, DOI'ler eklendi, çeviri eserlerde orijinal yayın yılı belirtildi). Bergson için 1907/1998, Heidegger için 1954/1977, Whitehead için 1929/1978 kullanıldı — özgün tarihleri gizlemek yerine göstermek felsefi kaynaklarda beklenen kullanımdır.</w:t>
      </w:r>
    </w:p>
    <w:p>
      <w:pPr>
        <w:jc w:val="both"/>
      </w:pPr>
      <w:r>
        <w:rPr>
          <w:b/>
        </w:rPr>
        <w:t>Not:</w:t>
      </w:r>
      <w:r>
        <w:t xml:space="preserve"> Hedef dergiyi belirlediğinizde kaynakça biçimini o derginin yazım kılavuzuna göre yeniden ayarlamanız gerekir.</w:t>
      </w:r>
    </w:p>
    <w:p>
      <w:pPr>
        <w:pStyle w:val="Heading1"/>
      </w:pPr>
      <w:r>
        <w:t>3. Tespit Edilen Eksikler ve Yapılan Eklemeler</w:t>
      </w:r>
    </w:p>
    <w:p>
      <w:pPr>
        <w:pStyle w:val="Heading2"/>
      </w:pPr>
      <w:r>
        <w:t>3.1 Yöntem bölümü yoktu — eklendi (Bölüm 2)</w:t>
      </w:r>
    </w:p>
    <w:p>
      <w:pPr>
        <w:jc w:val="both"/>
      </w:pPr>
      <w:r>
        <w:t>Taslakta "kavramsal ve eleştirel literatür taraması yapılmıştır" cümlesi vardı; bu bir yöntem beyanı değil, bir niyet beyanıdır. Hakemler kavramsal makalelerde de araştırma tasarımının açıklanmasını bekler.</w:t>
      </w:r>
    </w:p>
    <w:p>
      <w:pPr>
        <w:jc w:val="both"/>
      </w:pPr>
      <w:r>
        <w:t xml:space="preserve">Eklenen bölüm: Jaakkola'nın (2020) kavramsal makale tipolojisinden </w:t>
      </w:r>
      <w:r>
        <w:rPr>
          <w:b/>
        </w:rPr>
        <w:t>"theory synthesis"</w:t>
      </w:r>
      <w:r>
        <w:t xml:space="preserve"> tasarımı seçildi ve neden diğer üç seçenek yerine bunun seçildiği gerekçelendirildi. Snyder (2019) üzerinden </w:t>
      </w:r>
      <w:r>
        <w:rPr>
          <w:b/>
        </w:rPr>
        <w:t>integrative review</w:t>
      </w:r>
      <w:r>
        <w:t xml:space="preserve"> yaklaşımı tanımlandı. Dört ayrı literatür kümesi, seçim ölçütleri, taranan veritabanları, anahtar kelimeler ve üç aşamalı analiz süreci açıkça yazıldı. Sınırlılıklar bölümün sonunda — ertelenmeden — belirtildi.</w:t>
      </w:r>
    </w:p>
    <w:p>
      <w:pPr>
        <w:pStyle w:val="Heading2"/>
      </w:pPr>
      <w:r>
        <w:t>3.2 Tasarım araştırmalarındaki zamansallık literatürü hiç anılmamıştı — eklendi (Bölüm 4, tamamen yeni)</w:t>
      </w:r>
    </w:p>
    <w:p>
      <w:pPr>
        <w:jc w:val="both"/>
      </w:pPr>
      <w:r>
        <w:t>Bu, taslağın en ciddi eksiğiydi. Makale "tasarımda zamansallığı yeniden düşünelim" diyor ama bu işi zaten yapmış olan literatürden hiç söz etmiyordu. Bir hakem bunu neredeyse kesin olarak yakalar ve "yazar alanı bilmiyor" sonucuna varır.</w:t>
      </w:r>
    </w:p>
    <w:p>
      <w:pPr>
        <w:jc w:val="both"/>
      </w:pPr>
      <w:r>
        <w:t>Eklenen kaynaklar ve tartışma:</w:t>
      </w:r>
    </w:p>
    <w:p>
      <w:pPr>
        <w:pStyle w:val="ListBullet"/>
        <w:spacing w:line="360" w:lineRule="auto"/>
      </w:pPr>
      <w:r>
        <w:rPr>
          <w:b/>
        </w:rPr>
        <w:t>Lynch (1972)</w:t>
      </w:r>
      <w:r>
        <w:t xml:space="preserve">, </w:t>
      </w:r>
      <w:r>
        <w:rPr>
          <w:i/>
        </w:rPr>
        <w:t>What Time Is This Place?</w:t>
      </w:r>
      <w:r>
        <w:t xml:space="preserve"> — çevrenin zamansal kolaj olarak okunması</w:t>
      </w:r>
    </w:p>
    <w:p>
      <w:pPr>
        <w:pStyle w:val="ListBullet"/>
        <w:spacing w:line="360" w:lineRule="auto"/>
      </w:pPr>
      <w:r>
        <w:rPr>
          <w:b/>
        </w:rPr>
        <w:t>Mostafavi &amp; Leatherbarrow (1993)</w:t>
      </w:r>
      <w:r>
        <w:t xml:space="preserve">, </w:t>
      </w:r>
      <w:r>
        <w:rPr>
          <w:i/>
        </w:rPr>
        <w:t>On Weathering</w:t>
      </w:r>
      <w:r>
        <w:t xml:space="preserve"> — yıpranmanın mimari anlamı yok etmediği, tersine ürettiği; "tamamlanmış yapı" fikrini çözen argüman</w:t>
      </w:r>
    </w:p>
    <w:p>
      <w:pPr>
        <w:pStyle w:val="ListBullet"/>
        <w:spacing w:line="360" w:lineRule="auto"/>
      </w:pPr>
      <w:r>
        <w:rPr>
          <w:b/>
        </w:rPr>
        <w:t>Brand (1994)</w:t>
      </w:r>
      <w:r>
        <w:t xml:space="preserve">, </w:t>
      </w:r>
      <w:r>
        <w:rPr>
          <w:i/>
        </w:rPr>
        <w:t>How Buildings Learn</w:t>
      </w:r>
      <w:r>
        <w:t xml:space="preserve"> — farklı hızlardaki katmanlar</w:t>
      </w:r>
    </w:p>
    <w:p>
      <w:pPr>
        <w:pStyle w:val="ListBullet"/>
        <w:spacing w:line="360" w:lineRule="auto"/>
      </w:pPr>
      <w:r>
        <w:rPr>
          <w:b/>
        </w:rPr>
        <w:t>Hallnäs &amp; Redström (2001)</w:t>
      </w:r>
      <w:r>
        <w:t>, slow technology</w:t>
      </w:r>
    </w:p>
    <w:p>
      <w:pPr>
        <w:pStyle w:val="ListBullet"/>
        <w:spacing w:line="360" w:lineRule="auto"/>
      </w:pPr>
      <w:r>
        <w:rPr>
          <w:b/>
        </w:rPr>
        <w:t>Pschetz &amp; Bastian (2018)</w:t>
      </w:r>
      <w:r>
        <w:t xml:space="preserve">, </w:t>
      </w:r>
      <w:r>
        <w:rPr>
          <w:i/>
        </w:rPr>
        <w:t>Temporal Design</w:t>
      </w:r>
      <w:r>
        <w:t xml:space="preserve">, </w:t>
      </w:r>
      <w:r>
        <w:rPr>
          <w:i/>
        </w:rPr>
        <w:t>Design Studies</w:t>
      </w:r>
      <w:r>
        <w:t xml:space="preserve"> 56, 169–184 — </w:t>
      </w:r>
      <w:r>
        <w:rPr>
          <w:b/>
        </w:rPr>
        <w:t>en kritik ekleme.</w:t>
      </w:r>
      <w:r>
        <w:t xml:space="preserve"> Bu makale tam olarak sizin sorduğunuz soruyu soruyor ve zamanın tasarımda hızlı/yavaş ikiliğine indirgenmesini eleştiriyor.</w:t>
      </w:r>
    </w:p>
    <w:p>
      <w:pPr>
        <w:pStyle w:val="ListBullet"/>
        <w:spacing w:line="360" w:lineRule="auto"/>
      </w:pPr>
      <w:r>
        <w:rPr>
          <w:b/>
        </w:rPr>
        <w:t>Pschetz vd. (2024)</w:t>
      </w:r>
      <w:r>
        <w:t>, DRS2024 — çok türlü zamansallıklar</w:t>
      </w:r>
    </w:p>
    <w:p>
      <w:pPr>
        <w:pStyle w:val="ListBullet"/>
        <w:spacing w:line="360" w:lineRule="auto"/>
      </w:pPr>
      <w:r>
        <w:rPr>
          <w:b/>
        </w:rPr>
        <w:t>Giaccardi &amp; Redström (2020)</w:t>
      </w:r>
      <w:r>
        <w:t xml:space="preserve">, </w:t>
      </w:r>
      <w:r>
        <w:rPr>
          <w:i/>
        </w:rPr>
        <w:t>Design Issues</w:t>
      </w:r>
      <w:r>
        <w:t xml:space="preserve"> — insan-ötesi tasarım</w:t>
      </w:r>
    </w:p>
    <w:p>
      <w:pPr>
        <w:pStyle w:val="ListBullet"/>
        <w:spacing w:line="360" w:lineRule="auto"/>
      </w:pPr>
      <w:r>
        <w:rPr>
          <w:b/>
        </w:rPr>
        <w:t>Wakkary (2021)</w:t>
      </w:r>
      <w:r>
        <w:t xml:space="preserve">, </w:t>
      </w:r>
      <w:r>
        <w:rPr>
          <w:i/>
        </w:rPr>
        <w:t>Things We Could Design</w:t>
      </w:r>
    </w:p>
    <w:p>
      <w:pPr>
        <w:jc w:val="both"/>
      </w:pPr>
      <w:r>
        <w:rPr>
          <w:b/>
        </w:rPr>
        <w:t>Boşluk beyanı yeniden kuruldu:</w:t>
      </w:r>
      <w:r>
        <w:t xml:space="preserve"> Artık "tasarım zamanı ihmal ediyor" demiyoruz (bu yanlış olurdu). Bunun yerine: tasarım zamanı </w:t>
      </w:r>
      <w:r>
        <w:rPr>
          <w:i/>
        </w:rPr>
        <w:t>çevresel</w:t>
      </w:r>
      <w:r>
        <w:t xml:space="preserve">, </w:t>
      </w:r>
      <w:r>
        <w:rPr>
          <w:i/>
        </w:rPr>
        <w:t>deneyimsel/sosyal</w:t>
      </w:r>
      <w:r>
        <w:t xml:space="preserve"> ve </w:t>
      </w:r>
      <w:r>
        <w:rPr>
          <w:i/>
        </w:rPr>
        <w:t>insan-ötesi</w:t>
      </w:r>
      <w:r>
        <w:t xml:space="preserve"> kayıtlarda iyi kuramsallaştırmış; ihmal edilen kayıt </w:t>
      </w:r>
      <w:r>
        <w:rPr>
          <w:b/>
        </w:rPr>
        <w:t>maddi</w:t>
      </w:r>
      <w:r>
        <w:t xml:space="preserve"> olan. Biyotasarım tam da bu kaydı sağlıyor, çünkü canlı malzemede zaman malzemeye dışarıdan uygulanan bir ilişki değil, varoluş koşulu. Bu, makalenin özgünlük iddiasını çok daha savunulabilir kılıyor.</w:t>
      </w:r>
    </w:p>
    <w:p>
      <w:pPr>
        <w:pStyle w:val="Heading2"/>
      </w:pPr>
      <w:r>
        <w:t>3.3 Kalıcılık paradigmasına dair tarihsel iddia desteksizdi — güçlendirildi (Bölüm 3)</w:t>
      </w:r>
    </w:p>
    <w:p>
      <w:pPr>
        <w:jc w:val="both"/>
      </w:pPr>
      <w:r>
        <w:t>Taslağın kendi editör notunda da belirtilmişti: "kalıcılığın tasarımda baskın değer olduğu iddiası ikinci bir literatür kontrolü gerektiriyor." Bu yapıldı.</w:t>
      </w:r>
    </w:p>
    <w:p>
      <w:pPr>
        <w:jc w:val="both"/>
      </w:pPr>
      <w:r>
        <w:t>Eklenen dayanaklar:</w:t>
      </w:r>
    </w:p>
    <w:p>
      <w:pPr>
        <w:pStyle w:val="ListBullet"/>
        <w:spacing w:line="360" w:lineRule="auto"/>
      </w:pPr>
      <w:r>
        <w:t xml:space="preserve">Heidegger okuması </w:t>
      </w:r>
      <w:r>
        <w:rPr>
          <w:i/>
        </w:rPr>
        <w:t>Gestell</w:t>
      </w:r>
      <w:r>
        <w:t xml:space="preserve"> ve </w:t>
      </w:r>
      <w:r>
        <w:rPr>
          <w:i/>
        </w:rPr>
        <w:t>Bestand</w:t>
      </w:r>
      <w:r>
        <w:t xml:space="preserve"> kavramlarıyla derinleştirildi; "yedekte tutulan şeyin kendisi olarak kalması gerekir" argümanı kalıcılık paradigmasına doğrudan bağlandı.</w:t>
      </w:r>
    </w:p>
    <w:p>
      <w:pPr>
        <w:pStyle w:val="ListBullet"/>
        <w:spacing w:line="360" w:lineRule="auto"/>
      </w:pPr>
      <w:r>
        <w:rPr>
          <w:b/>
        </w:rPr>
        <w:t>Latour (1993)</w:t>
      </w:r>
      <w:r>
        <w:t xml:space="preserve"> modern anayasa/arındırma argümanı eklendi: kendi başına değişen malzeme bir "hibrit"tir ve kalıcılık paradigması kısmen hibritliği görünmez kılma stratejisidir.</w:t>
      </w:r>
    </w:p>
    <w:p>
      <w:pPr>
        <w:pStyle w:val="ListBullet"/>
        <w:spacing w:line="360" w:lineRule="auto"/>
      </w:pPr>
      <w:r>
        <w:rPr>
          <w:b/>
        </w:rPr>
        <w:t>DeSilvey (2017)</w:t>
      </w:r>
      <w:r>
        <w:t xml:space="preserve">, </w:t>
      </w:r>
      <w:r>
        <w:rPr>
          <w:i/>
        </w:rPr>
        <w:t>Curated Decay</w:t>
      </w:r>
      <w:r>
        <w:t xml:space="preserve"> — miras çalışmalarından "post-preservation" argümanı. Koruma alanı bile bilinçli dönüşümü savunabiliyorsa, tasarımda "değişim = başarısızlık" varsayımı apaçıklığını yitirir.</w:t>
      </w:r>
    </w:p>
    <w:p>
      <w:pPr>
        <w:pStyle w:val="ListBullet"/>
        <w:spacing w:line="360" w:lineRule="auto"/>
      </w:pPr>
      <w:r>
        <w:rPr>
          <w:b/>
        </w:rPr>
        <w:t>Adam (1998)</w:t>
      </w:r>
      <w:r>
        <w:t xml:space="preserve">, </w:t>
      </w:r>
      <w:r>
        <w:rPr>
          <w:i/>
        </w:rPr>
        <w:t>Timescapes of Modernity</w:t>
      </w:r>
      <w:r>
        <w:t xml:space="preserve"> — ekolojik tehlikelerin endüstriyel zaman örgütlenmesinden ayrılamayacağı</w:t>
      </w:r>
    </w:p>
    <w:p>
      <w:pPr>
        <w:pStyle w:val="ListBullet"/>
        <w:spacing w:line="360" w:lineRule="auto"/>
      </w:pPr>
      <w:r>
        <w:rPr>
          <w:b/>
        </w:rPr>
        <w:t>Morton (2013)</w:t>
      </w:r>
      <w:r>
        <w:t>, hyperobjects — kalıcı polimerlerin ve nükleer atığın zamansal ölçeği</w:t>
      </w:r>
    </w:p>
    <w:p>
      <w:pPr>
        <w:pStyle w:val="Heading2"/>
      </w:pPr>
      <w:r>
        <w:t>3.4 Dayanıklılık savunusu fazla zayıf temsil ediliyordu — düzeltildi (Bölüm 3.4)</w:t>
      </w:r>
    </w:p>
    <w:p>
      <w:pPr>
        <w:jc w:val="both"/>
      </w:pPr>
      <w:r>
        <w:t>Taslak Papanek dışında dayanıklılık literatürüne girmiyordu. Bir argümanı çürütmeden önce onu en güçlü halinde sunmak gerekir; aksi halde "saman adam" eleştirisi alırsınız.</w:t>
      </w:r>
    </w:p>
    <w:p>
      <w:pPr>
        <w:jc w:val="both"/>
      </w:pPr>
      <w:r>
        <w:t xml:space="preserve">Eklenenler: </w:t>
      </w:r>
      <w:r>
        <w:rPr>
          <w:b/>
        </w:rPr>
        <w:t>Cooper (2010)</w:t>
      </w:r>
      <w:r>
        <w:t xml:space="preserve"> </w:t>
      </w:r>
      <w:r>
        <w:rPr>
          <w:i/>
        </w:rPr>
        <w:t>Longer Lasting Products</w:t>
      </w:r>
      <w:r>
        <w:t xml:space="preserve">, </w:t>
      </w:r>
      <w:r>
        <w:rPr>
          <w:b/>
        </w:rPr>
        <w:t>Chapman (2015)</w:t>
      </w:r>
      <w:r>
        <w:t xml:space="preserve"> </w:t>
      </w:r>
      <w:r>
        <w:rPr>
          <w:i/>
        </w:rPr>
        <w:t>Emotionally Durable Design</w:t>
      </w:r>
      <w:r>
        <w:t xml:space="preserve">, </w:t>
      </w:r>
      <w:r>
        <w:rPr>
          <w:b/>
        </w:rPr>
        <w:t>McDonough &amp; Braungart (2002)</w:t>
      </w:r>
      <w:r>
        <w:t xml:space="preserve"> </w:t>
      </w:r>
      <w:r>
        <w:rPr>
          <w:i/>
        </w:rPr>
        <w:t>Cradle to Cradle</w:t>
      </w:r>
      <w:r>
        <w:t xml:space="preserve">, </w:t>
      </w:r>
      <w:r>
        <w:rPr>
          <w:b/>
        </w:rPr>
        <w:t>Bocken vd. (2016)</w:t>
      </w:r>
      <w:r>
        <w:t xml:space="preserve"> döngüsel ekonomi tasarım stratejileri. Cradle-to-cradle'ın kavramsal olarak zaten süreden döngüye geçtiği — ve bunun zamansal sonucunun genellikle yeterince vurgulanmadığı — özellikle işlendi.</w:t>
      </w:r>
    </w:p>
    <w:p>
      <w:pPr>
        <w:pStyle w:val="Heading2"/>
      </w:pPr>
      <w:r>
        <w:t>3.5 Kültürel tek yanlılık — düzeltildi (Bölüm 3.6, yeni)</w:t>
      </w:r>
    </w:p>
    <w:p>
      <w:pPr>
        <w:jc w:val="both"/>
      </w:pPr>
      <w:r>
        <w:t>"Tasarım her zaman kalıcılığı ayrıcalıklı kılmıştır" iddiası tarihsel olarak yanlıştır ve kolayca çürütülebilir. Yeni bir alt bölüm bu iddiayı sınırlandırıyor:</w:t>
      </w:r>
    </w:p>
    <w:p>
      <w:pPr>
        <w:pStyle w:val="ListBullet"/>
        <w:spacing w:line="360" w:lineRule="auto"/>
      </w:pPr>
      <w:r>
        <w:rPr>
          <w:b/>
        </w:rPr>
        <w:t>Koren (1994)</w:t>
      </w:r>
      <w:r>
        <w:t>, wabi-sabi; patina, kintsugi, tapınak mimarisinin dönemsel yeniden inşası</w:t>
      </w:r>
    </w:p>
    <w:p>
      <w:pPr>
        <w:pStyle w:val="ListBullet"/>
        <w:spacing w:line="360" w:lineRule="auto"/>
      </w:pPr>
      <w:r>
        <w:t>Avrupa içindeki bölünme: harabe estetiği, Ruskin–Viollet-le-Duc tartışması</w:t>
      </w:r>
    </w:p>
    <w:p>
      <w:pPr>
        <w:pStyle w:val="ListBullet"/>
        <w:spacing w:line="360" w:lineRule="auto"/>
      </w:pPr>
      <w:r>
        <w:t>Yerel yapı kültürlerinde direnç yerine yenileme varsayan malzemeler</w:t>
      </w:r>
    </w:p>
    <w:p>
      <w:pPr>
        <w:jc w:val="both"/>
      </w:pPr>
      <w:r>
        <w:t>Bu ekleme argümanı zayıflatmıyor, tersine konumlandırıyor: iddia artık "tasarımın hiç sahip olmadığı bir değeri icat etmek" değil, "var olan ama kenara itilmiş bir zamansal duyarlılığı merkeze taşımak."</w:t>
      </w:r>
    </w:p>
    <w:p>
      <w:pPr>
        <w:pStyle w:val="Heading2"/>
      </w:pPr>
      <w:r>
        <w:t>3.6 Biyotasarımın eleştirisi yoktu — eklendi (Bölüm 5.7, yeni)</w:t>
      </w:r>
    </w:p>
    <w:p>
      <w:pPr>
        <w:jc w:val="both"/>
      </w:pPr>
      <w:r>
        <w:t>Taslak biyotasarımı örtük olarak olumlu bir çözüm gibi konumlandırıyordu. Bu, hem hakem itirazı hem de etik bir sorun olurdu.</w:t>
      </w:r>
    </w:p>
    <w:p>
      <w:pPr>
        <w:jc w:val="both"/>
      </w:pPr>
      <w:r>
        <w:t>Eklenenler:</w:t>
      </w:r>
    </w:p>
    <w:p>
      <w:pPr>
        <w:pStyle w:val="ListBullet"/>
        <w:spacing w:line="360" w:lineRule="auto"/>
      </w:pPr>
      <w:r>
        <w:rPr>
          <w:b/>
        </w:rPr>
        <w:t>Zhu &amp; Wang (2020)</w:t>
      </w:r>
      <w:r>
        <w:t xml:space="preserve">, </w:t>
      </w:r>
      <w:r>
        <w:rPr>
          <w:i/>
        </w:rPr>
        <w:t>Marine Pollution Bulletin</w:t>
      </w:r>
      <w:r>
        <w:t xml:space="preserve"> — biyobozunur plastiklerin gerçek atık koşullarında bozunmadığı; "compostable" etiketinin greenwashing işlevi görebildiği</w:t>
      </w:r>
    </w:p>
    <w:p>
      <w:pPr>
        <w:pStyle w:val="ListBullet"/>
        <w:spacing w:line="360" w:lineRule="auto"/>
      </w:pPr>
      <w:r>
        <w:rPr>
          <w:b/>
        </w:rPr>
        <w:t>Ginsberg &amp; Chieza (2018)</w:t>
      </w:r>
      <w:r>
        <w:t xml:space="preserve">, </w:t>
      </w:r>
      <w:r>
        <w:rPr>
          <w:i/>
        </w:rPr>
        <w:t>Journal of Design and Science</w:t>
      </w:r>
      <w:r>
        <w:t xml:space="preserve"> — biyotasarımın "çevresel kurtarıcı" anlatısının ekonomik, sömürgeci ve tarihsel bağlarının çözümlenmesi</w:t>
      </w:r>
    </w:p>
    <w:p>
      <w:pPr>
        <w:pStyle w:val="ListBullet"/>
        <w:spacing w:line="360" w:lineRule="auto"/>
      </w:pPr>
      <w:r>
        <w:rPr>
          <w:b/>
        </w:rPr>
        <w:t>Jones vd. (2020)</w:t>
      </w:r>
      <w:r>
        <w:t xml:space="preserve"> üzerinden biyoüretimin kendi üretim yükleri (steril tesisler, substrat taşıma, işlem sonrası)</w:t>
      </w:r>
    </w:p>
    <w:p>
      <w:pPr>
        <w:jc w:val="both"/>
      </w:pPr>
      <w:r>
        <w:t xml:space="preserve">Bunun sonucunda makalenin iddiası bilinçli olarak daraltıldı: biyotasarım burada </w:t>
      </w:r>
      <w:r>
        <w:rPr>
          <w:b/>
        </w:rPr>
        <w:t>tanısal</w:t>
      </w:r>
      <w:r>
        <w:t xml:space="preserve"> işlev görüyor (bir varsayımı görünür kılıyor), </w:t>
      </w:r>
      <w:r>
        <w:rPr>
          <w:b/>
        </w:rPr>
        <w:t>örnek/çözüm</w:t>
      </w:r>
      <w:r>
        <w:t xml:space="preserve"> değil. Bu, argümanı ekolojik performans tartışmalarından bağımsız hale getiriyor ve daha sağlam kılıyor.</w:t>
      </w:r>
    </w:p>
    <w:p>
      <w:pPr>
        <w:pStyle w:val="Heading2"/>
      </w:pPr>
      <w:r>
        <w:t>3.7 Biyotasarım bölümü ampirik olarak inceydi — kalınlaştırıldı (Bölüm 5)</w:t>
      </w:r>
    </w:p>
    <w:p>
      <w:pPr>
        <w:jc w:val="both"/>
      </w:pPr>
      <w:r>
        <w:t>Taslak biyotasarımdan genel olarak söz ediyordu; somut malzeme süreçleri yoktu. Eklenenler:</w:t>
      </w:r>
    </w:p>
    <w:p>
      <w:pPr>
        <w:pStyle w:val="ListBullet"/>
        <w:spacing w:line="360" w:lineRule="auto"/>
      </w:pPr>
      <w:r>
        <w:rPr>
          <w:b/>
        </w:rPr>
        <w:t>Karana vd. (2018)</w:t>
      </w:r>
      <w:r>
        <w:t xml:space="preserve">, "When the material grows" — miselyum vaka çalışması, </w:t>
      </w:r>
      <w:r>
        <w:rPr>
          <w:i/>
        </w:rPr>
        <w:t>International Journal of Design</w:t>
      </w:r>
      <w:r>
        <w:t xml:space="preserve"> 12(2), 119–136</w:t>
      </w:r>
    </w:p>
    <w:p>
      <w:pPr>
        <w:pStyle w:val="ListBullet"/>
        <w:spacing w:line="360" w:lineRule="auto"/>
      </w:pPr>
      <w:r>
        <w:rPr>
          <w:b/>
        </w:rPr>
        <w:t>Jones vd. (2020)</w:t>
      </w:r>
      <w:r>
        <w:t xml:space="preserve"> — miselyum kompozitlerin teknik incelemesi</w:t>
      </w:r>
    </w:p>
    <w:p>
      <w:pPr>
        <w:pStyle w:val="ListBullet"/>
        <w:spacing w:line="360" w:lineRule="auto"/>
      </w:pPr>
      <w:r>
        <w:rPr>
          <w:b/>
        </w:rPr>
        <w:t>Cruz &amp; Beckett (2016)</w:t>
      </w:r>
      <w:r>
        <w:t xml:space="preserve"> — </w:t>
      </w:r>
      <w:r>
        <w:rPr>
          <w:b/>
        </w:rPr>
        <w:t>biyoalıcı tasarım (bioreceptive design)</w:t>
      </w:r>
      <w:r>
        <w:t xml:space="preserve">. Bu, argümanınız için çok güçlü bir örnek: bina yüzeyi biyolojik kolonizasyonu </w:t>
      </w:r>
      <w:r>
        <w:rPr>
          <w:i/>
        </w:rPr>
        <w:t>davet edecek</w:t>
      </w:r>
      <w:r>
        <w:t xml:space="preserve"> şekilde tasarlanıyor. Yani nesne teslim anında bilinçli olarak tamamlanmamış. Bölüm 3.3'teki koruma mantığının (biyosit, kaplama) tam tersi.</w:t>
      </w:r>
    </w:p>
    <w:p>
      <w:pPr>
        <w:pStyle w:val="ListBullet"/>
        <w:spacing w:line="360" w:lineRule="auto"/>
      </w:pPr>
      <w:r>
        <w:rPr>
          <w:b/>
        </w:rPr>
        <w:t>Rognoli vd. (2015)</w:t>
      </w:r>
      <w:r>
        <w:t xml:space="preserve"> DIY materials, </w:t>
      </w:r>
      <w:r>
        <w:rPr>
          <w:b/>
        </w:rPr>
        <w:t>Karana vd. (2015)</w:t>
      </w:r>
      <w:r>
        <w:t xml:space="preserve"> Material Driven Design yöntemi</w:t>
      </w:r>
    </w:p>
    <w:p>
      <w:pPr>
        <w:pStyle w:val="ListBullet"/>
        <w:spacing w:line="360" w:lineRule="auto"/>
      </w:pPr>
      <w:r>
        <w:rPr>
          <w:b/>
        </w:rPr>
        <w:t>Puig de la Bellacasa (2017)</w:t>
      </w:r>
      <w:r>
        <w:t xml:space="preserve"> — bakımın zamansallığı. Bununla "bakım"ın anlamı değiştirildi: kalıcılık paradigmasında bakım </w:t>
      </w:r>
      <w:r>
        <w:rPr>
          <w:i/>
        </w:rPr>
        <w:t>onarıcıdır</w:t>
      </w:r>
      <w:r>
        <w:t xml:space="preserve"> (sapmayı düzeltir), canlı malzeme paradigmasında </w:t>
      </w:r>
      <w:r>
        <w:rPr>
          <w:i/>
        </w:rPr>
        <w:t>kurucudur</w:t>
      </w:r>
      <w:r>
        <w:t xml:space="preserve"> (varlığın koşuludur).</w:t>
      </w:r>
    </w:p>
    <w:p>
      <w:pPr>
        <w:pStyle w:val="ListBullet"/>
        <w:spacing w:line="360" w:lineRule="auto"/>
      </w:pPr>
      <w:r>
        <w:rPr>
          <w:b/>
        </w:rPr>
        <w:t>Barad (2007)</w:t>
      </w:r>
      <w:r>
        <w:t xml:space="preserve"> — intra-action; tasarımcı/malzeme sınırının pratiğin başlangıcı değil sonucu olduğu</w:t>
      </w:r>
    </w:p>
    <w:p>
      <w:pPr>
        <w:pStyle w:val="ListBullet"/>
        <w:spacing w:line="360" w:lineRule="auto"/>
      </w:pPr>
      <w:r>
        <w:rPr>
          <w:b/>
        </w:rPr>
        <w:t>Tsing (2015)</w:t>
      </w:r>
      <w:r>
        <w:t xml:space="preserve"> — ayrışmanın son değil, mekanizma olduğu</w:t>
      </w:r>
    </w:p>
    <w:p>
      <w:pPr>
        <w:jc w:val="both"/>
      </w:pPr>
      <w:r>
        <w:t xml:space="preserve">Ayrıca büyüyen malzemenin üç zamansal sonucu açıkça formüle edildi: </w:t>
      </w:r>
      <w:r>
        <w:rPr>
          <w:b/>
        </w:rPr>
        <w:t>oluşum süresi</w:t>
      </w:r>
      <w:r>
        <w:t xml:space="preserve"> bir tasarım değişkeni haline gelir; </w:t>
      </w:r>
      <w:r>
        <w:rPr>
          <w:b/>
        </w:rPr>
        <w:t>varyans</w:t>
      </w:r>
      <w:r>
        <w:t xml:space="preserve"> kusur değil kurucu nitelik olur (endüstriyel tekrarlanabilirlik mantığının tersine çevrilmesi); nesne, nihai halinin tarif etmediği bir süreci taşır.</w:t>
      </w:r>
    </w:p>
    <w:p>
      <w:pPr>
        <w:pStyle w:val="Heading2"/>
      </w:pPr>
      <w:r>
        <w:t>3.8 Çerçeve analitik olarak kullanılamıyordu — yeniden kuruldu (Bölüm 6)</w:t>
      </w:r>
    </w:p>
    <w:p>
      <w:pPr>
        <w:jc w:val="both"/>
      </w:pPr>
      <w:r>
        <w:t>Taslaktaki dokuz çiftli tablo retorik olarak etkiliydi ama analitik değildi: bir tasarımcı ona bakıp ne yapacağını bilemez, bir hakem onunla bir öneriyi değerlendiremez. Bu tür tablolar hakem raporlarında sıklıkla "yüzeysel" olarak nitelenir.</w:t>
      </w:r>
    </w:p>
    <w:p>
      <w:pPr>
        <w:jc w:val="both"/>
      </w:pPr>
      <w:r>
        <w:t>İki değişiklik yapıldı:</w:t>
      </w:r>
    </w:p>
    <w:p>
      <w:pPr>
        <w:jc w:val="both"/>
      </w:pPr>
      <w:r>
        <w:rPr>
          <w:b/>
        </w:rPr>
        <w:t>(a)</w:t>
      </w:r>
      <w:r>
        <w:t xml:space="preserve"> Tablo 1'e üçüncü bir sütun eklendi: </w:t>
      </w:r>
      <w:r>
        <w:rPr>
          <w:i/>
        </w:rPr>
        <w:t>her çiftin tasarım sorusunu nasıl değiştirdiği</w:t>
      </w:r>
      <w:r>
        <w:t>. Böylece tablo test edilebilir hale geldi — bir öneri ya soruyu belirtilen şekilde kaydırır ya kaydırmaz.</w:t>
      </w:r>
    </w:p>
    <w:p>
      <w:pPr>
        <w:jc w:val="both"/>
      </w:pPr>
      <w:r>
        <w:rPr>
          <w:b/>
        </w:rPr>
        <w:t>(b)</w:t>
      </w:r>
      <w:r>
        <w:t xml:space="preserve"> Tamamen yeni bir </w:t>
      </w:r>
      <w:r>
        <w:rPr>
          <w:b/>
        </w:rPr>
        <w:t>Tablo 2</w:t>
      </w:r>
      <w:r>
        <w:t xml:space="preserve"> eklendi: </w:t>
      </w:r>
      <w:r>
        <w:rPr>
          <w:b/>
        </w:rPr>
        <w:t>zamansal niyeti belirlemenin altı boyutu</w:t>
      </w:r>
      <w:r>
        <w:t>.</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after="40"/>
            </w:pPr>
            <w:r>
              <w:rPr>
                <w:b/>
                <w:sz w:val="20"/>
              </w:rPr>
            </w:r>
            <w:r>
              <w:rPr>
                <w:b/>
                <w:sz w:val="20"/>
              </w:rPr>
              <w:t>Boyut</w:t>
            </w:r>
          </w:p>
        </w:tc>
        <w:tc>
          <w:tcPr>
            <w:tcW w:type="dxa" w:w="4680"/>
          </w:tcPr>
          <w:p>
            <w:pPr>
              <w:spacing w:line="240" w:lineRule="auto" w:after="40"/>
            </w:pPr>
            <w:r>
              <w:rPr>
                <w:b/>
                <w:sz w:val="20"/>
              </w:rPr>
            </w:r>
            <w:r>
              <w:rPr>
                <w:b/>
                <w:sz w:val="20"/>
              </w:rPr>
              <w:t>Yanıtladığı soru</w:t>
            </w:r>
          </w:p>
        </w:tc>
      </w:tr>
      <w:tr>
        <w:tc>
          <w:tcPr>
            <w:tcW w:type="dxa" w:w="4680"/>
          </w:tcPr>
          <w:p>
            <w:pPr>
              <w:spacing w:line="240" w:lineRule="auto" w:after="40"/>
            </w:pPr>
            <w:r>
              <w:rPr>
                <w:sz w:val="20"/>
              </w:rPr>
            </w:r>
            <w:r>
              <w:rPr>
                <w:sz w:val="20"/>
              </w:rPr>
              <w:t>Hız (rate)</w:t>
            </w:r>
          </w:p>
        </w:tc>
        <w:tc>
          <w:tcPr>
            <w:tcW w:type="dxa" w:w="4680"/>
          </w:tcPr>
          <w:p>
            <w:pPr>
              <w:spacing w:line="240" w:lineRule="auto" w:after="40"/>
            </w:pPr>
            <w:r>
              <w:rPr>
                <w:sz w:val="20"/>
              </w:rPr>
            </w:r>
            <w:r>
              <w:rPr>
                <w:sz w:val="20"/>
              </w:rPr>
              <w:t>Malzeme kullanım temposuna göre ne hızda değişiyor?</w:t>
            </w:r>
          </w:p>
        </w:tc>
      </w:tr>
      <w:tr>
        <w:tc>
          <w:tcPr>
            <w:tcW w:type="dxa" w:w="4680"/>
          </w:tcPr>
          <w:p>
            <w:pPr>
              <w:spacing w:line="240" w:lineRule="auto" w:after="40"/>
            </w:pPr>
            <w:r>
              <w:rPr>
                <w:sz w:val="20"/>
              </w:rPr>
            </w:r>
            <w:r>
              <w:rPr>
                <w:sz w:val="20"/>
              </w:rPr>
              <w:t>Yönelim (directionality)</w:t>
            </w:r>
          </w:p>
        </w:tc>
        <w:tc>
          <w:tcPr>
            <w:tcW w:type="dxa" w:w="4680"/>
          </w:tcPr>
          <w:p>
            <w:pPr>
              <w:spacing w:line="240" w:lineRule="auto" w:after="40"/>
            </w:pPr>
            <w:r>
              <w:rPr>
                <w:sz w:val="20"/>
              </w:rPr>
            </w:r>
            <w:r>
              <w:rPr>
                <w:sz w:val="20"/>
              </w:rPr>
              <w:t>Değişim tanımlı bir duruma mı gidiyor, açık uçlu mu?</w:t>
            </w:r>
          </w:p>
        </w:tc>
      </w:tr>
      <w:tr>
        <w:tc>
          <w:tcPr>
            <w:tcW w:type="dxa" w:w="4680"/>
          </w:tcPr>
          <w:p>
            <w:pPr>
              <w:spacing w:line="240" w:lineRule="auto" w:after="40"/>
            </w:pPr>
            <w:r>
              <w:rPr>
                <w:sz w:val="20"/>
              </w:rPr>
            </w:r>
            <w:r>
              <w:rPr>
                <w:sz w:val="20"/>
              </w:rPr>
              <w:t>Tersinirlik (reversibility)</w:t>
            </w:r>
          </w:p>
        </w:tc>
        <w:tc>
          <w:tcPr>
            <w:tcW w:type="dxa" w:w="4680"/>
          </w:tcPr>
          <w:p>
            <w:pPr>
              <w:spacing w:line="240" w:lineRule="auto" w:after="40"/>
            </w:pPr>
            <w:r>
              <w:rPr>
                <w:sz w:val="20"/>
              </w:rPr>
            </w:r>
            <w:r>
              <w:rPr>
                <w:sz w:val="20"/>
              </w:rPr>
              <w:t>Bir durum geri kazanılabilir mi, değişim birikimli mi?</w:t>
            </w:r>
          </w:p>
        </w:tc>
      </w:tr>
      <w:tr>
        <w:tc>
          <w:tcPr>
            <w:tcW w:type="dxa" w:w="4680"/>
          </w:tcPr>
          <w:p>
            <w:pPr>
              <w:spacing w:line="240" w:lineRule="auto" w:after="40"/>
            </w:pPr>
            <w:r>
              <w:rPr>
                <w:sz w:val="20"/>
              </w:rPr>
            </w:r>
            <w:r>
              <w:rPr>
                <w:sz w:val="20"/>
              </w:rPr>
              <w:t>Ölçek (scale)</w:t>
            </w:r>
          </w:p>
        </w:tc>
        <w:tc>
          <w:tcPr>
            <w:tcW w:type="dxa" w:w="4680"/>
          </w:tcPr>
          <w:p>
            <w:pPr>
              <w:spacing w:line="240" w:lineRule="auto" w:after="40"/>
            </w:pPr>
            <w:r>
              <w:rPr>
                <w:sz w:val="20"/>
              </w:rPr>
            </w:r>
            <w:r>
              <w:rPr>
                <w:sz w:val="20"/>
              </w:rPr>
              <w:t>Nesne hangi zamansal ufukta değerlendiriliyor?</w:t>
            </w:r>
          </w:p>
        </w:tc>
      </w:tr>
      <w:tr>
        <w:tc>
          <w:tcPr>
            <w:tcW w:type="dxa" w:w="4680"/>
          </w:tcPr>
          <w:p>
            <w:pPr>
              <w:spacing w:line="240" w:lineRule="auto" w:after="40"/>
            </w:pPr>
            <w:r>
              <w:rPr>
                <w:sz w:val="20"/>
              </w:rPr>
            </w:r>
            <w:r>
              <w:rPr>
                <w:sz w:val="20"/>
              </w:rPr>
              <w:t>Faillik dağılımı</w:t>
            </w:r>
          </w:p>
        </w:tc>
        <w:tc>
          <w:tcPr>
            <w:tcW w:type="dxa" w:w="4680"/>
          </w:tcPr>
          <w:p>
            <w:pPr>
              <w:spacing w:line="240" w:lineRule="auto" w:after="40"/>
            </w:pPr>
            <w:r>
              <w:rPr>
                <w:sz w:val="20"/>
              </w:rPr>
            </w:r>
            <w:r>
              <w:rPr>
                <w:sz w:val="20"/>
              </w:rPr>
              <w:t>Yörüngeyi kim/ne belirliyor?</w:t>
            </w:r>
          </w:p>
        </w:tc>
      </w:tr>
      <w:tr>
        <w:tc>
          <w:tcPr>
            <w:tcW w:type="dxa" w:w="4680"/>
          </w:tcPr>
          <w:p>
            <w:pPr>
              <w:spacing w:line="240" w:lineRule="auto" w:after="40"/>
            </w:pPr>
            <w:r>
              <w:rPr>
                <w:sz w:val="20"/>
              </w:rPr>
            </w:r>
            <w:r>
              <w:rPr>
                <w:sz w:val="20"/>
              </w:rPr>
              <w:t>Sonlanma (terminus)</w:t>
            </w:r>
          </w:p>
        </w:tc>
        <w:tc>
          <w:tcPr>
            <w:tcW w:type="dxa" w:w="4680"/>
          </w:tcPr>
          <w:p>
            <w:pPr>
              <w:spacing w:line="240" w:lineRule="auto" w:after="40"/>
            </w:pPr>
            <w:r>
              <w:rPr>
                <w:sz w:val="20"/>
              </w:rPr>
            </w:r>
            <w:r>
              <w:rPr>
                <w:sz w:val="20"/>
              </w:rPr>
              <w:t>Amaçlanan son durum nedir, madde hangi sisteme geçiyor?</w:t>
            </w:r>
          </w:p>
        </w:tc>
      </w:tr>
    </w:tbl>
    <w:p/>
    <w:p>
      <w:pPr>
        <w:jc w:val="both"/>
      </w:pPr>
      <w:r>
        <w:t>Bu boyutlar analitik olarak bağımsızdır ve "zamansallık"ın tek eksene (süre) çökmesini engeller — ki Pschetz &amp; Bastian'ın (2018) tam olarak eleştirdiği indirgeme budur. Bu, makalenin en somut özgün katkısı haline geldi.</w:t>
      </w:r>
    </w:p>
    <w:p>
      <w:pPr>
        <w:pStyle w:val="Heading2"/>
      </w:pPr>
      <w:r>
        <w:t>3.9 Sınır koşulları belirtilmemişti — eklendi (Bölüm 6.4, yeni)</w:t>
      </w:r>
    </w:p>
    <w:p>
      <w:pPr>
        <w:jc w:val="both"/>
      </w:pPr>
      <w:r>
        <w:t>Nerede uygulanmadığını söyleyemeyen bir çerçeve kuram değil ideolojidir. Dört sınır koşulu açıkça yazıldı:</w:t>
      </w:r>
    </w:p>
    <w:p>
      <w:pPr>
        <w:pStyle w:val="ListNumber"/>
        <w:spacing w:line="360" w:lineRule="auto"/>
      </w:pPr>
      <w:r>
        <w:rPr>
          <w:b/>
        </w:rPr>
        <w:t>Güvenlik-kritik ve yapısal bağlamlar</w:t>
      </w:r>
      <w:r>
        <w:t xml:space="preserve"> — öngörülebilir performans modernist bir tercih değil, etik bir zorunluluk</w:t>
      </w:r>
    </w:p>
    <w:p>
      <w:pPr>
        <w:pStyle w:val="ListNumber"/>
        <w:spacing w:line="360" w:lineRule="auto"/>
      </w:pPr>
      <w:r>
        <w:rPr>
          <w:b/>
        </w:rPr>
        <w:t>Tehlikeli maddenin muhafazası</w:t>
      </w:r>
      <w:r>
        <w:t xml:space="preserve"> — argümanın en net tersine dönüşü: uzun ömürlü radyoaktif atıkta gereken tam olarak kalıcılıktır; sorun insan kurumlarının yeterince kalıcı olmamasıdır</w:t>
      </w:r>
    </w:p>
    <w:p>
      <w:pPr>
        <w:pStyle w:val="ListNumber"/>
        <w:spacing w:line="360" w:lineRule="auto"/>
      </w:pPr>
      <w:r>
        <w:rPr>
          <w:b/>
        </w:rPr>
        <w:t>Altyapı ve kamusal süreklilik</w:t>
      </w:r>
    </w:p>
    <w:p>
      <w:pPr>
        <w:pStyle w:val="ListNumber"/>
        <w:spacing w:line="360" w:lineRule="auto"/>
      </w:pPr>
      <w:r>
        <w:rPr>
          <w:b/>
        </w:rPr>
        <w:t>Kültürel aktarım</w:t>
      </w:r>
    </w:p>
    <w:p>
      <w:pPr>
        <w:jc w:val="both"/>
      </w:pPr>
      <w:r>
        <w:t>Bu bölüm makaleyi "dayanıklılık karşıtı manifesto" okumasından koruyor ve hakemin en olası itirazını önceden karşılıyor.</w:t>
      </w:r>
    </w:p>
    <w:p>
      <w:pPr>
        <w:pStyle w:val="Heading2"/>
      </w:pPr>
      <w:r>
        <w:t>3.10 Tartışma bölümü zayıftı — genişletildi (Bölüm 7)</w:t>
      </w:r>
    </w:p>
    <w:p>
      <w:pPr>
        <w:jc w:val="both"/>
      </w:pPr>
      <w:r>
        <w:t xml:space="preserve">Eklenenler: katkının üç maddede açık formülasyonu; pratik, eğitim ve </w:t>
      </w:r>
      <w:r>
        <w:rPr>
          <w:b/>
        </w:rPr>
        <w:t>değerlendirme</w:t>
      </w:r>
      <w:r>
        <w:t xml:space="preserve"> (jüri, ödül, hakemlik) için çıkarımlar; itirazlar ve sınırlılıklar bölümü. Özellikle iki itiraz açıkça ele alındı:</w:t>
      </w:r>
    </w:p>
    <w:p>
      <w:pPr>
        <w:pStyle w:val="ListBullet"/>
        <w:spacing w:line="360" w:lineRule="auto"/>
      </w:pPr>
      <w:r>
        <w:rPr>
          <w:b/>
        </w:rPr>
        <w:t>Planlı eskitmeden ayrım:</w:t>
      </w:r>
      <w:r>
        <w:t xml:space="preserve"> Planlı eskitme aslında bir </w:t>
      </w:r>
      <w:r>
        <w:rPr>
          <w:i/>
        </w:rPr>
        <w:t>kalıcılık paradigması</w:t>
      </w:r>
      <w:r>
        <w:t xml:space="preserve"> stratejisidir — nesnenin kararlı bir ürün olduğu varsayımına dayanır ve maddi yörünge hakkında hiçbir şey söylemez. Zamansallık yönelimli yaklaşım kısalıkla değil, döngü ve belirtilmiş sonlanmayla tanımlanır.</w:t>
      </w:r>
    </w:p>
    <w:p>
      <w:pPr>
        <w:pStyle w:val="ListBullet"/>
        <w:spacing w:line="360" w:lineRule="auto"/>
      </w:pPr>
      <w:r>
        <w:rPr>
          <w:b/>
        </w:rPr>
        <w:t>Maddi faillik abartısı:</w:t>
      </w:r>
      <w:r>
        <w:t xml:space="preserve"> "Dağıtılmış yazarlık" sorumluluğu bulandıran retorik bir araca dönüşebilir. Tablo 2'deki "faillik dağılımı" boyutu kısmen buna karşı bir denetim olarak konumlandırıldı: tasarımcının hangi kararları devrettiğini, hangilerini elinde tuttuğunu somut olarak beyan etmesini ister.</w:t>
      </w:r>
    </w:p>
    <w:p>
      <w:pPr>
        <w:pStyle w:val="Heading2"/>
      </w:pPr>
      <w:r>
        <w:t>3.11 Kavramsal derinlik (Bölüm 6.1)</w:t>
      </w:r>
    </w:p>
    <w:p>
      <w:pPr>
        <w:jc w:val="both"/>
      </w:pPr>
      <w:r>
        <w:t xml:space="preserve">Bergson'a </w:t>
      </w:r>
      <w:r>
        <w:rPr>
          <w:b/>
        </w:rPr>
        <w:t>Whitehead (1929/1978)</w:t>
      </w:r>
      <w:r>
        <w:t xml:space="preserve"> eklendi ve Ingold'un </w:t>
      </w:r>
      <w:r>
        <w:rPr>
          <w:b/>
        </w:rPr>
        <w:t>"Materials against materiality" (2007)</w:t>
      </w:r>
      <w:r>
        <w:t xml:space="preserve"> makalesi ayrıca anıldı.</w:t>
      </w:r>
    </w:p>
    <w:p>
      <w:pPr>
        <w:jc w:val="both"/>
      </w:pPr>
      <w:r>
        <w:t xml:space="preserve">En önemli kavramsal ekleme şu: </w:t>
      </w:r>
      <w:r>
        <w:rPr>
          <w:b/>
        </w:rPr>
        <w:t>kalıcılık bir başarıdır, veri değil.</w:t>
      </w:r>
      <w:r>
        <w:t xml:space="preserve"> Eğer kararlılık verili değil elde edilmişse, onu sürdürmek için gereken kaynaklar (kaplamalar, biyositler, iklimlendirme, bakım emeği, dirençli malzeme seçimi) tasarımın </w:t>
      </w:r>
      <w:r>
        <w:rPr>
          <w:i/>
        </w:rPr>
        <w:t>maliyetinin parçası</w:t>
      </w:r>
      <w:r>
        <w:t xml:space="preserve"> olarak sayılmalıdır — nötr bir arka plan olarak değil. Kalıcılık paradigmasının yaptığı şey tam olarak bu maliyetleri görünmez kılmaktır. Bu, soyut bir ontolojik iddiayı somut bir metodolojik sonuca bağlıyor.</w:t>
      </w:r>
    </w:p>
    <w:p>
      <w:pPr>
        <w:pStyle w:val="Heading2"/>
      </w:pPr>
      <w:r>
        <w:t>3.12 Başlık, öz ve editör notları</w:t>
      </w:r>
    </w:p>
    <w:p>
      <w:pPr>
        <w:pStyle w:val="ListBullet"/>
        <w:spacing w:line="360" w:lineRule="auto"/>
      </w:pPr>
      <w:r>
        <w:rPr>
          <w:b/>
        </w:rPr>
        <w:t>Başlık:</w:t>
      </w:r>
      <w:r>
        <w:t xml:space="preserve"> "Beyond Permanence: Rethinking Temporality as a Design Value Through Biodesign" → "</w:t>
      </w:r>
      <w:r>
        <w:rPr>
          <w:b/>
        </w:rPr>
        <w:t>Reframing</w:t>
      </w:r>
      <w:r>
        <w:t xml:space="preserve"> Temporality..." Çerçevenin yeniden kurulması iddiası "yeniden düşünme"den daha spesifik ve daha savunulabilir.</w:t>
      </w:r>
    </w:p>
    <w:p>
      <w:pPr>
        <w:pStyle w:val="ListBullet"/>
        <w:spacing w:line="360" w:lineRule="auto"/>
      </w:pPr>
      <w:r>
        <w:rPr>
          <w:b/>
        </w:rPr>
        <w:t>Öz:</w:t>
      </w:r>
      <w:r>
        <w:t xml:space="preserve"> Yeniden yazıldı; artık üç iddiayı, iki bölümlü çerçeveyi ve sınır koşullarını açıkça belirtiyor. Alt başlıklı yapı isteyen dergiler için kolayca bölünebilir.</w:t>
      </w:r>
    </w:p>
    <w:p>
      <w:pPr>
        <w:pStyle w:val="ListBullet"/>
        <w:spacing w:line="360" w:lineRule="auto"/>
      </w:pPr>
      <w:r>
        <w:rPr>
          <w:b/>
        </w:rPr>
        <w:t>"Editorial Notes for the Next Revision" bölümü kaldırıldı.</w:t>
      </w:r>
      <w:r>
        <w:t xml:space="preserve"> Bu iç not niteliğindeydi; gönderilen dosyada kalması profesyonel olmayan bir izlenim yaratırdı. İçeriği bu rapora aktarıldı.</w:t>
      </w:r>
    </w:p>
    <w:p>
      <w:pPr>
        <w:pStyle w:val="Heading1"/>
      </w:pPr>
      <w:r>
        <w:t>4. Gönderim Öncesi Yapılması Gerekenler</w:t>
      </w:r>
    </w:p>
    <w:p>
      <w:pPr>
        <w:pStyle w:val="ListNumber"/>
        <w:spacing w:line="360" w:lineRule="auto"/>
      </w:pPr>
      <w:r>
        <w:rPr>
          <w:b/>
        </w:rPr>
        <w:t>Hedef dergiyi belirleyin.</w:t>
      </w:r>
      <w:r>
        <w:t xml:space="preserve"> Uygun adaylar: </w:t>
      </w:r>
      <w:r>
        <w:rPr>
          <w:i/>
        </w:rPr>
        <w:t>Design Studies</w:t>
      </w:r>
      <w:r>
        <w:t xml:space="preserve">, </w:t>
      </w:r>
      <w:r>
        <w:rPr>
          <w:i/>
        </w:rPr>
        <w:t>International Journal of Design</w:t>
      </w:r>
      <w:r>
        <w:t xml:space="preserve">, </w:t>
      </w:r>
      <w:r>
        <w:rPr>
          <w:i/>
        </w:rPr>
        <w:t>Design Issues</w:t>
      </w:r>
      <w:r>
        <w:t xml:space="preserve">, </w:t>
      </w:r>
      <w:r>
        <w:rPr>
          <w:i/>
        </w:rPr>
        <w:t>The Design Journal</w:t>
      </w:r>
      <w:r>
        <w:t xml:space="preserve">, </w:t>
      </w:r>
      <w:r>
        <w:rPr>
          <w:i/>
        </w:rPr>
        <w:t>Designing</w:t>
      </w:r>
      <w:r>
        <w:t xml:space="preserve">. Metnin argüman yapısı ve uzunluğu (~10.000 kelime) </w:t>
      </w:r>
      <w:r>
        <w:rPr>
          <w:i/>
        </w:rPr>
        <w:t>Design Studies</w:t>
      </w:r>
      <w:r>
        <w:t xml:space="preserve"> ve </w:t>
      </w:r>
      <w:r>
        <w:rPr>
          <w:i/>
        </w:rPr>
        <w:t>Design Issues</w:t>
      </w:r>
      <w:r>
        <w:t xml:space="preserve"> için uygundur; </w:t>
      </w:r>
      <w:r>
        <w:rPr>
          <w:i/>
        </w:rPr>
        <w:t>Design Issues</w:t>
      </w:r>
      <w:r>
        <w:t xml:space="preserve"> daha kısa metinler tercih ediyorsa Bölüm 3'ün kısaltılması en az zararlı yoldur.</w:t>
      </w:r>
    </w:p>
    <w:p>
      <w:pPr>
        <w:pStyle w:val="ListNumber"/>
        <w:spacing w:line="360" w:lineRule="auto"/>
      </w:pPr>
      <w:r>
        <w:rPr>
          <w:b/>
        </w:rPr>
        <w:t>Kaynakça biçimini derginin kılavuzuna göre yeniden ayarlayın.</w:t>
      </w:r>
      <w:r>
        <w:t xml:space="preserve"> Şu an APA 7.</w:t>
      </w:r>
    </w:p>
    <w:p>
      <w:pPr>
        <w:pStyle w:val="ListNumber"/>
        <w:spacing w:line="360" w:lineRule="auto"/>
      </w:pPr>
      <w:r>
        <w:rPr>
          <w:b/>
        </w:rPr>
        <w:t>Yazar bilgilerini ekleyin</w:t>
      </w:r>
      <w:r>
        <w:t xml:space="preserve"> (ad, kurum, ORCID, iletişim). Kör hakemlik isteniyorsa ayrı bir başlık sayfası hazırlayın.</w:t>
      </w:r>
    </w:p>
    <w:p>
      <w:pPr>
        <w:pStyle w:val="ListNumber"/>
        <w:spacing w:line="360" w:lineRule="auto"/>
      </w:pPr>
      <w:r>
        <w:rPr>
          <w:b/>
        </w:rPr>
        <w:t>Beyanları ekleyin:</w:t>
      </w:r>
      <w:r>
        <w:t xml:space="preserve"> çıkar çatışması, finansman, etik onay (gerekmiyor — ampirik veri yok), yapay zekâ kullanımı beyanı (derginin politikasına bakın).</w:t>
      </w:r>
    </w:p>
    <w:p>
      <w:pPr>
        <w:pStyle w:val="ListNumber"/>
        <w:spacing w:line="360" w:lineRule="auto"/>
      </w:pPr>
      <w:r>
        <w:rPr>
          <w:b/>
        </w:rPr>
        <w:t>DOI'leri son kez kontrol edin.</w:t>
      </w:r>
      <w:r>
        <w:t xml:space="preserve"> Tüm künyeler doğrulandı, ancak yayıncı sayfalarında sayfa numaraları güncellenmiş olabilir.</w:t>
      </w:r>
    </w:p>
    <w:p>
      <w:pPr>
        <w:pStyle w:val="ListNumber"/>
        <w:spacing w:line="360" w:lineRule="auto"/>
      </w:pPr>
      <w:r>
        <w:rPr>
          <w:b/>
        </w:rPr>
        <w:t>İsteğe bağlı görsel:</w:t>
      </w:r>
      <w:r>
        <w:t xml:space="preserve"> Tablo 2'nin altı boyutunu tek bir diyagramda gösteren bir şekil, makalenin katkısını hakem için görünür kılar. İstersen hazırlayabilirim.</w:t>
      </w:r>
    </w:p>
    <w:p>
      <w:pPr>
        <w:pStyle w:val="Heading1"/>
      </w:pPr>
      <w:r>
        <w:t>5. Kaynak Sayısı</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after="40"/>
            </w:pPr>
            <w:r>
              <w:rPr>
                <w:b/>
                <w:sz w:val="20"/>
              </w:rPr>
            </w:r>
          </w:p>
        </w:tc>
        <w:tc>
          <w:tcPr>
            <w:tcW w:type="dxa" w:w="3120"/>
          </w:tcPr>
          <w:p>
            <w:pPr>
              <w:spacing w:line="240" w:lineRule="auto" w:after="40"/>
            </w:pPr>
            <w:r>
              <w:rPr>
                <w:b/>
                <w:sz w:val="20"/>
              </w:rPr>
            </w:r>
            <w:r>
              <w:rPr>
                <w:b/>
                <w:sz w:val="20"/>
              </w:rPr>
              <w:t>Taslak</w:t>
            </w:r>
          </w:p>
        </w:tc>
        <w:tc>
          <w:tcPr>
            <w:tcW w:type="dxa" w:w="3120"/>
          </w:tcPr>
          <w:p>
            <w:pPr>
              <w:spacing w:line="240" w:lineRule="auto" w:after="40"/>
            </w:pPr>
            <w:r>
              <w:rPr>
                <w:b/>
                <w:sz w:val="20"/>
              </w:rPr>
            </w:r>
            <w:r>
              <w:rPr>
                <w:b/>
                <w:sz w:val="20"/>
              </w:rPr>
              <w:t>Revizyon</w:t>
            </w:r>
          </w:p>
        </w:tc>
      </w:tr>
      <w:tr>
        <w:tc>
          <w:tcPr>
            <w:tcW w:type="dxa" w:w="3120"/>
          </w:tcPr>
          <w:p>
            <w:pPr>
              <w:spacing w:line="240" w:lineRule="auto" w:after="40"/>
            </w:pPr>
            <w:r>
              <w:rPr>
                <w:sz w:val="20"/>
              </w:rPr>
            </w:r>
            <w:r>
              <w:rPr>
                <w:sz w:val="20"/>
              </w:rPr>
              <w:t>Toplam kaynak</w:t>
            </w:r>
          </w:p>
        </w:tc>
        <w:tc>
          <w:tcPr>
            <w:tcW w:type="dxa" w:w="3120"/>
          </w:tcPr>
          <w:p>
            <w:pPr>
              <w:spacing w:line="240" w:lineRule="auto" w:after="40"/>
            </w:pPr>
            <w:r>
              <w:rPr>
                <w:sz w:val="20"/>
              </w:rPr>
            </w:r>
            <w:r>
              <w:rPr>
                <w:sz w:val="20"/>
              </w:rPr>
              <w:t>18</w:t>
            </w:r>
          </w:p>
        </w:tc>
        <w:tc>
          <w:tcPr>
            <w:tcW w:type="dxa" w:w="3120"/>
          </w:tcPr>
          <w:p>
            <w:pPr>
              <w:spacing w:line="240" w:lineRule="auto" w:after="40"/>
            </w:pPr>
            <w:r>
              <w:rPr>
                <w:sz w:val="20"/>
              </w:rPr>
            </w:r>
            <w:r>
              <w:rPr>
                <w:sz w:val="20"/>
              </w:rPr>
              <w:t>49</w:t>
            </w:r>
          </w:p>
        </w:tc>
      </w:tr>
      <w:tr>
        <w:tc>
          <w:tcPr>
            <w:tcW w:type="dxa" w:w="3120"/>
          </w:tcPr>
          <w:p>
            <w:pPr>
              <w:spacing w:line="240" w:lineRule="auto" w:after="40"/>
            </w:pPr>
            <w:r>
              <w:rPr>
                <w:sz w:val="20"/>
              </w:rPr>
            </w:r>
            <w:r>
              <w:rPr>
                <w:sz w:val="20"/>
              </w:rPr>
              <w:t>Doğrulanan</w:t>
            </w:r>
          </w:p>
        </w:tc>
        <w:tc>
          <w:tcPr>
            <w:tcW w:type="dxa" w:w="3120"/>
          </w:tcPr>
          <w:p>
            <w:pPr>
              <w:spacing w:line="240" w:lineRule="auto" w:after="40"/>
            </w:pPr>
            <w:r>
              <w:rPr>
                <w:sz w:val="20"/>
              </w:rPr>
            </w:r>
            <w:r>
              <w:rPr>
                <w:sz w:val="20"/>
              </w:rPr>
              <w:t>—</w:t>
            </w:r>
          </w:p>
        </w:tc>
        <w:tc>
          <w:tcPr>
            <w:tcW w:type="dxa" w:w="3120"/>
          </w:tcPr>
          <w:p>
            <w:pPr>
              <w:spacing w:line="240" w:lineRule="auto" w:after="40"/>
            </w:pPr>
            <w:r>
              <w:rPr>
                <w:sz w:val="20"/>
              </w:rPr>
            </w:r>
            <w:r>
              <w:rPr>
                <w:sz w:val="20"/>
              </w:rPr>
              <w:t>49</w:t>
            </w:r>
          </w:p>
        </w:tc>
      </w:tr>
      <w:tr>
        <w:tc>
          <w:tcPr>
            <w:tcW w:type="dxa" w:w="3120"/>
          </w:tcPr>
          <w:p>
            <w:pPr>
              <w:spacing w:line="240" w:lineRule="auto" w:after="40"/>
            </w:pPr>
            <w:r>
              <w:rPr>
                <w:sz w:val="20"/>
              </w:rPr>
            </w:r>
            <w:r>
              <w:rPr>
                <w:sz w:val="20"/>
              </w:rPr>
              <w:t>Düzeltilen hatalı künye</w:t>
            </w:r>
          </w:p>
        </w:tc>
        <w:tc>
          <w:tcPr>
            <w:tcW w:type="dxa" w:w="3120"/>
          </w:tcPr>
          <w:p>
            <w:pPr>
              <w:spacing w:line="240" w:lineRule="auto" w:after="40"/>
            </w:pPr>
            <w:r>
              <w:rPr>
                <w:sz w:val="20"/>
              </w:rPr>
            </w:r>
            <w:r>
              <w:rPr>
                <w:sz w:val="20"/>
              </w:rPr>
              <w:t>—</w:t>
            </w:r>
          </w:p>
        </w:tc>
        <w:tc>
          <w:tcPr>
            <w:tcW w:type="dxa" w:w="3120"/>
          </w:tcPr>
          <w:p>
            <w:pPr>
              <w:spacing w:line="240" w:lineRule="auto" w:after="40"/>
            </w:pPr>
            <w:r>
              <w:rPr>
                <w:sz w:val="20"/>
              </w:rPr>
            </w:r>
            <w:r>
              <w:rPr>
                <w:sz w:val="20"/>
              </w:rPr>
              <w:t>1</w:t>
            </w:r>
          </w:p>
        </w:tc>
      </w:tr>
      <w:tr>
        <w:tc>
          <w:tcPr>
            <w:tcW w:type="dxa" w:w="3120"/>
          </w:tcPr>
          <w:p>
            <w:pPr>
              <w:spacing w:line="240" w:lineRule="auto" w:after="40"/>
            </w:pPr>
            <w:r>
              <w:rPr>
                <w:sz w:val="20"/>
              </w:rPr>
            </w:r>
            <w:r>
              <w:rPr>
                <w:sz w:val="20"/>
              </w:rPr>
              <w:t>Kelime sayısı (yaklaşık)</w:t>
            </w:r>
          </w:p>
        </w:tc>
        <w:tc>
          <w:tcPr>
            <w:tcW w:type="dxa" w:w="3120"/>
          </w:tcPr>
          <w:p>
            <w:pPr>
              <w:spacing w:line="240" w:lineRule="auto" w:after="40"/>
            </w:pPr>
            <w:r>
              <w:rPr>
                <w:sz w:val="20"/>
              </w:rPr>
            </w:r>
            <w:r>
              <w:rPr>
                <w:sz w:val="20"/>
              </w:rPr>
              <w:t>5.000</w:t>
            </w:r>
          </w:p>
        </w:tc>
        <w:tc>
          <w:tcPr>
            <w:tcW w:type="dxa" w:w="3120"/>
          </w:tcPr>
          <w:p>
            <w:pPr>
              <w:spacing w:line="240" w:lineRule="auto" w:after="40"/>
            </w:pPr>
            <w:r>
              <w:rPr>
                <w:sz w:val="20"/>
              </w:rPr>
            </w:r>
            <w:r>
              <w:rPr>
                <w:sz w:val="20"/>
              </w:rPr>
              <w:t>10.000</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36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20" w:line="360" w:lineRule="auto"/>
      <w:outlineLvl w:val="2"/>
    </w:pPr>
    <w:rPr>
      <w:rFonts w:asciiTheme="majorHAnsi" w:eastAsiaTheme="majorEastAsia" w:hAnsiTheme="majorHAnsi" w:cstheme="majorBidi" w:ascii="Times New Roman" w:hAnsi="Times New Roman"/>
      <w:b w:val="0"/>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