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jc w:val="center"/>
      </w:pPr>
      <w:r>
        <w:rPr>
          <w:rFonts w:ascii="Times New Roman" w:cs="Times New Roman" w:eastAsia="Times New Roman" w:hAnsi="Times New Roman"/>
          <w:b/>
          <w:bCs/>
          <w:i w:val="false"/>
          <w:iCs w:val="false"/>
          <w:sz w:val="21"/>
          <w:szCs w:val="21"/>
        </w:rPr>
        <w:t xml:space="preserve">KAPADOKYA ÜNİVERSİTESİ</w:t>
      </w:r>
    </w:p>
    <w:p>
      <w:pPr>
        <w:spacing w:after="140" w:before="0" w:line="240" w:lineRule="auto"/>
        <w:ind w:firstLine="480"/>
        <w:jc w:val="both"/>
      </w:pPr>
      <w:r>
        <w:rPr>
          <w:rFonts w:ascii="Times New Roman" w:cs="Times New Roman" w:eastAsia="Times New Roman" w:hAnsi="Times New Roman"/>
          <w:b w:val="false"/>
          <w:bCs w:val="false"/>
          <w:i w:val="false"/>
          <w:iCs w:val="false"/>
          <w:sz w:val="20"/>
          <w:szCs w:val="20"/>
        </w:rPr>
        <w:t xml:space="preserve">Bu form, üniversitemiz bünyesinde yeni bir Mikro Yeterlilik Eğitimi açmak isteyen öğretim elemanları tarafından, Mikro Yeterlilik Koordinatörlüğüne sunulmak üzere doldurulmalıdır. Formda talep edilen bilgiler, mevzuatın öngördüğü asgari kalite standartları ve Türkiye Yeterlilikler Çerçevesi (TYÇ) uyum süreçleri göz önünde bulundurularak eksiksiz doldurulmalıdır.</w:t>
      </w:r>
    </w:p>
    <w:p>
      <w:pPr>
        <w:spacing w:after="80" w:before="200"/>
      </w:pPr>
      <w:r>
        <w:rPr>
          <w:rFonts w:ascii="Times New Roman" w:cs="Times New Roman" w:eastAsia="Times New Roman" w:hAnsi="Times New Roman"/>
          <w:b/>
          <w:bCs/>
          <w:i w:val="false"/>
          <w:iCs w:val="false"/>
          <w:sz w:val="21"/>
          <w:szCs w:val="21"/>
        </w:rPr>
        <w:t xml:space="preserve">BÖLÜM 1: Başvuru Sahibi ve Kurumsal Bilgiler</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7240"/>
      </w:tblGrid>
      <w:tr>
        <w:trPr>
          <w:cantSplit/>
          <w:tblHeader w:val="false"/>
          <w:trHeight w:val="480" w:hRule="atLeast"/>
        </w:trPr>
        <w:tc>
          <w:tcPr>
            <w:tcW w:type="dxa" w:w="3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Başvuru Sahibi (Unvan, Adı, Soyadı)</w:t>
            </w:r>
          </w:p>
        </w:tc>
        <w:tc>
          <w:tcPr>
            <w:tcW w:type="dxa" w:w="72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(Unvan)</w:t>
            </w:r>
            <w:r>
              <w:rPr>
                <w:rFonts w:ascii="Times New Roman" w:cs="Times New Roman" w:eastAsia="Times New Roman" w:hAnsi="Times New Roman"/>
                <w:b w:val="false"/>
                <w:bCs w:val="false"/>
                <w:i w:val="false"/>
                <w:iCs w:val="false"/>
                <w:sz w:val="20"/>
                <w:szCs w:val="20"/>
              </w:rPr>
              <w:t xml:space="preserve">  Betül ÜNAL</w:t>
            </w:r>
          </w:p>
        </w:tc>
      </w:tr>
      <w:tr>
        <w:trPr>
          <w:cantSplit/>
          <w:tblHeader w:val="false"/>
          <w:trHeight w:val="480" w:hRule="atLeast"/>
        </w:trPr>
        <w:tc>
          <w:tcPr>
            <w:tcW w:type="dxa" w:w="3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Fakülte / Enstitü / Yüksekokul</w:t>
            </w:r>
          </w:p>
        </w:tc>
        <w:tc>
          <w:tcPr>
            <w:tcW w:type="dxa" w:w="72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w:t>
            </w:r>
          </w:p>
        </w:tc>
      </w:tr>
      <w:tr>
        <w:trPr>
          <w:cantSplit/>
          <w:tblHeader w:val="false"/>
          <w:trHeight w:val="480" w:hRule="atLeast"/>
        </w:trPr>
        <w:tc>
          <w:tcPr>
            <w:tcW w:type="dxa" w:w="3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Bölüm / Program / Anabilim Dalı</w:t>
            </w:r>
          </w:p>
        </w:tc>
        <w:tc>
          <w:tcPr>
            <w:tcW w:type="dxa" w:w="72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w:t>
            </w:r>
          </w:p>
        </w:tc>
      </w:tr>
      <w:tr>
        <w:trPr>
          <w:cantSplit/>
          <w:tblHeader w:val="false"/>
          <w:trHeight w:val="480" w:hRule="atLeast"/>
        </w:trPr>
        <w:tc>
          <w:tcPr>
            <w:tcW w:type="dxa" w:w="3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E-Posta ve Telefon</w:t>
            </w:r>
          </w:p>
        </w:tc>
        <w:tc>
          <w:tcPr>
            <w:tcW w:type="dxa" w:w="72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……………………@kapadokya.edu.tr</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highlight w:val="yellow"/>
              </w:rPr>
              <w:t xml:space="preserve">……………………</w:t>
            </w:r>
          </w:p>
        </w:tc>
      </w:tr>
      <w:tr>
        <w:trPr>
          <w:cantSplit/>
          <w:tblHeader w:val="false"/>
        </w:trPr>
        <w:tc>
          <w:tcPr>
            <w:tcW w:type="dxa" w:w="3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Başvuru türü</w:t>
            </w:r>
          </w:p>
        </w:tc>
        <w:tc>
          <w:tcPr>
            <w:tcW w:type="dxa" w:w="72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Yeni program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Esaslı değişiklik</w:t>
            </w:r>
          </w:p>
          <w:p>
            <w:pPr>
              <w:spacing w:after="20" w:before="0" w:line="240" w:lineRule="auto"/>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Ortak program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Biriktirilebilir modül</w:t>
            </w:r>
          </w:p>
        </w:tc>
      </w:tr>
    </w:tbl>
    <w:p>
      <w:pPr>
        <w:spacing w:after="80" w:before="200"/>
      </w:pPr>
      <w:r>
        <w:rPr>
          <w:rFonts w:ascii="Times New Roman" w:cs="Times New Roman" w:eastAsia="Times New Roman" w:hAnsi="Times New Roman"/>
          <w:b/>
          <w:bCs/>
          <w:i w:val="false"/>
          <w:iCs w:val="false"/>
          <w:sz w:val="21"/>
          <w:szCs w:val="21"/>
        </w:rPr>
        <w:t xml:space="preserve">BÖLÜM 2: Mikro Yeterlilik Eğitiminin Adı, Amacı ve Gerekçesi</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00"/>
        <w:gridCol w:w="7840"/>
      </w:tblGrid>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Mikro yeterlilik eğitiminin Türkçe adı</w:t>
            </w:r>
          </w:p>
        </w:tc>
        <w:tc>
          <w:tcPr>
            <w:tcW w:type="dxa" w:w="7840"/>
            <w:tcMar>
              <w:top w:type="dxa" w:w="40"/>
              <w:left w:type="dxa" w:w="80"/>
              <w:bottom w:type="dxa" w:w="40"/>
              <w:right w:type="dxa" w:w="80"/>
            </w:tcMar>
            <w:vAlign w:val="center"/>
          </w:tcPr>
          <w:p>
            <w:pPr>
              <w:spacing w:after="20" w:before="0" w:line="240" w:lineRule="auto"/>
              <w:jc w:val="left"/>
            </w:pPr>
            <w:r>
              <w:rPr>
                <w:rFonts w:ascii="Times New Roman" w:cs="Times New Roman" w:eastAsia="Times New Roman" w:hAnsi="Times New Roman"/>
                <w:b/>
                <w:bCs/>
                <w:i w:val="false"/>
                <w:iCs w:val="false"/>
                <w:sz w:val="20"/>
                <w:szCs w:val="20"/>
              </w:rPr>
              <w:t xml:space="preserve">Biyoloji Bazlı Malzeme Tasarımı Atölyesi – Biyoplastikten Atık Temelli Biyokompozite: Malzeme Odaklı Tasarım (MDD) Yöntemiyle Malzeme Üretimi</w:t>
            </w:r>
          </w:p>
        </w:tc>
      </w:tr>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Mikro yeterlilik eğitiminin İngilizce adı</w:t>
            </w:r>
          </w:p>
        </w:tc>
        <w:tc>
          <w:tcPr>
            <w:tcW w:type="dxa" w:w="7840"/>
            <w:tcMar>
              <w:top w:type="dxa" w:w="40"/>
              <w:left w:type="dxa" w:w="80"/>
              <w:bottom w:type="dxa" w:w="40"/>
              <w:right w:type="dxa" w:w="80"/>
            </w:tcMar>
            <w:vAlign w:val="center"/>
          </w:tcPr>
          <w:p>
            <w:pPr>
              <w:spacing w:after="20" w:before="0" w:line="240" w:lineRule="auto"/>
              <w:jc w:val="left"/>
            </w:pPr>
            <w:r>
              <w:rPr>
                <w:rFonts w:ascii="Times New Roman" w:cs="Times New Roman" w:eastAsia="Times New Roman" w:hAnsi="Times New Roman"/>
                <w:b w:val="false"/>
                <w:bCs w:val="false"/>
                <w:i w:val="false"/>
                <w:iCs w:val="false"/>
                <w:sz w:val="20"/>
                <w:szCs w:val="20"/>
              </w:rPr>
              <w:t xml:space="preserve">Biology-Based Material Design Workshop – From Bioplastic to Waste-Based Biocomposite: Material Production through the Material Driven Design (MDD) Method</w:t>
            </w:r>
          </w:p>
        </w:tc>
      </w:tr>
      <w:tr>
        <w:trPr>
          <w:cantSplit w:val="false"/>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Amacı / kısa özeti</w:t>
            </w:r>
          </w:p>
        </w:tc>
        <w:tc>
          <w:tcPr>
            <w:tcW w:type="dxa" w:w="78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Beş haftalık uygulamalı bir atölye olan bu eğitim, öğrenenlerin biyoloji temelli malzemeleri kendi elleriyle üretmesini, karakterize etmesini ve tasarım potansiyellerini tanımlamasını amaçlar. Program; doğal polimer bağlayıcı sistemiyle (agar agar – gliserin – su) biyoplastik üretimini, organik atık kaynaklı biyodolgu (öğütülmüş yumurta kabuğu) ile en az üç varyasyonlu biyokompozit numune seti üretimini ve Malzeme Odaklı Tasarım (MDD) yöntemiyle teknik ve deneyimsel karakterizasyonu kapsar. Eğitim sonunda öğrenen; malzeme günlüğü, reçete varyasyon matrisi, numune seti, malzeme kimlik kartı ve Malzeme Deneyimi Vizyonu sunumu üretir. Toplam 25 saatlik öğrenen iş yüküne karşılık 1 AKTS değerindedir.</w:t>
            </w:r>
          </w:p>
        </w:tc>
      </w:tr>
      <w:tr>
        <w:trPr>
          <w:cantSplit w:val="false"/>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Sorun / ihtiyaç tanımı</w:t>
            </w:r>
          </w:p>
        </w:tc>
        <w:tc>
          <w:tcPr>
            <w:tcW w:type="dxa" w:w="78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Petrol türevli plastiklerin çevresel yükü ve organik atıkların değerlendirilmeden bertaraf edilmesi, tasarım disiplinlerinde malzemeye yaklaşımın değişmesini gerektirmektedir. Buna karşılık tasarım eğitiminde malzeme çoğunlukla hazır ve değiştirilemez bir girdi olarak ele alınmakta; öğrenenler malzemenin bileşimine ve üretim sürecine doğrudan müdahale edebilecekleri uygulamalı bir deneyim edinememektedir. Döngüsel ekonomi ve biyotasarım alanlarındaki gelişme ise tasarımcılardan biyomalzeme üretimi, karakterizasyonu ve değerlendirmesine ilişkin somut beceriler beklemektedir. Bu eğitim, düşük maliyetli ve tekrarlanabilir bir üretim protokolüyle organik atığın malzemeye dönüştürülmesi deneyimini birleştirerek söz konusu beceri açığını kapatmayı hedefler.</w:t>
            </w:r>
          </w:p>
        </w:tc>
      </w:tr>
    </w:tbl>
    <w:p>
      <w:pPr>
        <w:spacing w:after="80" w:before="200" w:line="240" w:lineRule="auto"/>
      </w:pPr>
      <w:r>
        <w:rPr>
          <w:rFonts w:ascii="Times New Roman" w:cs="Times New Roman" w:eastAsia="Times New Roman" w:hAnsi="Times New Roman"/>
          <w:b/>
          <w:bCs/>
          <w:i w:val="false"/>
          <w:iCs w:val="false"/>
          <w:sz w:val="20"/>
          <w:szCs w:val="20"/>
        </w:rPr>
        <w:t xml:space="preserve">Başarı Kriterleri ve Değerlendirme Ağırlıkları</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540"/>
        <w:gridCol w:w="1900"/>
        <w:gridCol w:w="5200"/>
      </w:tblGrid>
      <w:tr>
        <w:trPr>
          <w:cantSplit/>
          <w:tblHeader/>
        </w:trPr>
        <w:tc>
          <w:tcPr>
            <w:tcW w:type="dxa" w:w="354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Değerlendirme Aracı</w:t>
            </w:r>
          </w:p>
        </w:tc>
        <w:tc>
          <w:tcPr>
            <w:tcW w:type="dxa" w:w="19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Başarı Notuna Etki Oranı (%)</w:t>
            </w:r>
          </w:p>
        </w:tc>
        <w:tc>
          <w:tcPr>
            <w:tcW w:type="dxa" w:w="52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Başarı İçin Asgari Koşul</w:t>
            </w:r>
          </w:p>
        </w:tc>
      </w:tr>
      <w:tr>
        <w:trPr>
          <w:cantSplit/>
          <w:tblHeader w:val="false"/>
        </w:trPr>
        <w:tc>
          <w:tcPr>
            <w:tcW w:type="dxa" w:w="35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Ara Sınav / Ara Proje</w:t>
            </w:r>
          </w:p>
        </w:tc>
        <w:tc>
          <w:tcPr>
            <w:tcW w:type="dxa" w:w="1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%20</w:t>
            </w:r>
          </w:p>
        </w:tc>
        <w:tc>
          <w:tcPr>
            <w:tcW w:type="dxa" w:w="52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MDD karakterizasyon çalışması (4. hafta): teknik ölçüm veri tablosunun tamamlanması ve bulguların en az iki referans malzeme ile karşılaştırılması. Bileşenden en az %50.</w:t>
            </w:r>
          </w:p>
        </w:tc>
      </w:tr>
      <w:tr>
        <w:trPr>
          <w:cantSplit/>
          <w:tblHeader w:val="false"/>
        </w:trPr>
        <w:tc>
          <w:tcPr>
            <w:tcW w:type="dxa" w:w="35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Final Sınavı / Bitirme Projesi</w:t>
            </w:r>
          </w:p>
        </w:tc>
        <w:tc>
          <w:tcPr>
            <w:tcW w:type="dxa" w:w="1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%50</w:t>
            </w:r>
          </w:p>
        </w:tc>
        <w:tc>
          <w:tcPr>
            <w:tcW w:type="dxa" w:w="52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Numune seti (%30) ve kullanım potansiyelleri sunumu (%20): en az bir biyoplastik denemesi ile en az üç varyasyonlu numune setinin teslimi. Bileşenden en az %50.</w:t>
            </w:r>
          </w:p>
        </w:tc>
      </w:tr>
      <w:tr>
        <w:trPr>
          <w:cantSplit/>
          <w:tblHeader w:val="false"/>
        </w:trPr>
        <w:tc>
          <w:tcPr>
            <w:tcW w:type="dxa" w:w="35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Ödev / Portfolyo / Laboratuvar</w:t>
            </w:r>
          </w:p>
        </w:tc>
        <w:tc>
          <w:tcPr>
            <w:tcW w:type="dxa" w:w="1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%30</w:t>
            </w:r>
          </w:p>
        </w:tc>
        <w:tc>
          <w:tcPr>
            <w:tcW w:type="dxa" w:w="52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Malzeme günlüğü: beş haftanın tamamı için, ev denemelerini de kapsayacak biçimde izlenebilir olarak tutulması. Bileşenden en az %50.</w:t>
            </w:r>
          </w:p>
        </w:tc>
      </w:tr>
      <w:tr>
        <w:trPr>
          <w:cantSplit/>
          <w:tblHeader w:val="false"/>
        </w:trPr>
        <w:tc>
          <w:tcPr>
            <w:tcW w:type="dxa" w:w="3540"/>
            <w:shd w:fill="F2F2F2" w:color="auto" w:val="clear"/>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TOPLAM</w:t>
            </w:r>
          </w:p>
        </w:tc>
        <w:tc>
          <w:tcPr>
            <w:tcW w:type="dxa" w:w="19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%100</w:t>
            </w:r>
          </w:p>
        </w:tc>
        <w:tc>
          <w:tcPr>
            <w:tcW w:type="dxa" w:w="5200"/>
            <w:shd w:fill="F2F2F2" w:color="auto" w:val="clear"/>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Asgari Başarı Puanı: 70 / 100</w:t>
            </w:r>
          </w:p>
          <w:p>
            <w:pPr>
              <w:spacing w:after="20" w:before="0" w:line="240" w:lineRule="auto"/>
            </w:pPr>
            <w:r>
              <w:rPr>
                <w:rFonts w:ascii="Times New Roman" w:cs="Times New Roman" w:eastAsia="Times New Roman" w:hAnsi="Times New Roman"/>
                <w:b w:val="false"/>
                <w:bCs w:val="false"/>
                <w:i w:val="false"/>
                <w:iCs w:val="false"/>
                <w:sz w:val="16"/>
                <w:szCs w:val="16"/>
              </w:rPr>
              <w:t xml:space="preserve">Beş yüz yüze oturumun en az dördüne katılım (2., 3. ve 4. hafta zorunlu); İSG, hijyen ve atık yönetimi kurallarına uyum.</w:t>
            </w:r>
          </w:p>
        </w:tc>
      </w:tr>
    </w:tbl>
    <w:p>
      <w:pPr>
        <w:spacing w:after="80" w:before="200"/>
      </w:pPr>
      <w:r>
        <w:rPr>
          <w:rFonts w:ascii="Times New Roman" w:cs="Times New Roman" w:eastAsia="Times New Roman" w:hAnsi="Times New Roman"/>
          <w:b/>
          <w:bCs/>
          <w:i w:val="false"/>
          <w:iCs w:val="false"/>
          <w:sz w:val="21"/>
          <w:szCs w:val="21"/>
        </w:rPr>
        <w:t xml:space="preserve">BÖLÜM 3: Program Kimliği, Düzeyi ve Kurumsal Bilgiler</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00"/>
        <w:gridCol w:w="7840"/>
      </w:tblGrid>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Ortak yürüten KÜN birimleri</w:t>
            </w:r>
          </w:p>
        </w:tc>
        <w:tc>
          <w:tcPr>
            <w:tcW w:type="dxa" w:w="78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Eğitim tek birim tarafından yürütülecektir. Teknik karakterizasyon ölçümlerinde gerektiğinde </w:t>
            </w:r>
            <w:r>
              <w:rPr>
                <w:rFonts w:ascii="Times New Roman" w:cs="Times New Roman" w:eastAsia="Times New Roman" w:hAnsi="Times New Roman"/>
                <w:b w:val="false"/>
                <w:bCs w:val="false"/>
                <w:i w:val="false"/>
                <w:iCs w:val="false"/>
                <w:sz w:val="20"/>
                <w:szCs w:val="20"/>
                <w:highlight w:val="yellow"/>
              </w:rPr>
              <w:t xml:space="preserve">……………………………</w:t>
            </w:r>
            <w:r>
              <w:rPr>
                <w:rFonts w:ascii="Times New Roman" w:cs="Times New Roman" w:eastAsia="Times New Roman" w:hAnsi="Times New Roman"/>
                <w:b w:val="false"/>
                <w:bCs w:val="false"/>
                <w:i w:val="false"/>
                <w:iCs w:val="false"/>
                <w:sz w:val="20"/>
                <w:szCs w:val="20"/>
              </w:rPr>
              <w:t xml:space="preserve"> mühendislik birimi / malzeme laboratuvarından ölçüm desteği alınacaktır.</w:t>
            </w:r>
          </w:p>
        </w:tc>
      </w:tr>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Dış paydaş / ortak kuruluş</w:t>
            </w:r>
          </w:p>
        </w:tc>
        <w:tc>
          <w:tcPr>
            <w:tcW w:type="dxa" w:w="78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Dış paydaş / ortak kuruluş bulunmamaktadır. 5. hafta sunum değerlendirmesinde görev alacak davetli değerlendirici, üniversite içinden veya alandan davet edilecektir.</w:t>
            </w:r>
          </w:p>
        </w:tc>
      </w:tr>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TYÇ düzeyi</w:t>
            </w:r>
          </w:p>
        </w:tc>
        <w:tc>
          <w:tcPr>
            <w:tcW w:type="dxa" w:w="78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TYÇ 5</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TYÇ 6</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TYÇ 7</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TYÇ 8</w:t>
            </w:r>
          </w:p>
        </w:tc>
      </w:tr>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Mikro yeterlilik türü</w:t>
            </w:r>
          </w:p>
        </w:tc>
        <w:tc>
          <w:tcPr>
            <w:tcW w:type="dxa" w:w="78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Bağımsız Mikro Yeterlilik</w:t>
            </w:r>
          </w:p>
          <w:p>
            <w:pPr>
              <w:spacing w:after="20" w:before="0" w:line="240" w:lineRule="auto"/>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Biriktirilebilir modül</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Üst yeterliliğe bağlanan modül</w:t>
            </w:r>
          </w:p>
        </w:tc>
      </w:tr>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Önerilen yürürlük / ilk uygulama dönemi</w:t>
            </w:r>
          </w:p>
        </w:tc>
        <w:tc>
          <w:tcPr>
            <w:tcW w:type="dxa" w:w="784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2026–2027 Akademik Yılı Bahar Yarıyılı</w:t>
            </w:r>
          </w:p>
        </w:tc>
      </w:tr>
      <w:tr>
        <w:trPr>
          <w:cantSplit/>
          <w:tblHeader w:val="false"/>
        </w:trPr>
        <w:tc>
          <w:tcPr>
            <w:tcW w:type="dxa" w:w="28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Belgenin geçerlilik süresi</w:t>
            </w:r>
          </w:p>
        </w:tc>
        <w:tc>
          <w:tcPr>
            <w:tcW w:type="dxa" w:w="78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highlight w:val="yellow"/>
              </w:rPr>
              <w:t xml:space="preserve">Süresiz.</w:t>
            </w:r>
            <w:r>
              <w:rPr>
                <w:rFonts w:ascii="Times New Roman" w:cs="Times New Roman" w:eastAsia="Times New Roman" w:hAnsi="Times New Roman"/>
                <w:b w:val="false"/>
                <w:bCs w:val="false"/>
                <w:i w:val="false"/>
                <w:iCs w:val="false"/>
                <w:sz w:val="20"/>
                <w:szCs w:val="20"/>
              </w:rPr>
              <w:t xml:space="preserve"> Belge, kazanılan öğrenme çıktılarını kanıta dayalı biçimde belgelediğinden yenilenme koşulu öngörülmemektedir.</w:t>
            </w:r>
          </w:p>
        </w:tc>
      </w:tr>
    </w:tbl>
    <w:p>
      <w:pPr>
        <w:spacing w:after="80" w:before="200"/>
      </w:pPr>
      <w:r>
        <w:rPr>
          <w:rFonts w:ascii="Times New Roman" w:cs="Times New Roman" w:eastAsia="Times New Roman" w:hAnsi="Times New Roman"/>
          <w:b/>
          <w:bCs/>
          <w:i w:val="false"/>
          <w:iCs w:val="false"/>
          <w:sz w:val="21"/>
          <w:szCs w:val="21"/>
        </w:rPr>
        <w:t xml:space="preserve">BÖLÜM 4: Hedef Kitle, Başvuru ve Kabul Koşulları</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2900"/>
        <w:gridCol w:w="2200"/>
        <w:gridCol w:w="3140"/>
      </w:tblGrid>
      <w:tr>
        <w:trPr>
          <w:cantSplit/>
          <w:tblHeader w:val="false"/>
        </w:trPr>
        <w:tc>
          <w:tcPr>
            <w:tcW w:type="dxa" w:w="2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Hedef kitle</w:t>
            </w:r>
          </w:p>
        </w:tc>
        <w:tc>
          <w:tcPr>
            <w:tcW w:type="dxa" w:w="8240"/>
            <w:gridSpan w:val="3"/>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Tasarım, mimarlık, güzel sanatlar ve malzemeyle çalışan ilgili mühendislik alanlarında öğrenim gören KÜN lisans ve yüksek lisans öğrencileri ile diğer üniversitelerin aynı alanlardaki öğrencileri. Sürdürülebilirlik, döngüsel ekonomi ve biyotasarım alanlarına ilgi duyan öğrenenler hedeflenmektedir.</w:t>
            </w:r>
          </w:p>
        </w:tc>
      </w:tr>
      <w:tr>
        <w:trPr>
          <w:cantSplit/>
          <w:tblHeader w:val="false"/>
        </w:trPr>
        <w:tc>
          <w:tcPr>
            <w:tcW w:type="dxa" w:w="10640"/>
            <w:gridSpan w:val="4"/>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KÜN öğrencileri</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Diğer üniversite öğrencileri</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Mezunlar</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Çalışanlar / profesyoneller</w:t>
            </w:r>
          </w:p>
          <w:p>
            <w:pPr>
              <w:spacing w:after="20" w:before="0" w:line="240" w:lineRule="auto"/>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Genel katılıma açık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Kurumsal gruba özel</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Uluslararası katılıma açık</w:t>
            </w:r>
          </w:p>
        </w:tc>
      </w:tr>
      <w:tr>
        <w:trPr>
          <w:cantSplit/>
          <w:tblHeader w:val="false"/>
        </w:trPr>
        <w:tc>
          <w:tcPr>
            <w:tcW w:type="dxa" w:w="2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Ön koşullar</w:t>
            </w:r>
          </w:p>
        </w:tc>
        <w:tc>
          <w:tcPr>
            <w:tcW w:type="dxa" w:w="8240"/>
            <w:gridSpan w:val="3"/>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Ön koşul olarak tamamlanmış bir ders, Mikro Yeterlilik veya deneyim aranmamaktadır; lisans veya yüksek lisans öğrencisi olmak yeterlidir. GANO ve yabancı dil koşulu yoktur, eğitim Türkçe yürütülür. Katılımcıların İSG, hijyen ve atık yönetimi yönergelerine uyma taahhüdü vermesi beklenir.</w:t>
            </w:r>
          </w:p>
        </w:tc>
      </w:tr>
      <w:tr>
        <w:trPr>
          <w:cantSplit/>
          <w:tblHeader w:val="false"/>
        </w:trPr>
        <w:tc>
          <w:tcPr>
            <w:tcW w:type="dxa" w:w="2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Asgari katılımcı</w:t>
            </w:r>
          </w:p>
        </w:tc>
        <w:tc>
          <w:tcPr>
            <w:tcW w:type="dxa" w:w="2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highlight w:val="yellow"/>
              </w:rPr>
              <w:t xml:space="preserve">8</w:t>
            </w:r>
          </w:p>
        </w:tc>
        <w:tc>
          <w:tcPr>
            <w:tcW w:type="dxa" w:w="22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Azami kontenjan</w:t>
            </w:r>
          </w:p>
        </w:tc>
        <w:tc>
          <w:tcPr>
            <w:tcW w:type="dxa" w:w="314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highlight w:val="yellow"/>
              </w:rPr>
              <w:t xml:space="preserve">16</w:t>
            </w:r>
          </w:p>
        </w:tc>
      </w:tr>
      <w:tr>
        <w:trPr>
          <w:cantSplit/>
          <w:tblHeader w:val="false"/>
        </w:trPr>
        <w:tc>
          <w:tcPr>
            <w:tcW w:type="dxa" w:w="24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Erişilebilirlik ve makul düzenlemeler</w:t>
            </w:r>
          </w:p>
        </w:tc>
        <w:tc>
          <w:tcPr>
            <w:tcW w:type="dxa" w:w="8240"/>
            <w:gridSpan w:val="3"/>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Atölye, tekerlekli sandalye erişimine uygun ve iyi havalandırılan bir mekânda yürütülür; tezgâh yüksekliği gerektiğinde ayarlanır. Reçete ve güvenlik yönergeleri büyük punto ve yüksek kontrastlı olarak önceden paylaşılır; anlatım sözlü, yazılı ve görsel biçimde birlikte sunulur. Öğütme, karıştırma ve döküm işlemlerinde yardımcı aparat ve akran desteği sağlanır. Bileşenlere alerjisi olan öğrenenler için alternatif biyodolgular (kahve telvesi, ceviz kabuğu) sunulur. Ev denemelerine imkânı olmayan öğrenenlere atölye ders dışı saatlerde açılır. Öğrenme çıktısı ve başarı ölçütü değişmeksizin, malzeme günlüğü ve sunum için alternatif biçimler (sesli kayıt, video) ve ek süre tanınabilir.</w:t>
            </w:r>
          </w:p>
        </w:tc>
      </w:tr>
    </w:tbl>
    <w:p>
      <w:pPr>
        <w:spacing w:after="80" w:before="200"/>
      </w:pPr>
      <w:r>
        <w:rPr>
          <w:rFonts w:ascii="Times New Roman" w:cs="Times New Roman" w:eastAsia="Times New Roman" w:hAnsi="Times New Roman"/>
          <w:b/>
          <w:bCs/>
          <w:i w:val="false"/>
          <w:iCs w:val="false"/>
          <w:sz w:val="21"/>
          <w:szCs w:val="21"/>
        </w:rPr>
        <w:t xml:space="preserve">BÖLÜM 5: Öğrenme Çıktıları ve TYÇ Eşleştirmesi</w:t>
      </w:r>
    </w:p>
    <w:p>
      <w:pPr>
        <w:spacing w:after="100" w:before="0" w:line="240" w:lineRule="auto"/>
      </w:pPr>
      <w:r>
        <w:rPr>
          <w:rFonts w:ascii="Times New Roman" w:cs="Times New Roman" w:eastAsia="Times New Roman" w:hAnsi="Times New Roman"/>
          <w:b w:val="false"/>
          <w:bCs w:val="false"/>
          <w:i/>
          <w:iCs/>
          <w:sz w:val="16"/>
          <w:szCs w:val="16"/>
        </w:rPr>
        <w:t xml:space="preserve">NOT: Öğrenme çıktıları minimum 6 adet olmalıdır. Çıktılar ölçülebilir fiillerle yazılmalı; bilgi, beceri ve yetkinlik boyutları birlikte değerlendirilmelidir.</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00"/>
        <w:gridCol w:w="6740"/>
        <w:gridCol w:w="1050"/>
        <w:gridCol w:w="1050"/>
        <w:gridCol w:w="1100"/>
      </w:tblGrid>
      <w:tr>
        <w:trPr>
          <w:cantSplit/>
          <w:tblHeader/>
        </w:trPr>
        <w:tc>
          <w:tcPr>
            <w:tcW w:type="dxa" w:w="7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No</w:t>
            </w:r>
          </w:p>
        </w:tc>
        <w:tc>
          <w:tcPr>
            <w:tcW w:type="dxa" w:w="674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Öğrenme Çıktısı</w:t>
            </w:r>
          </w:p>
        </w:tc>
        <w:tc>
          <w:tcPr>
            <w:tcW w:type="dxa" w:w="105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Bilgi</w:t>
            </w:r>
          </w:p>
        </w:tc>
        <w:tc>
          <w:tcPr>
            <w:tcW w:type="dxa" w:w="105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Beceri</w:t>
            </w:r>
          </w:p>
        </w:tc>
        <w:tc>
          <w:tcPr>
            <w:tcW w:type="dxa" w:w="11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Yetkinlik</w:t>
            </w:r>
          </w:p>
        </w:tc>
      </w:tr>
      <w:tr>
        <w:trPr>
          <w:cantSplit/>
          <w:tblHeader w:val="false"/>
        </w:trPr>
        <w:tc>
          <w:tcPr>
            <w:tcW w:type="dxa" w:w="7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ÖÇ1</w:t>
            </w:r>
          </w:p>
        </w:tc>
        <w:tc>
          <w:tcPr>
            <w:tcW w:type="dxa" w:w="67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Biyotasarım, biyomimikri ve biyofabrikasyon kavramlarını birbirinden ayırt eder.</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1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7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ÖÇ2</w:t>
            </w:r>
          </w:p>
        </w:tc>
        <w:tc>
          <w:tcPr>
            <w:tcW w:type="dxa" w:w="67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Doğal polimer bağlayıcı sistemiyle (agar agar, gliserin, su) temel bir biyoplastik üretir.</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1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7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ÖÇ3</w:t>
            </w:r>
          </w:p>
        </w:tc>
        <w:tc>
          <w:tcPr>
            <w:tcW w:type="dxa" w:w="67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Organik atık kaynaklı biyodolgu (öğütülmüş yumurta kabuğu) kullanarak en az üç varyasyonlu biyokompozit numune seti üretir.</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1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7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ÖÇ4</w:t>
            </w:r>
          </w:p>
        </w:tc>
        <w:tc>
          <w:tcPr>
            <w:tcW w:type="dxa" w:w="67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Malzeme Odaklı Tasarım (MDD) yönteminin adımlarını açıklar.</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1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7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ÖÇ5</w:t>
            </w:r>
          </w:p>
        </w:tc>
        <w:tc>
          <w:tcPr>
            <w:tcW w:type="dxa" w:w="67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Ürettiği numuneleri teknik ölçütler (yoğunluk, kür süresi, boyutsal değişim, esneklik–kırılganlık, suya karşı davranış) açısından karakterize eder.</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1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7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ÖÇ6</w:t>
            </w:r>
          </w:p>
        </w:tc>
        <w:tc>
          <w:tcPr>
            <w:tcW w:type="dxa" w:w="67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Ürettiği numuneleri deneyimsel düzeylerde (duyusal, yorumsal, duygusal, edimsel) değerlendirir.</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1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7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ÖÇ7</w:t>
            </w:r>
          </w:p>
        </w:tc>
        <w:tc>
          <w:tcPr>
            <w:tcW w:type="dxa" w:w="6740"/>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Malzemesinin kullanım potansiyellerini karakterizasyon bulgularına dayandırarak tanımlar.</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05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1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10640"/>
            <w:gridSpan w:val="5"/>
            <w:shd w:fill="F2F2F2" w:color="auto" w:val="clear"/>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Öğrenme çıktılarının program amacıyla bütünlüğü</w:t>
            </w:r>
          </w:p>
        </w:tc>
      </w:tr>
      <w:tr>
        <w:trPr>
          <w:cantSplit w:val="false"/>
          <w:tblHeader w:val="false"/>
        </w:trPr>
        <w:tc>
          <w:tcPr>
            <w:tcW w:type="dxa" w:w="10640"/>
            <w:gridSpan w:val="5"/>
            <w:tcMar>
              <w:top w:type="dxa" w:w="40"/>
              <w:left w:type="dxa" w:w="80"/>
              <w:bottom w:type="dxa" w:w="40"/>
              <w:right w:type="dxa" w:w="80"/>
            </w:tcMar>
            <w:vAlign w:val="top"/>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Öğrenme çıktıları üç aşamalı bir ilerleme kurar: kavramsal çerçeve (ÖÇ1, ÖÇ4), üretim becerisi (ÖÇ2, ÖÇ3) ve üretilen malzemenin analiz edilerek tasarım kararına dönüştürülmesi (ÖÇ5, ÖÇ6, ÖÇ7). Böylece bilgi, beceri ve yetkinlik boyutları birlikte kapsanır. Her çıktı somut bir kanıtla (reçete kaydı, numune seti, teknik ölçüm veri tablosu, malzeme kimlik kartı, sunum) eşleştirildiğinden ölçülebilirdir. Programın vaat ettiği “kendi biyomalzemesini üretebilen ve malzemesinin tasarım potansiyelini kanıta dayandırarak gerekçelendirebilen tasarımcı” profili doğrudan ÖÇ7’de karşılığını bulur.</w:t>
            </w:r>
          </w:p>
        </w:tc>
      </w:tr>
    </w:tbl>
    <w:p>
      <w:pPr>
        <w:spacing w:after="80" w:before="200"/>
      </w:pPr>
      <w:r>
        <w:rPr>
          <w:rFonts w:ascii="Times New Roman" w:cs="Times New Roman" w:eastAsia="Times New Roman" w:hAnsi="Times New Roman"/>
          <w:b/>
          <w:bCs/>
          <w:i w:val="false"/>
          <w:iCs w:val="false"/>
          <w:sz w:val="21"/>
          <w:szCs w:val="21"/>
        </w:rPr>
        <w:t xml:space="preserve">BÖLÜM 6: Eğitim Süresi, İçeriği, AKTS Bilgileri ve Öğrenme-Öğretme Tasarımı</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1000"/>
        <w:gridCol w:w="1200"/>
        <w:gridCol w:w="900"/>
        <w:gridCol w:w="400"/>
        <w:gridCol w:w="900"/>
        <w:gridCol w:w="400"/>
        <w:gridCol w:w="500"/>
        <w:gridCol w:w="2740"/>
      </w:tblGrid>
      <w:tr>
        <w:trPr>
          <w:cantSplit/>
          <w:tblHeader w:val="false"/>
        </w:trPr>
        <w:tc>
          <w:tcPr>
            <w:tcW w:type="dxa" w:w="26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Önerilen AKTS</w:t>
            </w:r>
          </w:p>
        </w:tc>
        <w:tc>
          <w:tcPr>
            <w:tcW w:type="dxa" w:w="3100"/>
            <w:gridSpan w:val="3"/>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1 AKTS</w:t>
            </w:r>
          </w:p>
        </w:tc>
        <w:tc>
          <w:tcPr>
            <w:tcW w:type="dxa" w:w="1700"/>
            <w:gridSpan w:val="3"/>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Toplam iş yükü (saat)</w:t>
            </w:r>
          </w:p>
        </w:tc>
        <w:tc>
          <w:tcPr>
            <w:tcW w:type="dxa" w:w="324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25 saat</w:t>
            </w:r>
          </w:p>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(21 saat yüz yüze + 4 saat ev çalışması)</w:t>
            </w:r>
          </w:p>
        </w:tc>
      </w:tr>
      <w:tr>
        <w:trPr>
          <w:cantSplit/>
          <w:tblHeader w:val="false"/>
        </w:trPr>
        <w:tc>
          <w:tcPr>
            <w:tcW w:type="dxa" w:w="26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Takvim süresi</w:t>
            </w:r>
          </w:p>
        </w:tc>
        <w:tc>
          <w:tcPr>
            <w:tcW w:type="dxa" w:w="3100"/>
            <w:gridSpan w:val="3"/>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5 hafta</w:t>
            </w:r>
          </w:p>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(haftada bir oturum)</w:t>
            </w:r>
          </w:p>
        </w:tc>
        <w:tc>
          <w:tcPr>
            <w:tcW w:type="dxa" w:w="1700"/>
            <w:gridSpan w:val="3"/>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Öğretim dili</w:t>
            </w:r>
          </w:p>
        </w:tc>
        <w:tc>
          <w:tcPr>
            <w:tcW w:type="dxa" w:w="324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Türkçe</w:t>
            </w:r>
          </w:p>
        </w:tc>
      </w:tr>
      <w:tr>
        <w:trPr>
          <w:cantSplit/>
          <w:tblHeader w:val="false"/>
        </w:trPr>
        <w:tc>
          <w:tcPr>
            <w:tcW w:type="dxa" w:w="10640"/>
            <w:gridSpan w:val="9"/>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Eğitimin düzeyi:  </w:t>
            </w:r>
            <w:r>
              <w:rPr>
                <w:rFonts w:ascii="Times New Roman" w:cs="Times New Roman" w:eastAsia="Times New Roman" w:hAnsi="Times New Roman"/>
                <w:b w:val="false"/>
                <w:bCs w:val="false"/>
                <w:i w:val="false"/>
                <w:iCs w:val="false"/>
                <w:sz w:val="20"/>
                <w:szCs w:val="20"/>
              </w:rPr>
              <w:t xml:space="preserve">☐ Önlisans    </w:t>
            </w:r>
            <w:r>
              <w:rPr>
                <w:rFonts w:ascii="Times New Roman" w:cs="Times New Roman" w:eastAsia="Times New Roman" w:hAnsi="Times New Roman"/>
                <w:b/>
                <w:bCs/>
                <w:i w:val="false"/>
                <w:iCs w:val="false"/>
                <w:sz w:val="20"/>
                <w:szCs w:val="20"/>
              </w:rPr>
              <w:t xml:space="preserve">☒ Lisans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 Yüksek lisans</w:t>
            </w:r>
            <w:r>
              <w:rPr>
                <w:rFonts w:ascii="Times New Roman" w:cs="Times New Roman" w:eastAsia="Times New Roman" w:hAnsi="Times New Roman"/>
                <w:b w:val="false"/>
                <w:bCs w:val="false"/>
                <w:i w:val="false"/>
                <w:iCs w:val="false"/>
                <w:sz w:val="20"/>
                <w:szCs w:val="20"/>
              </w:rPr>
              <w:t xml:space="preserve">    ☐ TYÇ ile uyumlu diğer düzey</w:t>
            </w:r>
          </w:p>
        </w:tc>
      </w:tr>
      <w:tr>
        <w:trPr>
          <w:cantSplit/>
          <w:tblHeader w:val="false"/>
        </w:trPr>
        <w:tc>
          <w:tcPr>
            <w:tcW w:type="dxa" w:w="10640"/>
            <w:gridSpan w:val="9"/>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Eğitim türü:  </w:t>
            </w:r>
            <w:r>
              <w:rPr>
                <w:rFonts w:ascii="Times New Roman" w:cs="Times New Roman" w:eastAsia="Times New Roman" w:hAnsi="Times New Roman"/>
                <w:b/>
                <w:bCs/>
                <w:i w:val="false"/>
                <w:iCs w:val="false"/>
                <w:sz w:val="20"/>
                <w:szCs w:val="20"/>
              </w:rPr>
              <w:t xml:space="preserve">☒ Yüz yüze</w:t>
            </w:r>
            <w:r>
              <w:rPr>
                <w:rFonts w:ascii="Times New Roman" w:cs="Times New Roman" w:eastAsia="Times New Roman" w:hAnsi="Times New Roman"/>
                <w:b w:val="false"/>
                <w:bCs w:val="false"/>
                <w:i w:val="false"/>
                <w:iCs w:val="false"/>
                <w:sz w:val="20"/>
                <w:szCs w:val="20"/>
              </w:rPr>
              <w:t xml:space="preserve">    ☐ Online    ☐ Hibrit    ☐ İş başında    </w:t>
            </w:r>
            <w:r>
              <w:rPr>
                <w:rFonts w:ascii="Times New Roman" w:cs="Times New Roman" w:eastAsia="Times New Roman" w:hAnsi="Times New Roman"/>
                <w:b/>
                <w:bCs/>
                <w:i w:val="false"/>
                <w:iCs w:val="false"/>
                <w:sz w:val="20"/>
                <w:szCs w:val="20"/>
              </w:rPr>
              <w:t xml:space="preserve">☒ Uygulamalı / saha</w:t>
            </w:r>
          </w:p>
        </w:tc>
      </w:tr>
      <w:tr>
        <w:trPr>
          <w:cantSplit/>
          <w:tblHeader/>
        </w:trPr>
        <w:tc>
          <w:tcPr>
            <w:tcW w:type="dxa" w:w="26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KONU / MODÜL</w:t>
            </w:r>
          </w:p>
        </w:tc>
        <w:tc>
          <w:tcPr>
            <w:tcW w:type="dxa" w:w="10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Eğitim Süresi</w:t>
            </w:r>
          </w:p>
        </w:tc>
        <w:tc>
          <w:tcPr>
            <w:tcW w:type="dxa" w:w="12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İş Yükü (saat / AKTS)</w:t>
            </w:r>
          </w:p>
        </w:tc>
        <w:tc>
          <w:tcPr>
            <w:tcW w:type="dxa" w:w="1300"/>
            <w:gridSpan w:val="2"/>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Eğitim Türü</w:t>
            </w:r>
          </w:p>
        </w:tc>
        <w:tc>
          <w:tcPr>
            <w:tcW w:type="dxa" w:w="9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Ağırlık (%)</w:t>
            </w:r>
          </w:p>
        </w:tc>
        <w:tc>
          <w:tcPr>
            <w:tcW w:type="dxa" w:w="900"/>
            <w:gridSpan w:val="2"/>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İlgili ÖÇ</w:t>
            </w:r>
          </w:p>
        </w:tc>
        <w:tc>
          <w:tcPr>
            <w:tcW w:type="dxa" w:w="274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Ölçme-Değerlendirme Türü ve Başarı Ölçütü</w:t>
            </w:r>
          </w:p>
        </w:tc>
      </w:tr>
      <w:tr>
        <w:trPr>
          <w:cantSplit/>
          <w:tblHeader w:val="false"/>
        </w:trPr>
        <w:tc>
          <w:tcPr>
            <w:tcW w:type="dxa" w:w="260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1. Hafta – Kuramsal çerçeve: Antroposen eleştirisi, post-antroposantrik tasarım, biyotasarım–biyomimikri–biyofabrikasyon ayrımı, döngüsel ekonomi ve DIY malzeme kültürü; biyomalzeme örneklerinin incelenmesi.</w:t>
            </w:r>
          </w:p>
        </w:tc>
        <w:tc>
          <w:tcPr>
            <w:tcW w:type="dxa" w:w="10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3 saat yüz yüze</w:t>
            </w:r>
          </w:p>
        </w:tc>
        <w:tc>
          <w:tcPr>
            <w:tcW w:type="dxa" w:w="12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3 saat / 0,12 AKTS</w:t>
            </w:r>
          </w:p>
        </w:tc>
        <w:tc>
          <w:tcPr>
            <w:tcW w:type="dxa" w:w="13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Yüz yüze</w:t>
            </w:r>
          </w:p>
        </w:tc>
        <w:tc>
          <w:tcPr>
            <w:tcW w:type="dxa" w:w="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%5</w:t>
            </w:r>
          </w:p>
        </w:tc>
        <w:tc>
          <w:tcPr>
            <w:tcW w:type="dxa" w:w="9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ÖÇ1</w:t>
            </w:r>
          </w:p>
        </w:tc>
        <w:tc>
          <w:tcPr>
            <w:tcW w:type="dxa" w:w="274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Süreç temelli: Malzeme günlüğünün açılması; kavram ayrımına ilişkin kısa çalışma.</w:t>
            </w:r>
          </w:p>
        </w:tc>
      </w:tr>
      <w:tr>
        <w:trPr>
          <w:cantSplit/>
          <w:tblHeader w:val="false"/>
        </w:trPr>
        <w:tc>
          <w:tcPr>
            <w:tcW w:type="dxa" w:w="260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2. Hafta – Biyoplastik atölyesi: Agar agar – gliserin – su sistemiyle biyoplastik üretimi; bağlayıcı ve plastifiyan oranları değiştirilerek deneme serisi. Ev çalışması: en az iki varyasyonun üretilmesi ve fotoğrafla belgelenmesi.</w:t>
            </w:r>
          </w:p>
        </w:tc>
        <w:tc>
          <w:tcPr>
            <w:tcW w:type="dxa" w:w="10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6 saat yüz yüze + 2 saat ev çalışması</w:t>
            </w:r>
          </w:p>
        </w:tc>
        <w:tc>
          <w:tcPr>
            <w:tcW w:type="dxa" w:w="12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8 saat / 0,32 AKTS</w:t>
            </w:r>
          </w:p>
        </w:tc>
        <w:tc>
          <w:tcPr>
            <w:tcW w:type="dxa" w:w="13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Yüz yüze + ev çalışması</w:t>
            </w:r>
          </w:p>
        </w:tc>
        <w:tc>
          <w:tcPr>
            <w:tcW w:type="dxa" w:w="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%20</w:t>
            </w:r>
          </w:p>
        </w:tc>
        <w:tc>
          <w:tcPr>
            <w:tcW w:type="dxa" w:w="9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ÖÇ2</w:t>
            </w:r>
          </w:p>
        </w:tc>
        <w:tc>
          <w:tcPr>
            <w:tcW w:type="dxa" w:w="274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Süreç temelli + ürün: Reçete kayıtları ve biyoplastik deneme serisi; ev denemelerinin fotoğraflı gözlem kaydı.</w:t>
            </w:r>
          </w:p>
        </w:tc>
      </w:tr>
      <w:tr>
        <w:trPr>
          <w:cantSplit/>
          <w:tblHeader w:val="false"/>
        </w:trPr>
        <w:tc>
          <w:tcPr>
            <w:tcW w:type="dxa" w:w="260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3. Hafta – Atık temelli malzeme atölyesi: biyodolgu bileşeni ve oranları değiştirilerek en az üç biyokompozit varyasyonunun üretilmesi ve kalıplanması. Ev çalışması: kür, ağırlık ve boyut değişiminin kaydı.</w:t>
            </w:r>
          </w:p>
        </w:tc>
        <w:tc>
          <w:tcPr>
            <w:tcW w:type="dxa" w:w="10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6 saat yüz yüze + 2 saat ev çalışması</w:t>
            </w:r>
          </w:p>
        </w:tc>
        <w:tc>
          <w:tcPr>
            <w:tcW w:type="dxa" w:w="12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8 saat / 0,32 AKTS</w:t>
            </w:r>
          </w:p>
        </w:tc>
        <w:tc>
          <w:tcPr>
            <w:tcW w:type="dxa" w:w="13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Yüz yüze + ev çalışması</w:t>
            </w:r>
          </w:p>
        </w:tc>
        <w:tc>
          <w:tcPr>
            <w:tcW w:type="dxa" w:w="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%25</w:t>
            </w:r>
          </w:p>
        </w:tc>
        <w:tc>
          <w:tcPr>
            <w:tcW w:type="dxa" w:w="9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ÖÇ3</w:t>
            </w:r>
          </w:p>
        </w:tc>
        <w:tc>
          <w:tcPr>
            <w:tcW w:type="dxa" w:w="274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Süreç temelli + ürün: Reçete varyasyon matrisi ve en az üç varyasyonlu fiziksel numune seti.</w:t>
            </w:r>
          </w:p>
        </w:tc>
      </w:tr>
      <w:tr>
        <w:trPr>
          <w:cantSplit/>
          <w:tblHeader w:val="false"/>
        </w:trPr>
        <w:tc>
          <w:tcPr>
            <w:tcW w:type="dxa" w:w="260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4. Hafta – MDD ile malzeme analizi: yöntemin tanıtımı ve 1. adımın uygulanması; teknik karakterizasyon ve deneyimsel karakterizasyon (akran değerlendirmesi); referans malzemelerle kıyaslama.</w:t>
            </w:r>
          </w:p>
        </w:tc>
        <w:tc>
          <w:tcPr>
            <w:tcW w:type="dxa" w:w="10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3 saat yüz yüze</w:t>
            </w:r>
          </w:p>
        </w:tc>
        <w:tc>
          <w:tcPr>
            <w:tcW w:type="dxa" w:w="12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3 saat / 0,12 AKTS</w:t>
            </w:r>
          </w:p>
        </w:tc>
        <w:tc>
          <w:tcPr>
            <w:tcW w:type="dxa" w:w="13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Yüz yüze</w:t>
            </w:r>
          </w:p>
        </w:tc>
        <w:tc>
          <w:tcPr>
            <w:tcW w:type="dxa" w:w="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%25</w:t>
            </w:r>
          </w:p>
        </w:tc>
        <w:tc>
          <w:tcPr>
            <w:tcW w:type="dxa" w:w="9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ÖÇ4, ÖÇ5, ÖÇ6</w:t>
            </w:r>
          </w:p>
        </w:tc>
        <w:tc>
          <w:tcPr>
            <w:tcW w:type="dxa" w:w="274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Süreç temelli: Teknik ölçüm veri tablosu, deneyimsel bulgu haritası ve referans malzeme kıyaslaması.</w:t>
            </w:r>
          </w:p>
        </w:tc>
      </w:tr>
      <w:tr>
        <w:trPr>
          <w:cantSplit/>
          <w:tblHeader w:val="false"/>
        </w:trPr>
        <w:tc>
          <w:tcPr>
            <w:tcW w:type="dxa" w:w="260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5. Hafta – Malzemenin potansiyelleri ve sunum: MDD 2., 3. ve 4. adımlar; Malzeme Deneyimi Vizyonunun yazılması ve kullanım potansiyellerinin tanımlanması; malzeme kimlik kartı, mini sergi ve sunum.</w:t>
            </w:r>
          </w:p>
        </w:tc>
        <w:tc>
          <w:tcPr>
            <w:tcW w:type="dxa" w:w="10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3 saat yüz yüze</w:t>
            </w:r>
          </w:p>
        </w:tc>
        <w:tc>
          <w:tcPr>
            <w:tcW w:type="dxa" w:w="12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3 saat / 0,12 AKTS</w:t>
            </w:r>
          </w:p>
        </w:tc>
        <w:tc>
          <w:tcPr>
            <w:tcW w:type="dxa" w:w="13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Yüz yüze</w:t>
            </w:r>
          </w:p>
        </w:tc>
        <w:tc>
          <w:tcPr>
            <w:tcW w:type="dxa" w:w="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%25</w:t>
            </w:r>
          </w:p>
        </w:tc>
        <w:tc>
          <w:tcPr>
            <w:tcW w:type="dxa" w:w="900"/>
            <w:gridSpan w:val="2"/>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16"/>
                <w:szCs w:val="16"/>
              </w:rPr>
              <w:t xml:space="preserve">ÖÇ6, ÖÇ7</w:t>
            </w:r>
          </w:p>
        </w:tc>
        <w:tc>
          <w:tcPr>
            <w:tcW w:type="dxa" w:w="2740"/>
            <w:tcMar>
              <w:top w:type="dxa" w:w="40"/>
              <w:left w:type="dxa" w:w="80"/>
              <w:bottom w:type="dxa" w:w="40"/>
              <w:right w:type="dxa" w:w="80"/>
            </w:tcMar>
            <w:vAlign w:val="top"/>
          </w:tcPr>
          <w:p>
            <w:pPr>
              <w:spacing w:after="20" w:before="0" w:line="240" w:lineRule="auto"/>
              <w:jc w:val="left"/>
            </w:pPr>
            <w:r>
              <w:rPr>
                <w:rFonts w:ascii="Times New Roman" w:cs="Times New Roman" w:eastAsia="Times New Roman" w:hAnsi="Times New Roman"/>
                <w:b w:val="false"/>
                <w:bCs w:val="false"/>
                <w:i w:val="false"/>
                <w:iCs w:val="false"/>
                <w:sz w:val="16"/>
                <w:szCs w:val="16"/>
              </w:rPr>
              <w:t xml:space="preserve">Ürün + sunum: Malzeme Deneyimi Vizyonu sunumu, malzeme kimlik kartı ve numune seti (çift değerlendirici).</w:t>
            </w:r>
          </w:p>
        </w:tc>
      </w:tr>
      <w:tr>
        <w:trPr>
          <w:cantSplit/>
          <w:tblHeader w:val="false"/>
        </w:trPr>
        <w:tc>
          <w:tcPr>
            <w:tcW w:type="dxa" w:w="2600"/>
            <w:shd w:fill="F2F2F2" w:color="auto" w:val="clear"/>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16"/>
                <w:szCs w:val="16"/>
              </w:rPr>
              <w:t xml:space="preserve">TOPLAM</w:t>
            </w:r>
          </w:p>
        </w:tc>
        <w:tc>
          <w:tcPr>
            <w:tcW w:type="dxa" w:w="10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16"/>
                <w:szCs w:val="16"/>
              </w:rPr>
              <w:t xml:space="preserve">21 saat yüz yüze + 4 saat ev çalışması</w:t>
            </w:r>
          </w:p>
        </w:tc>
        <w:tc>
          <w:tcPr>
            <w:tcW w:type="dxa" w:w="12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16"/>
                <w:szCs w:val="16"/>
              </w:rPr>
              <w:t xml:space="preserve">25 saat / 1 AKTS</w:t>
            </w:r>
          </w:p>
        </w:tc>
        <w:tc>
          <w:tcPr>
            <w:tcW w:type="dxa" w:w="1300"/>
            <w:gridSpan w:val="2"/>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16"/>
                <w:szCs w:val="16"/>
              </w:rPr>
              <w:t xml:space="preserve">Yüz yüze / uygulamalı</w:t>
            </w:r>
          </w:p>
        </w:tc>
        <w:tc>
          <w:tcPr>
            <w:tcW w:type="dxa" w:w="9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16"/>
                <w:szCs w:val="16"/>
              </w:rPr>
              <w:t xml:space="preserve">%100</w:t>
            </w:r>
          </w:p>
        </w:tc>
        <w:tc>
          <w:tcPr>
            <w:tcW w:type="dxa" w:w="900"/>
            <w:gridSpan w:val="2"/>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16"/>
                <w:szCs w:val="16"/>
              </w:rPr>
              <w:t xml:space="preserve">ÖÇ1–ÖÇ7</w:t>
            </w:r>
          </w:p>
        </w:tc>
        <w:tc>
          <w:tcPr>
            <w:tcW w:type="dxa" w:w="2740"/>
            <w:shd w:fill="F2F2F2" w:color="auto" w:val="clear"/>
            <w:tcMar>
              <w:top w:type="dxa" w:w="40"/>
              <w:left w:type="dxa" w:w="80"/>
              <w:bottom w:type="dxa" w:w="40"/>
              <w:right w:type="dxa" w:w="80"/>
            </w:tcMar>
            <w:vAlign w:val="center"/>
          </w:tcPr>
          <w:p>
            <w:pPr>
              <w:spacing w:after="20" w:before="0" w:line="240" w:lineRule="auto"/>
              <w:jc w:val="left"/>
            </w:pPr>
            <w:r>
              <w:rPr>
                <w:rFonts w:ascii="Times New Roman" w:cs="Times New Roman" w:eastAsia="Times New Roman" w:hAnsi="Times New Roman"/>
                <w:b/>
                <w:bCs/>
                <w:i w:val="false"/>
                <w:iCs w:val="false"/>
                <w:sz w:val="16"/>
                <w:szCs w:val="16"/>
              </w:rPr>
              <w:t xml:space="preserve">Malzeme günlüğü %30, numune seti %30, MDD karakterizasyon %20, potansiyeller sunumu %20. Asgari başarı puanı 70/100.</w:t>
            </w:r>
          </w:p>
        </w:tc>
      </w:tr>
    </w:tbl>
    <w:p>
      <w:pPr>
        <w:spacing w:after="20" w:before="80" w:line="240" w:lineRule="auto"/>
        <w:jc w:val="both"/>
      </w:pPr>
      <w:r>
        <w:rPr>
          <w:rFonts w:ascii="Times New Roman" w:cs="Times New Roman" w:eastAsia="Times New Roman" w:hAnsi="Times New Roman"/>
          <w:b w:val="false"/>
          <w:bCs w:val="false"/>
          <w:i/>
          <w:iCs/>
          <w:sz w:val="16"/>
          <w:szCs w:val="16"/>
        </w:rPr>
        <w:t xml:space="preserve">NOT: 1 AKTS = 25 saat toplam öğrenen iş yüküdür. Programlar kural olarak 1–6 AKTS’dir. İş yükü; eş zamanlı/eş zamansız etkinlikler, uygulama ve bireysel çalışmayı kapsar.</w:t>
      </w:r>
    </w:p>
    <w:p>
      <w:pPr>
        <w:spacing w:after="80" w:before="200"/>
      </w:pPr>
      <w:r>
        <w:rPr>
          <w:rFonts w:ascii="Times New Roman" w:cs="Times New Roman" w:eastAsia="Times New Roman" w:hAnsi="Times New Roman"/>
          <w:b/>
          <w:bCs/>
          <w:i w:val="false"/>
          <w:iCs w:val="false"/>
          <w:sz w:val="21"/>
          <w:szCs w:val="21"/>
        </w:rPr>
        <w:t xml:space="preserve">BÖLÜM 7: Eğitici Kadro, Görev Dağılımı ve Uygulama Takvimi</w:t>
      </w:r>
    </w:p>
    <w:tbl>
      <w:tblPr>
        <w:tblW w:type="dxa" w:w="10640"/>
        <w:tblInd w:type="dxa" w:w="2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1600"/>
        <w:gridCol w:w="1700"/>
        <w:gridCol w:w="2200"/>
        <w:gridCol w:w="2600"/>
        <w:gridCol w:w="900"/>
        <w:gridCol w:w="1140"/>
      </w:tblGrid>
      <w:tr>
        <w:trPr>
          <w:cantSplit/>
          <w:tblHeader/>
        </w:trPr>
        <w:tc>
          <w:tcPr>
            <w:tcW w:type="dxa" w:w="5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No</w:t>
            </w:r>
          </w:p>
        </w:tc>
        <w:tc>
          <w:tcPr>
            <w:tcW w:type="dxa" w:w="16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Adı Soyadı</w:t>
            </w:r>
          </w:p>
        </w:tc>
        <w:tc>
          <w:tcPr>
            <w:tcW w:type="dxa" w:w="17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Kurum / Birim</w:t>
            </w:r>
          </w:p>
        </w:tc>
        <w:tc>
          <w:tcPr>
            <w:tcW w:type="dxa" w:w="22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Rolü</w:t>
            </w:r>
          </w:p>
        </w:tc>
        <w:tc>
          <w:tcPr>
            <w:tcW w:type="dxa" w:w="26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Uzmanlık ve Yeterlik</w:t>
            </w:r>
          </w:p>
        </w:tc>
        <w:tc>
          <w:tcPr>
            <w:tcW w:type="dxa" w:w="90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Ders Saati</w:t>
            </w:r>
          </w:p>
        </w:tc>
        <w:tc>
          <w:tcPr>
            <w:tcW w:type="dxa" w:w="1140"/>
            <w:shd w:fill="F2F2F2" w:color="auto" w:val="clear"/>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0"/>
                <w:szCs w:val="20"/>
              </w:rPr>
              <w:t xml:space="preserve">CV Eki</w:t>
            </w:r>
          </w:p>
        </w:tc>
      </w:tr>
      <w:tr>
        <w:trPr>
          <w:cantSplit/>
          <w:tblHeader w:val="false"/>
        </w:trPr>
        <w:tc>
          <w:tcPr>
            <w:tcW w:type="dxa" w:w="5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1</w:t>
            </w:r>
          </w:p>
        </w:tc>
        <w:tc>
          <w:tcPr>
            <w:tcW w:type="dxa" w:w="16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Betül ÜNAL</w:t>
            </w:r>
          </w:p>
        </w:tc>
        <w:tc>
          <w:tcPr>
            <w:tcW w:type="dxa" w:w="17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Kapadokya Üniversitesi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highlight w:val="yellow"/>
              </w:rPr>
              <w:t xml:space="preserve">……………</w:t>
            </w:r>
          </w:p>
        </w:tc>
        <w:tc>
          <w:tcPr>
            <w:tcW w:type="dxa" w:w="22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16"/>
                <w:szCs w:val="16"/>
              </w:rPr>
              <w:t xml:space="preserve">Program sorumlusu ve eğitici; atölye yürütücülüğü, karakterizasyon oturumları ve değerlendirme</w:t>
            </w:r>
          </w:p>
        </w:tc>
        <w:tc>
          <w:tcPr>
            <w:tcW w:type="dxa" w:w="26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16"/>
                <w:szCs w:val="16"/>
                <w:highlight w:val="yellow"/>
              </w:rPr>
              <w:t xml:space="preserve">(Akademik unvan, çalışma alanı, biyotasarım / malzeme odaklı tasarım deneyimi yazılacaktır.)</w:t>
            </w:r>
          </w:p>
        </w:tc>
        <w:tc>
          <w:tcPr>
            <w:tcW w:type="dxa" w:w="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21</w:t>
            </w:r>
          </w:p>
        </w:tc>
        <w:tc>
          <w:tcPr>
            <w:tcW w:type="dxa" w:w="114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5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2</w:t>
            </w:r>
          </w:p>
        </w:tc>
        <w:tc>
          <w:tcPr>
            <w:tcW w:type="dxa" w:w="16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w:t>
            </w:r>
          </w:p>
        </w:tc>
        <w:tc>
          <w:tcPr>
            <w:tcW w:type="dxa" w:w="17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w:t>
            </w:r>
          </w:p>
        </w:tc>
        <w:tc>
          <w:tcPr>
            <w:tcW w:type="dxa" w:w="22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16"/>
                <w:szCs w:val="16"/>
              </w:rPr>
              <w:t xml:space="preserve">Davetli değerlendirici; 5. hafta sunum değerlendirmesi</w:t>
            </w:r>
          </w:p>
        </w:tc>
        <w:tc>
          <w:tcPr>
            <w:tcW w:type="dxa" w:w="26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16"/>
                <w:szCs w:val="16"/>
                <w:highlight w:val="yellow"/>
              </w:rPr>
              <w:t xml:space="preserve">(Malzeme / tasarım alanında uzmanlık.)</w:t>
            </w:r>
          </w:p>
        </w:tc>
        <w:tc>
          <w:tcPr>
            <w:tcW w:type="dxa" w:w="90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3</w:t>
            </w:r>
          </w:p>
        </w:tc>
        <w:tc>
          <w:tcPr>
            <w:tcW w:type="dxa" w:w="114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cantSplit w:val="false"/>
          <w:tblHeader w:val="false"/>
        </w:trPr>
        <w:tc>
          <w:tcPr>
            <w:tcW w:type="dxa" w:w="3800"/>
            <w:gridSpan w:val="3"/>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Eğitici yeterliğinin programa uygunluğu</w:t>
            </w:r>
          </w:p>
        </w:tc>
        <w:tc>
          <w:tcPr>
            <w:tcW w:type="dxa" w:w="6840"/>
            <w:gridSpan w:val="4"/>
            <w:tcMar>
              <w:top w:type="dxa" w:w="40"/>
              <w:left w:type="dxa" w:w="80"/>
              <w:bottom w:type="dxa" w:w="40"/>
              <w:right w:type="dxa" w:w="80"/>
            </w:tcMar>
            <w:vAlign w:val="center"/>
          </w:tcPr>
          <w:p>
            <w:pPr>
              <w:spacing w:after="20" w:before="0" w:line="240" w:lineRule="auto"/>
              <w:jc w:val="both"/>
            </w:pPr>
            <w:r>
              <w:rPr>
                <w:rFonts w:ascii="Times New Roman" w:cs="Times New Roman" w:eastAsia="Times New Roman" w:hAnsi="Times New Roman"/>
                <w:b w:val="false"/>
                <w:bCs w:val="false"/>
                <w:i w:val="false"/>
                <w:iCs w:val="false"/>
                <w:sz w:val="20"/>
                <w:szCs w:val="20"/>
              </w:rPr>
              <w:t xml:space="preserve">Program, biyotasarım ve malzeme odaklı tasarım alanında çalışan bir öğretim elemanı tarafından tasarlanmış ve yürütülecektir. Ölçme-değerlendirme, eğitimin başında öğrenenlerle paylaşılan analitik rubriklere dayandırılmıştır. Uygulama oturumları öncesinde İSG ve hijyen bilgilendirmesi yapılarak kayda geçirilir. 5. hafta sunum değerlendirmesi, eğiticinin yanı sıra en az bir davetli değerlendirici ile birlikte yürütülür. Eğiticiye ait özgeçmiş ve alanla ilgili çalışmaları gösteren belgeler forma ek olarak sunulmaktadır.</w:t>
            </w:r>
          </w:p>
        </w:tc>
      </w:tr>
    </w:tbl>
    <w:p>
      <w:pPr>
        <w:keepNext/>
        <w:spacing w:after="80" w:before="200"/>
      </w:pPr>
      <w:r>
        <w:rPr>
          <w:rFonts w:ascii="Times New Roman" w:cs="Times New Roman" w:eastAsia="Times New Roman" w:hAnsi="Times New Roman"/>
          <w:b/>
          <w:bCs/>
          <w:i w:val="false"/>
          <w:iCs w:val="false"/>
          <w:sz w:val="21"/>
          <w:szCs w:val="21"/>
        </w:rPr>
        <w:t xml:space="preserve">BÖLÜM 10: Teklif Sahibinin Beyanı ve İmzalar</w:t>
      </w:r>
    </w:p>
    <w:p>
      <w:pPr>
        <w:keepNext/>
        <w:spacing w:after="200" w:before="0" w:line="240" w:lineRule="auto"/>
        <w:jc w:val="both"/>
      </w:pPr>
      <w:r>
        <w:rPr>
          <w:rFonts w:ascii="Times New Roman" w:cs="Times New Roman" w:eastAsia="Times New Roman" w:hAnsi="Times New Roman"/>
          <w:b w:val="false"/>
          <w:bCs w:val="false"/>
          <w:i w:val="false"/>
          <w:iCs w:val="false"/>
          <w:sz w:val="20"/>
          <w:szCs w:val="20"/>
        </w:rPr>
        <w:t xml:space="preserve">Bu formda ve eklerinde sunulan bilgilerin doğru ve güncel olduğunu; programın KÜN Mikro Yeterlilikler Yönergesine, ilgili mevzuata, kalite güvencesi, etik, erişilebilirlik, kişisel verilerin korunması ve fikrî mülkiyet ilkelerine uygun olarak yürütülmesinden sorumlu olduğumuzu beyan ederiz.</w:t>
      </w:r>
    </w:p>
    <w:tbl>
      <w:tblPr>
        <w:tblW w:type="dxa" w:w="7200"/>
        <w:tblInd w:type="dxa" w:w="17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00"/>
        <w:gridCol w:w="4000"/>
      </w:tblGrid>
      <w:tr>
        <w:trPr>
          <w:cantSplit/>
          <w:tblHeader w:val="false"/>
          <w:trHeight w:val="460" w:hRule="atLeast"/>
        </w:trPr>
        <w:tc>
          <w:tcPr>
            <w:tcW w:type="dxa" w:w="3200"/>
            <w:tcMar>
              <w:top w:type="dxa" w:w="40"/>
              <w:left w:type="dxa" w:w="80"/>
              <w:bottom w:type="dxa" w:w="40"/>
              <w:right w:type="dxa" w:w="80"/>
            </w:tcMar>
            <w:vAlign w:val="center"/>
          </w:tcPr>
          <w:p>
            <w:pPr>
              <w:keepNext/>
              <w:spacing w:after="20" w:before="0" w:line="240" w:lineRule="auto"/>
            </w:pPr>
            <w:r>
              <w:rPr>
                <w:rFonts w:ascii="Times New Roman" w:cs="Times New Roman" w:eastAsia="Times New Roman" w:hAnsi="Times New Roman"/>
                <w:b/>
                <w:bCs/>
                <w:i w:val="false"/>
                <w:iCs w:val="false"/>
                <w:sz w:val="20"/>
                <w:szCs w:val="20"/>
              </w:rPr>
              <w:t xml:space="preserve">Başvuru Sahibi</w:t>
            </w:r>
          </w:p>
        </w:tc>
        <w:tc>
          <w:tcPr>
            <w:tcW w:type="dxa" w:w="4000"/>
            <w:tcMar>
              <w:top w:type="dxa" w:w="40"/>
              <w:left w:type="dxa" w:w="80"/>
              <w:bottom w:type="dxa" w:w="40"/>
              <w:right w:type="dxa" w:w="80"/>
            </w:tcMar>
            <w:vAlign w:val="center"/>
          </w:tcPr>
          <w:p>
            <w:pPr>
              <w:keepNext/>
              <w:spacing w:after="20" w:before="0" w:line="240" w:lineRule="auto"/>
            </w:pPr>
            <w:r>
              <w:rPr>
                <w:rFonts w:ascii="Times New Roman" w:cs="Times New Roman" w:eastAsia="Times New Roman" w:hAnsi="Times New Roman"/>
                <w:b w:val="false"/>
                <w:bCs w:val="false"/>
                <w:i w:val="false"/>
                <w:iCs w:val="false"/>
                <w:sz w:val="20"/>
                <w:szCs w:val="20"/>
              </w:rPr>
              <w:t xml:space="preserve">Betül ÜNAL</w:t>
            </w:r>
          </w:p>
        </w:tc>
      </w:tr>
      <w:tr>
        <w:trPr>
          <w:cantSplit/>
          <w:tblHeader w:val="false"/>
          <w:trHeight w:val="620" w:hRule="atLeast"/>
        </w:trPr>
        <w:tc>
          <w:tcPr>
            <w:tcW w:type="dxa" w:w="3200"/>
            <w:tcMar>
              <w:top w:type="dxa" w:w="40"/>
              <w:left w:type="dxa" w:w="80"/>
              <w:bottom w:type="dxa" w:w="40"/>
              <w:right w:type="dxa" w:w="80"/>
            </w:tcMar>
            <w:vAlign w:val="center"/>
          </w:tcPr>
          <w:p>
            <w:pPr>
              <w:keepNext/>
              <w:spacing w:after="20" w:before="0" w:line="240" w:lineRule="auto"/>
            </w:pPr>
            <w:r>
              <w:rPr>
                <w:rFonts w:ascii="Times New Roman" w:cs="Times New Roman" w:eastAsia="Times New Roman" w:hAnsi="Times New Roman"/>
                <w:b/>
                <w:bCs/>
                <w:i w:val="false"/>
                <w:iCs w:val="false"/>
                <w:sz w:val="20"/>
                <w:szCs w:val="20"/>
              </w:rPr>
              <w:t xml:space="preserve">Adı-soyadı / imza</w:t>
            </w:r>
          </w:p>
        </w:tc>
        <w:tc>
          <w:tcPr>
            <w:tcW w:type="dxa" w:w="4000"/>
            <w:tcMar>
              <w:top w:type="dxa" w:w="40"/>
              <w:left w:type="dxa" w:w="80"/>
              <w:bottom w:type="dxa" w:w="40"/>
              <w:right w:type="dxa" w:w="80"/>
            </w:tcMar>
            <w:vAlign w:val="center"/>
          </w:tcPr>
          <w:p>
            <w:pPr>
              <w:keepNext/>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(imza)</w:t>
            </w:r>
          </w:p>
        </w:tc>
      </w:tr>
      <w:tr>
        <w:trPr>
          <w:cantSplit/>
          <w:tblHeader w:val="false"/>
          <w:trHeight w:val="460" w:hRule="atLeast"/>
        </w:trPr>
        <w:tc>
          <w:tcPr>
            <w:tcW w:type="dxa" w:w="32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bCs/>
                <w:i w:val="false"/>
                <w:iCs w:val="false"/>
                <w:sz w:val="20"/>
                <w:szCs w:val="20"/>
              </w:rPr>
              <w:t xml:space="preserve">Tarih</w:t>
            </w:r>
          </w:p>
        </w:tc>
        <w:tc>
          <w:tcPr>
            <w:tcW w:type="dxa" w:w="4000"/>
            <w:tcMar>
              <w:top w:type="dxa" w:w="40"/>
              <w:left w:type="dxa" w:w="80"/>
              <w:bottom w:type="dxa" w:w="40"/>
              <w:right w:type="dxa" w:w="8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highlight w:val="yellow"/>
              </w:rPr>
              <w:t xml:space="preserve">……… / ……… / 2026</w:t>
            </w:r>
          </w:p>
        </w:tc>
      </w:tr>
    </w:tbl>
    <w:sectPr>
      <w:headerReference w:type="default" r:id="rId7"/>
      <w:footerReference w:type="default" r:id="rId8"/>
      <w:pgSz w:w="12240" w:h="15840" w:orient="portrait"/>
      <w:pgMar w:top="2100" w:right="540" w:bottom="900" w:left="54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before="0" w:line="240" w:lineRule="auto"/>
      <w:jc w:val="right"/>
    </w:pPr>
    <w:r>
      <w:rPr>
        <w:rFonts w:ascii="Times New Roman" w:cs="Times New Roman" w:eastAsia="Times New Roman" w:hAnsi="Times New Roman"/>
        <w:b w:val="false"/>
        <w:bCs w:val="false"/>
        <w:i w:val="false"/>
        <w:iCs w:val="false"/>
        <w:sz w:val="16"/>
        <w:szCs w:val="16"/>
      </w:rPr>
      <w:t xml:space="preserve">Sayfa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160"/>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580"/>
      <w:gridCol w:w="3920"/>
      <w:gridCol w:w="3660"/>
    </w:tblGrid>
    <w:tr>
      <w:trPr>
        <w:cantSplit w:val="false"/>
        <w:tblHeader w:val="false"/>
      </w:trPr>
      <w:tc>
        <w:tcPr>
          <w:tcW w:type="dxa" w:w="3580"/>
          <w:tcMar>
            <w:top w:type="dxa" w:w="40"/>
            <w:left w:type="dxa" w:w="40"/>
            <w:bottom w:type="dxa" w:w="40"/>
            <w:right w:type="dxa" w:w="40"/>
          </w:tcMar>
          <w:vAlign w:val="center"/>
        </w:tcPr>
        <w:p>
          <w:pPr>
            <w:spacing w:after="0" w:before="0"/>
            <w:jc w:val="center"/>
          </w:pPr>
          <w:r>
            <w:drawing>
              <wp:inline distT="0" distB="0" distL="0" distR="0">
                <wp:extent cx="21717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71700" cy="542925"/>
                        </a:xfrm>
                        <a:prstGeom prst="rect">
                          <a:avLst/>
                        </a:prstGeom>
                      </pic:spPr>
                    </pic:pic>
                  </a:graphicData>
                </a:graphic>
              </wp:inline>
            </w:drawing>
          </w:r>
        </w:p>
      </w:tc>
      <w:tc>
        <w:tcPr>
          <w:tcW w:type="dxa" w:w="3920"/>
          <w:tcMar>
            <w:top w:type="dxa" w:w="40"/>
            <w:left w:type="dxa" w:w="80"/>
            <w:bottom w:type="dxa" w:w="40"/>
            <w:right w:type="dxa" w:w="80"/>
          </w:tcMar>
          <w:vAlign w:val="center"/>
        </w:tcPr>
        <w:p>
          <w:pPr>
            <w:spacing w:after="20" w:before="0" w:line="240" w:lineRule="auto"/>
            <w:jc w:val="center"/>
          </w:pPr>
          <w:r>
            <w:rPr>
              <w:rFonts w:ascii="Times New Roman" w:cs="Times New Roman" w:eastAsia="Times New Roman" w:hAnsi="Times New Roman"/>
              <w:b/>
              <w:bCs/>
              <w:i w:val="false"/>
              <w:iCs w:val="false"/>
              <w:sz w:val="21"/>
              <w:szCs w:val="21"/>
            </w:rPr>
            <w:t xml:space="preserve">MİKRO YETERLİLİK EĞİTİMİ BAŞVURU FORMU</w:t>
          </w:r>
        </w:p>
      </w:tc>
      <w:tc>
        <w:tcPr>
          <w:tcW w:type="dxa" w:w="3660"/>
          <w:tcMar>
            <w:top w:type="dxa" w:w="0"/>
            <w:left w:type="dxa" w:w="0"/>
            <w:bottom w:type="dxa" w:w="0"/>
            <w:right w:type="dxa" w:w="0"/>
          </w:tcMar>
          <w:vAlign w:val="top"/>
        </w:tcPr>
        <w:tbl>
          <w:tblPr>
            <w:tblW w:type="dxa" w:w="3660"/>
            <w:tblInd w:type="dxa" w:w="0"/>
            <w:tblBorders>
              <w:top w:val="none" w:color="FFFFFF" w:sz="0"/>
              <w:left w:val="none" w:color="FFFFFF" w:sz="0"/>
              <w:bottom w:val="none" w:color="FFFFFF" w:sz="0"/>
              <w:right w:val="none" w:color="FFFFFF" w:sz="0"/>
              <w:insideH w:val="single" w:color="000000" w:sz="4"/>
              <w:insideV w:val="single" w:color="000000" w:sz="4"/>
            </w:tblBorders>
            <w:tblLayout w:type="fixed"/>
          </w:tblPr>
          <w:tblGrid>
            <w:gridCol w:w="1700"/>
            <w:gridCol w:w="1960"/>
          </w:tblGrid>
          <w:tr>
            <w:trPr>
              <w:cantSplit w:val="false"/>
              <w:tblHeader w:val="false"/>
            </w:trPr>
            <w:tc>
              <w:tcPr>
                <w:tcW w:type="dxa" w:w="1700"/>
                <w:tcMar>
                  <w:top w:type="dxa" w:w="10"/>
                  <w:left w:type="dxa" w:w="70"/>
                  <w:bottom w:type="dxa" w:w="10"/>
                  <w:right w:type="dxa" w:w="4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Doküman No</w:t>
                </w:r>
              </w:p>
            </w:tc>
            <w:tc>
              <w:tcPr>
                <w:tcW w:type="dxa" w:w="1960"/>
                <w:tcMar>
                  <w:top w:type="dxa" w:w="10"/>
                  <w:left w:type="dxa" w:w="40"/>
                  <w:bottom w:type="dxa" w:w="10"/>
                  <w:right w:type="dxa" w:w="4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MY.FR.001</w:t>
                </w:r>
              </w:p>
            </w:tc>
          </w:tr>
          <w:tr>
            <w:trPr>
              <w:cantSplit w:val="false"/>
              <w:tblHeader w:val="false"/>
            </w:trPr>
            <w:tc>
              <w:tcPr>
                <w:tcW w:type="dxa" w:w="1700"/>
                <w:tcMar>
                  <w:top w:type="dxa" w:w="10"/>
                  <w:left w:type="dxa" w:w="70"/>
                  <w:bottom w:type="dxa" w:w="10"/>
                  <w:right w:type="dxa" w:w="4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Yayın Tarihi</w:t>
                </w:r>
              </w:p>
            </w:tc>
            <w:tc>
              <w:tcPr>
                <w:tcW w:type="dxa" w:w="1960"/>
                <w:tcMar>
                  <w:top w:type="dxa" w:w="10"/>
                  <w:left w:type="dxa" w:w="40"/>
                  <w:bottom w:type="dxa" w:w="10"/>
                  <w:right w:type="dxa" w:w="4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Ağustos 2026</w:t>
                </w:r>
              </w:p>
            </w:tc>
          </w:tr>
          <w:tr>
            <w:trPr>
              <w:cantSplit w:val="false"/>
              <w:tblHeader w:val="false"/>
            </w:trPr>
            <w:tc>
              <w:tcPr>
                <w:tcW w:type="dxa" w:w="1700"/>
                <w:tcMar>
                  <w:top w:type="dxa" w:w="10"/>
                  <w:left w:type="dxa" w:w="70"/>
                  <w:bottom w:type="dxa" w:w="10"/>
                  <w:right w:type="dxa" w:w="4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Revizyon No</w:t>
                </w:r>
              </w:p>
            </w:tc>
            <w:tc>
              <w:tcPr>
                <w:tcW w:type="dxa" w:w="1960"/>
                <w:tcMar>
                  <w:top w:type="dxa" w:w="10"/>
                  <w:left w:type="dxa" w:w="40"/>
                  <w:bottom w:type="dxa" w:w="10"/>
                  <w:right w:type="dxa" w:w="4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Orj.</w:t>
                </w:r>
              </w:p>
            </w:tc>
          </w:tr>
          <w:tr>
            <w:trPr>
              <w:cantSplit w:val="false"/>
              <w:tblHeader w:val="false"/>
            </w:trPr>
            <w:tc>
              <w:tcPr>
                <w:tcW w:type="dxa" w:w="1700"/>
                <w:tcMar>
                  <w:top w:type="dxa" w:w="10"/>
                  <w:left w:type="dxa" w:w="70"/>
                  <w:bottom w:type="dxa" w:w="10"/>
                  <w:right w:type="dxa" w:w="4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Revizyon Tarihi</w:t>
                </w:r>
              </w:p>
            </w:tc>
            <w:tc>
              <w:tcPr>
                <w:tcW w:type="dxa" w:w="1960"/>
                <w:tcMar>
                  <w:top w:type="dxa" w:w="10"/>
                  <w:left w:type="dxa" w:w="40"/>
                  <w:bottom w:type="dxa" w:w="10"/>
                  <w:right w:type="dxa" w:w="40"/>
                </w:tcMar>
                <w:vAlign w:val="center"/>
              </w:tcPr>
              <w:p>
                <w:pPr>
                  <w:spacing w:after="20" w:before="0" w:line="240" w:lineRule="auto"/>
                  <w:jc w:val="center"/>
                </w:pPr>
                <w:r>
                  <w:rPr>
                    <w:rFonts w:ascii="Times New Roman" w:cs="Times New Roman" w:eastAsia="Times New Roman" w:hAnsi="Times New Roman"/>
                    <w:b w:val="false"/>
                    <w:bCs w:val="false"/>
                    <w:i w:val="false"/>
                    <w:iCs w:val="false"/>
                    <w:sz w:val="20"/>
                    <w:szCs w:val="20"/>
                  </w:rPr>
                  <w:t xml:space="preserve"/>
                </w:r>
              </w:p>
            </w:tc>
          </w:tr>
          <w:tr>
            <w:trPr>
              <w:cantSplit w:val="false"/>
              <w:tblHeader w:val="false"/>
            </w:trPr>
            <w:tc>
              <w:tcPr>
                <w:tcW w:type="dxa" w:w="1700"/>
                <w:tcMar>
                  <w:top w:type="dxa" w:w="10"/>
                  <w:left w:type="dxa" w:w="70"/>
                  <w:bottom w:type="dxa" w:w="10"/>
                  <w:right w:type="dxa" w:w="40"/>
                </w:tcMar>
                <w:vAlign w:val="center"/>
              </w:tcPr>
              <w:p>
                <w:pPr>
                  <w:spacing w:after="20" w:before="0" w:line="240" w:lineRule="auto"/>
                </w:pPr>
                <w:r>
                  <w:rPr>
                    <w:rFonts w:ascii="Times New Roman" w:cs="Times New Roman" w:eastAsia="Times New Roman" w:hAnsi="Times New Roman"/>
                    <w:b w:val="false"/>
                    <w:bCs w:val="false"/>
                    <w:i w:val="false"/>
                    <w:iCs w:val="false"/>
                    <w:sz w:val="20"/>
                    <w:szCs w:val="20"/>
                  </w:rPr>
                  <w:t xml:space="preserve">Sayfa No</w:t>
                </w:r>
              </w:p>
            </w:tc>
            <w:tc>
              <w:tcPr>
                <w:tcW w:type="dxa" w:w="1960"/>
                <w:tcMar>
                  <w:top w:type="dxa" w:w="10"/>
                  <w:left w:type="dxa" w:w="40"/>
                  <w:bottom w:type="dxa" w:w="10"/>
                  <w:right w:type="dxa" w:w="40"/>
                </w:tcMar>
                <w:vAlign w:val="center"/>
              </w:tcPr>
              <w:p>
                <w:pPr>
                  <w:spacing w:after="20" w:before="0" w:line="240" w:lineRule="auto"/>
                  <w:jc w:val="center"/>
                </w:pPr>
                <w:r>
                  <w:rPr>
                    <w:rFonts w:ascii="Times New Roman" w:cs="Times New Roman" w:eastAsia="Times New Roman" w:hAnsi="Times New Roman"/>
                    <w:b/>
                    <w:bCs/>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tc>
          </w:tr>
        </w:tbl>
        <w:p>
          <w:pPr>
            <w:spacing w:after="0" w:line="1" w:lineRule="exact"/>
          </w:pP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2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0e3665054bc520b67f21acca69a3d443219cac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 Yeterlilik Eğitimi Başvuru Formu (MY.FR.001)</dc:title>
  <dc:creator>Kapadokya Üniversitesi</dc:creator>
  <dc:description>Biyoloji Bazlı Malzeme Tasarımı Atölyesi</dc:description>
  <cp:lastModifiedBy>Un-named</cp:lastModifiedBy>
  <cp:revision>1</cp:revision>
  <dcterms:created xsi:type="dcterms:W3CDTF">2026-09-10T13:58:31.563Z</dcterms:created>
  <dcterms:modified xsi:type="dcterms:W3CDTF">2026-09-10T13:58:31.563Z</dcterms:modified>
</cp:coreProperties>
</file>

<file path=docProps/custom.xml><?xml version="1.0" encoding="utf-8"?>
<Properties xmlns="http://schemas.openxmlformats.org/officeDocument/2006/custom-properties" xmlns:vt="http://schemas.openxmlformats.org/officeDocument/2006/docPropsVTypes"/>
</file>