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4" w:name="X57bdb765f7f4c80d12dcad99ad8080019a884f6"/>
    <w:p>
      <w:pPr>
        <w:pStyle w:val="Heading1"/>
      </w:pPr>
      <w:r>
        <w:t xml:space="preserve">Anahtar Kelimeden Mekânsal Karara: Perakende Tasarımı Stüdyosunda Marka Kimliğinin Çevrilebilirliği Üzerine Atölye Temelli Bir İçerik Analizi</w:t>
      </w:r>
    </w:p>
    <w:p>
      <w:pPr>
        <w:pStyle w:val="FirstParagraph"/>
      </w:pPr>
      <w:r>
        <w:rPr>
          <w:bCs/>
          <w:b/>
        </w:rPr>
        <w:t xml:space="preserve">Betül Ünal</w:t>
      </w:r>
      <w:r>
        <w:t xml:space="preserve">¹,</w:t>
      </w:r>
      <w:r>
        <w:t xml:space="preserve"> </w:t>
      </w:r>
      <w:r>
        <w:rPr>
          <w:bCs/>
          <w:b/>
        </w:rPr>
        <w:t xml:space="preserve">Ahmet Özhamaratlı</w:t>
      </w:r>
      <w:r>
        <w:t xml:space="preserve">²</w:t>
      </w:r>
    </w:p>
    <w:p>
      <w:pPr>
        <w:pStyle w:val="BodyText"/>
      </w:pPr>
      <w:r>
        <w:t xml:space="preserve">¹ Dr. Öğr. Üyesi, Kapadokya Üniversitesi, Mimarlık, Tasarım ve Güzel Sanatlar Fakültesi, İç Mimarlık ve Çevre Tasarımı Bölümü</w:t>
      </w:r>
      <w:r>
        <w:t xml:space="preserve"> </w:t>
      </w:r>
      <w:r>
        <w:t xml:space="preserve">² Öğr. Gör., Kapadokya Üniversitesi, Mimarlık, Tasarım ve Güzel Sanatlar Fakültesi, İç Mimarlık ve Çevre Tasarımı Bölümü</w:t>
      </w:r>
    </w:p>
    <w:p>
      <w:r>
        <w:pict>
          <v:rect style="width:0;height:1.5pt" o:hralign="center" o:hrstd="t" o:hr="t"/>
        </w:pict>
      </w:r>
    </w:p>
    <w:bookmarkStart w:id="20" w:name="özet"/>
    <w:p>
      <w:pPr>
        <w:pStyle w:val="Heading2"/>
      </w:pPr>
      <w:r>
        <w:t xml:space="preserve">Özet</w:t>
      </w:r>
    </w:p>
    <w:p>
      <w:pPr>
        <w:pStyle w:val="FirstParagraph"/>
      </w:pPr>
      <w:r>
        <w:t xml:space="preserve">Perakende mekânı tasarımı eğitiminde en kritik ve en az incelenmiş an, bir marka kimliğinin soyut niteliklerinin çizilebilir bir mekânsal karara dönüştüğü andır. Alanyazın, müşteri yolculuğu haritalama (MYH) ve marka anahtarı gibi deneyim tasarımı araçlarının stüdyoya aktarılmasını ve bu aktarımın yetkinlik kazanımları üzerindeki etkisini büyük ölçüde dönem sonu ürünleri ve jüri notları üzerinden değerlendirmiştir. Bu çalışma odağı tersine çevirmekte; değerlendirmeyi bitmiş projeye değil, çevirinin kendisine, yani</w:t>
      </w:r>
      <w:r>
        <w:t xml:space="preserve"> </w:t>
      </w:r>
      <w:r>
        <w:t xml:space="preserve">“</w:t>
      </w:r>
      <w:r>
        <w:t xml:space="preserve">anahtar kelime → mekânsal tasarım kararı</w:t>
      </w:r>
      <w:r>
        <w:t xml:space="preserve">”</w:t>
      </w:r>
      <w:r>
        <w:t xml:space="preserve"> </w:t>
      </w:r>
      <w:r>
        <w:t xml:space="preserve">hücresine yerleştirmektedir. Araştırma, Kapadokya Üniversitesi İç Mimarlık ve Çevre Tasarımı Bölümü üçüncü sınıf stüdyosunda (IMC301) 29 öğrenciyle yürütülen bir giriş atölyesinin birincil ürünlerine dayanmaktadır. Atölye, üç yapılandırılmış çalışma kâğıdı üzerinden kurgulanmıştır: (1) rastgele atanan beş perakende mekânının bireysel okunması, (2) aynı mekâna düşen öğrencilerin grup sentezi ve sunumu, (3) fiziksel mağazası bulunmayan niş markalar arasından üç aday markanın araştırılması ve her marka için üç anahtar kelimenin mekânsal karara çevrilmesi. Toplanan 25 teslim, 75 marka önerisi ve 225</w:t>
      </w:r>
      <w:r>
        <w:t xml:space="preserve"> </w:t>
      </w:r>
      <w:r>
        <w:t xml:space="preserve">“</w:t>
      </w:r>
      <w:r>
        <w:t xml:space="preserve">anahtar kelime → mekânsal karar</w:t>
      </w:r>
      <w:r>
        <w:t xml:space="preserve">”</w:t>
      </w:r>
      <w:r>
        <w:t xml:space="preserve"> </w:t>
      </w:r>
      <w:r>
        <w:t xml:space="preserve">hücresi, araştırmacı kodlamasına dayalı bir içerik analiziyle incelenmiştir. Analiz için iki araç geliştirilmiştir: dört basamaklı</w:t>
      </w:r>
      <w:r>
        <w:t xml:space="preserve"> </w:t>
      </w:r>
      <w:r>
        <w:rPr>
          <w:iCs/>
          <w:i/>
        </w:rPr>
        <w:t xml:space="preserve">Çeviri Özgüllüğü Düzeyi</w:t>
      </w:r>
      <w:r>
        <w:t xml:space="preserve"> </w:t>
      </w:r>
      <w:r>
        <w:t xml:space="preserve">(ÇÖD) ölçeği ve on bir aileden oluşan çok etiketli</w:t>
      </w:r>
      <w:r>
        <w:t xml:space="preserve"> </w:t>
      </w:r>
      <w:r>
        <w:rPr>
          <w:iCs/>
          <w:i/>
        </w:rPr>
        <w:t xml:space="preserve">tasarım aygıtı</w:t>
      </w:r>
      <w:r>
        <w:t xml:space="preserve"> </w:t>
      </w:r>
      <w:r>
        <w:t xml:space="preserve">sınıflaması. Bulgular, önerilerin %81’inin işlemsel bir karara ulaştığını (ÇÖD ≥ 2), ancak yalnızca %34,7’sinin çizilebilir-ölçülebilir düzeye (ÇÖD 3) eriştiğini göstermektedir. Öğrenci ortalamaları 0,33 ile 3,00 arasında geniş bir yelpazeye yayılmaktadır; bu, çevirinin bireysel yetenekten çok öğretilebilir bir beceri olduğuna işaret eden bir varyanstır. Tasarım aygıtı repertuvarı belirgin biçimde dengesizdir: sergileme birimi (%73) ve malzeme-yüzey (%60) kararları baskınken, dolaşım ve plan kurgusu yalnızca %19, koku-ses donatısı ise yalnızca %9 oranında görünmektedir. Anahtar kelime havuzunda 225 etiketin 146’sı tekil olup %73’ü yalnızca bir kez kullanılmıştır; sözlük son derece dağınıktır. Son olarak, önerilerin yalnızca %16’sında görülen</w:t>
      </w:r>
      <w:r>
        <w:t xml:space="preserve"> </w:t>
      </w:r>
      <w:r>
        <w:rPr>
          <w:iCs/>
          <w:i/>
        </w:rPr>
        <w:t xml:space="preserve">adlandırılmış mekânsal aygıt</w:t>
      </w:r>
      <w:r>
        <w:t xml:space="preserve"> </w:t>
      </w:r>
      <w:r>
        <w:t xml:space="preserve">üretimi (ör.</w:t>
      </w:r>
      <w:r>
        <w:t xml:space="preserve"> </w:t>
      </w:r>
      <w:r>
        <w:t xml:space="preserve">“</w:t>
      </w:r>
      <w:r>
        <w:t xml:space="preserve">Patina Wall</w:t>
      </w:r>
      <w:r>
        <w:t xml:space="preserve">”</w:t>
      </w:r>
      <w:r>
        <w:t xml:space="preserve">,</w:t>
      </w:r>
      <w:r>
        <w:t xml:space="preserve"> </w:t>
      </w:r>
      <w:r>
        <w:t xml:space="preserve">“</w:t>
      </w:r>
      <w:r>
        <w:t xml:space="preserve">Visible Atelier</w:t>
      </w:r>
      <w:r>
        <w:t xml:space="preserve">”</w:t>
      </w:r>
      <w:r>
        <w:t xml:space="preserve">,</w:t>
      </w:r>
      <w:r>
        <w:t xml:space="preserve"> </w:t>
      </w:r>
      <w:r>
        <w:t xml:space="preserve">“</w:t>
      </w:r>
      <w:r>
        <w:t xml:space="preserve">Scent Bar</w:t>
      </w:r>
      <w:r>
        <w:t xml:space="preserve">”</w:t>
      </w:r>
      <w:r>
        <w:t xml:space="preserve">,</w:t>
      </w:r>
      <w:r>
        <w:t xml:space="preserve"> </w:t>
      </w:r>
      <w:r>
        <w:t xml:space="preserve">“</w:t>
      </w:r>
      <w:r>
        <w:t xml:space="preserve">Koku Barı</w:t>
      </w:r>
      <w:r>
        <w:t xml:space="preserve">”</w:t>
      </w:r>
      <w:r>
        <w:t xml:space="preserve">) ile ÇÖD arasında tam örtüşme saptanmıştır: adlandırma, çevirinin eşik göstergesidir. Çalışma, bu bulgular ışığında, stüdyo giriş haftası için ölçeklenebilir bir</w:t>
      </w:r>
      <w:r>
        <w:t xml:space="preserve"> </w:t>
      </w:r>
      <w:r>
        <w:rPr>
          <w:iCs/>
          <w:i/>
        </w:rPr>
        <w:t xml:space="preserve">Anahtar Kelime Protokolü</w:t>
      </w:r>
      <w:r>
        <w:t xml:space="preserve"> </w:t>
      </w:r>
      <w:r>
        <w:t xml:space="preserve">önermektedir.</w:t>
      </w:r>
    </w:p>
    <w:p>
      <w:pPr>
        <w:pStyle w:val="BodyText"/>
      </w:pPr>
      <w:r>
        <w:rPr>
          <w:bCs/>
          <w:b/>
        </w:rPr>
        <w:t xml:space="preserve">Anahtar kelimeler:</w:t>
      </w:r>
      <w:r>
        <w:t xml:space="preserve"> </w:t>
      </w:r>
      <w:r>
        <w:t xml:space="preserve">perakende mekânı tasarımı, iç mimarlık stüdyo eğitimi, marka kimliği, anahtar kelime, mekânsal çeviri, tasarım düşünme araçları, içerik analizi</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most critical and least examined moment in retail design education is the moment at which the abstract attributes of a brand identity become a drawable spatial decision. Existing scholarship has largely assessed the transfer of experience design tools — customer journey mapping (CJM) and the brand key — into the studio through end-of-semester outputs and jury grades. This study inverts that focus, locating assessment not in the finished project but in the act of translation itself: the</w:t>
      </w:r>
      <w:r>
        <w:t xml:space="preserve"> </w:t>
      </w:r>
      <w:r>
        <w:t xml:space="preserve">“</w:t>
      </w:r>
      <w:r>
        <w:t xml:space="preserve">keyword → spatial design decision</w:t>
      </w:r>
      <w:r>
        <w:t xml:space="preserve">”</w:t>
      </w:r>
      <w:r>
        <w:t xml:space="preserve"> </w:t>
      </w:r>
      <w:r>
        <w:t xml:space="preserve">cell. The research draws on the primary artefacts of an introductory workshop conducted with 29 third-year students in the Interior Architecture and Environmental Design programme at Cappadocia University (IMC301). The workshop was structured around three worksheets: (1) individual reading of five randomly assigned retail interiors, (2) group synthesis and presentation by students assigned to the same space, and (3) investigation of three candidate niche brands without physical stores, translating three keywords per brand into spatial decisions. The resulting 25 submissions, 75 brand proposals and 225 translation cells were examined through researcher-coded content analysis using two purpose-built instruments: a four-level</w:t>
      </w:r>
      <w:r>
        <w:t xml:space="preserve"> </w:t>
      </w:r>
      <w:r>
        <w:rPr>
          <w:iCs/>
          <w:i/>
        </w:rPr>
        <w:t xml:space="preserve">Translation Specificity Level</w:t>
      </w:r>
      <w:r>
        <w:t xml:space="preserve"> </w:t>
      </w:r>
      <w:r>
        <w:t xml:space="preserve">(TSL) scale and an eleven-family multi-label</w:t>
      </w:r>
      <w:r>
        <w:t xml:space="preserve"> </w:t>
      </w:r>
      <w:r>
        <w:rPr>
          <w:iCs/>
          <w:i/>
        </w:rPr>
        <w:t xml:space="preserve">design device</w:t>
      </w:r>
      <w:r>
        <w:t xml:space="preserve"> </w:t>
      </w:r>
      <w:r>
        <w:t xml:space="preserve">taxonomy. Findings show that 81% of proposals reach an operational decision (TSL ≥ 2), yet only 34.7% attain the drawable-measurable level (TSL 3). Student means range from 0.33 to 3.00 — a variance suggesting that translation is a teachable skill rather than an individual talent. The device repertoire is markedly unbalanced: display units (73%) and material-surface decisions (60%) dominate, while circulation and plan configuration appear in only 19% and scent-sound provision in only 9% of proposals. Of 225 keyword tags, 146 are unique and 73% occur once; the vocabulary is highly dispersed. Finally, the production of a</w:t>
      </w:r>
      <w:r>
        <w:t xml:space="preserve"> </w:t>
      </w:r>
      <w:r>
        <w:rPr>
          <w:iCs/>
          <w:i/>
        </w:rPr>
        <w:t xml:space="preserve">named spatial device</w:t>
      </w:r>
      <w:r>
        <w:t xml:space="preserve"> </w:t>
      </w:r>
      <w:r>
        <w:t xml:space="preserve">— present in only 16% of proposals — coincides exactly with the highest translation level: naming is the threshold indicator of translation. The study proposes a scalable</w:t>
      </w:r>
      <w:r>
        <w:t xml:space="preserve"> </w:t>
      </w:r>
      <w:r>
        <w:rPr>
          <w:iCs/>
          <w:i/>
        </w:rPr>
        <w:t xml:space="preserve">Keyword Protocol</w:t>
      </w:r>
      <w:r>
        <w:t xml:space="preserve"> </w:t>
      </w:r>
      <w:r>
        <w:t xml:space="preserve">for the introductory week of the studio.</w:t>
      </w:r>
    </w:p>
    <w:p>
      <w:pPr>
        <w:pStyle w:val="BodyText"/>
      </w:pPr>
      <w:r>
        <w:rPr>
          <w:bCs/>
          <w:b/>
        </w:rPr>
        <w:t xml:space="preserve">Keywords:</w:t>
      </w:r>
      <w:r>
        <w:t xml:space="preserve"> </w:t>
      </w:r>
      <w:r>
        <w:t xml:space="preserve">retail interior design, interior design studio education, brand identity, keyword, spatial translation, design thinking tools, content analysis</w:t>
      </w:r>
    </w:p>
    <w:p>
      <w:r>
        <w:pict>
          <v:rect style="width:0;height:1.5pt" o:hralign="center" o:hrstd="t" o:hr="t"/>
        </w:pict>
      </w:r>
    </w:p>
    <w:bookmarkEnd w:id="21"/>
    <w:bookmarkStart w:id="22" w:name="giriş"/>
    <w:p>
      <w:pPr>
        <w:pStyle w:val="Heading2"/>
      </w:pPr>
      <w:r>
        <w:t xml:space="preserve">1. Giriş</w:t>
      </w:r>
    </w:p>
    <w:p>
      <w:pPr>
        <w:pStyle w:val="FirstParagraph"/>
      </w:pPr>
      <w:r>
        <w:t xml:space="preserve">Perakende mekânı, iç mimarlık pratiğinin ürün ile beden, kimlik ile yüzey, anlatı ile rota arasındaki ilişkiyi en yoğun biçimde kurduğu alanlardan biridir. Son yirmi yılda bu alanın tanımı,</w:t>
      </w:r>
      <w:r>
        <w:t xml:space="preserve"> </w:t>
      </w:r>
      <w:r>
        <w:t xml:space="preserve">“</w:t>
      </w:r>
      <w:r>
        <w:t xml:space="preserve">ürünün sergilendiği yer</w:t>
      </w:r>
      <w:r>
        <w:t xml:space="preserve">”</w:t>
      </w:r>
      <w:r>
        <w:t xml:space="preserve">den</w:t>
      </w:r>
      <w:r>
        <w:t xml:space="preserve"> </w:t>
      </w:r>
      <w:r>
        <w:t xml:space="preserve">“</w:t>
      </w:r>
      <w:r>
        <w:t xml:space="preserve">markanın bedenlendiği yer</w:t>
      </w:r>
      <w:r>
        <w:t xml:space="preserve">”</w:t>
      </w:r>
      <w:r>
        <w:t xml:space="preserve">e doğru kaymıştır. Perakende tasarımını ayrı bir uzmanlık olarak çerçeveleyen çalışmalar, tasarımcıdan yalnızca mekânsal yetkinlik değil; markalaşma, pazarlama, tüketici psikolojisi, lojistik, teknoloji entegrasyonu ve kullanıcı deneyimi tasarımını kapsayan çok disiplinli bir donanım beklendiğini ortaya koymuştur (Petermans ve Van Cleempoel 2009; Quartier, Claes ve Vanrie 2017, 2020; Lemon ve Verhoef 2016). Bu beklenti, eğitim programları açısından doğrudan bir müfredat sorusu üretir: Soyut bir marka kimliği, hangi öğretilebilir adımlarla çizilebilir bir mekânsal karara dönüşür?</w:t>
      </w:r>
    </w:p>
    <w:p>
      <w:pPr>
        <w:pStyle w:val="BodyText"/>
      </w:pPr>
      <w:r>
        <w:t xml:space="preserve">Bu soru, stüdyo pratiğinde çoğu zaman sezgiye bırakılan bir boşluğa işaret eder. Öğrenciler, markayı araştırmayı görece hızlı öğrenir; marka araştırmasının çıktısı olan</w:t>
      </w:r>
      <w:r>
        <w:t xml:space="preserve"> </w:t>
      </w:r>
      <w:r>
        <w:t xml:space="preserve">“</w:t>
      </w:r>
      <w:r>
        <w:t xml:space="preserve">anahtar kelime</w:t>
      </w:r>
      <w:r>
        <w:t xml:space="preserve">”</w:t>
      </w:r>
      <w:r>
        <w:t xml:space="preserve">yi üretmeyi de öğrenir. Ancak anahtar kelimenin kendisi hiçbir şey çizmez.</w:t>
      </w:r>
      <w:r>
        <w:t xml:space="preserve"> </w:t>
      </w:r>
      <w:r>
        <w:t xml:space="preserve">“</w:t>
      </w:r>
      <w:r>
        <w:t xml:space="preserve">Zarafet</w:t>
      </w:r>
      <w:r>
        <w:t xml:space="preserve">”</w:t>
      </w:r>
      <w:r>
        <w:t xml:space="preserve"> </w:t>
      </w:r>
      <w:r>
        <w:t xml:space="preserve">bir plan üretmez;</w:t>
      </w:r>
      <w:r>
        <w:t xml:space="preserve"> </w:t>
      </w:r>
      <w:r>
        <w:t xml:space="preserve">“</w:t>
      </w:r>
      <w:r>
        <w:t xml:space="preserve">zanaat</w:t>
      </w:r>
      <w:r>
        <w:t xml:space="preserve">”</w:t>
      </w:r>
      <w:r>
        <w:t xml:space="preserve"> </w:t>
      </w:r>
      <w:r>
        <w:t xml:space="preserve">bir kesit vermez;</w:t>
      </w:r>
      <w:r>
        <w:t xml:space="preserve"> </w:t>
      </w:r>
      <w:r>
        <w:t xml:space="preserve">“</w:t>
      </w:r>
      <w:r>
        <w:t xml:space="preserve">sürdürülebilirlik</w:t>
      </w:r>
      <w:r>
        <w:t xml:space="preserve">”</w:t>
      </w:r>
      <w:r>
        <w:t xml:space="preserve"> </w:t>
      </w:r>
      <w:r>
        <w:t xml:space="preserve">bir detay doğurmaz. Çeviri, tam olarak burada — kelimeyle çizgi arasındaki boşlukta — gerçekleşir ya da gerçekleşmez. Stüdyo kültürü bu boşluğu çoğunlukla kritikle, yani sözlü ve bireysel bir müdahaleyle doldurur. Bu müdahale değerlidir; ancak izlenebilir, ölçülebilir ve dönemler arasında karşılaştırılabilir bir veri üretmez.</w:t>
      </w:r>
    </w:p>
    <w:p>
      <w:pPr>
        <w:pStyle w:val="BodyText"/>
      </w:pPr>
      <w:r>
        <w:t xml:space="preserve">Alanyazın, deneyim tasarımı araçlarının stüdyoya aktarımını belgelemiş; marka anahtarı ve müşteri yolculuğu haritalamanın (MYH) iç mimarlık eğitiminde kullanılabilirliğini göstermiştir. Bu çizginin Türkiye bağlamındaki en kapsamlı örneği olan Sunar Bükülmez, Girginkaya Akdağ ve Ekin (2025) çalışması, profesyonel bir deneyim tasarımı ajansıyla iş birliği içinde yürütülen on dört haftalık bir perakende stüdyosunda, otuz projeyi dört uzmanın beşli Likert ölçeğiyle yeniden değerlendirmesi yoluyla yetkinlik kazanımlarını izlemiştir. Çalışma, öğrencilerin analiz ve konsept tasarım aşamasında (ortalama 3,60) somutlaştırma ve detay tasarımı aşamasına (3,17) göre belirgin biçimde daha başarılı olduğunu; en düşük değerlerin</w:t>
      </w:r>
      <w:r>
        <w:t xml:space="preserve"> </w:t>
      </w:r>
      <w:r>
        <w:t xml:space="preserve">“</w:t>
      </w:r>
      <w:r>
        <w:t xml:space="preserve">örgütsel ihtiyaçlar</w:t>
      </w:r>
      <w:r>
        <w:t xml:space="preserve">”</w:t>
      </w:r>
      <w:r>
        <w:t xml:space="preserve"> </w:t>
      </w:r>
      <w:r>
        <w:t xml:space="preserve">(2,84) ve</w:t>
      </w:r>
      <w:r>
        <w:t xml:space="preserve"> </w:t>
      </w:r>
      <w:r>
        <w:t xml:space="preserve">“</w:t>
      </w:r>
      <w:r>
        <w:t xml:space="preserve">çekim</w:t>
      </w:r>
      <w:r>
        <w:t xml:space="preserve">”</w:t>
      </w:r>
      <w:r>
        <w:t xml:space="preserve"> </w:t>
      </w:r>
      <w:r>
        <w:t xml:space="preserve">(2,88) modüllerinde toplandığını göstermiştir. Bu, perakende tasarımı eğitimi açısından önemli ve genellenebilir bir bulgudur.</w:t>
      </w:r>
    </w:p>
    <w:p>
      <w:pPr>
        <w:pStyle w:val="BodyText"/>
      </w:pPr>
      <w:r>
        <w:t xml:space="preserve">Ancak bu tür değerlendirmelerin yapısal bir sınırı vardır: Analiz birimi</w:t>
      </w:r>
      <w:r>
        <w:t xml:space="preserve"> </w:t>
      </w:r>
      <w:r>
        <w:rPr>
          <w:iCs/>
          <w:i/>
        </w:rPr>
        <w:t xml:space="preserve">projedir</w:t>
      </w:r>
      <w:r>
        <w:t xml:space="preserve">. Proje, onlarca kararın birikmiş sonucudur ve bir projenin</w:t>
      </w:r>
      <w:r>
        <w:t xml:space="preserve"> </w:t>
      </w:r>
      <w:r>
        <w:t xml:space="preserve">“</w:t>
      </w:r>
      <w:r>
        <w:t xml:space="preserve">marka analizi</w:t>
      </w:r>
      <w:r>
        <w:t xml:space="preserve">”</w:t>
      </w:r>
      <w:r>
        <w:t xml:space="preserve"> </w:t>
      </w:r>
      <w:r>
        <w:t xml:space="preserve">başlığından yüksek puan alması, o projedeki hangi çeviri hamlesinin işlediğini söylemez. Uzman değerlendirmesi, sonucu ölçer; süreci değil. Dahası, dönem sonu ürünü üzerinden yapılan bir okuma, haftalarca süren kritik müdahalesinin etkisini öğrencinin kendi çeviri becerisinden ayrıştıramaz.</w:t>
      </w:r>
    </w:p>
    <w:p>
      <w:pPr>
        <w:pStyle w:val="BodyText"/>
      </w:pPr>
      <w:r>
        <w:t xml:space="preserve">Bu makale, odağı bilinçli olarak daraltmakta ve öne çekmektedir. Değerlendirme birimi proje değil,</w:t>
      </w:r>
      <w:r>
        <w:t xml:space="preserve"> </w:t>
      </w:r>
      <w:r>
        <w:rPr>
          <w:iCs/>
          <w:i/>
        </w:rPr>
        <w:t xml:space="preserve">çeviri hücresi</w:t>
      </w:r>
      <w:r>
        <w:t xml:space="preserve">dir: Bir öğrencinin belirli bir marka için ürettiği belirli bir anahtar kelimenin karşısına yazdığı belirli bir mekânsal karar. Veri, dönem sonunda değil, dönemin</w:t>
      </w:r>
      <w:r>
        <w:t xml:space="preserve"> </w:t>
      </w:r>
      <w:r>
        <w:rPr>
          <w:iCs/>
          <w:i/>
        </w:rPr>
        <w:t xml:space="preserve">ilk haftasında</w:t>
      </w:r>
      <w:r>
        <w:t xml:space="preserve"> </w:t>
      </w:r>
      <w:r>
        <w:t xml:space="preserve">— yani henüz hiçbir kritik müdahalesi yapılmamışken — üretilmiştir. Bu tasarım tercihi, öğrencinin stüdyoya getirdiği çeviri becerisinin taban çizgisini (baseline) görünür kılar ve müfredat müdahalesinin nereye yapılması gerektiğini doğrudan gösterir.</w:t>
      </w:r>
    </w:p>
    <w:p>
      <w:pPr>
        <w:pStyle w:val="BodyText"/>
      </w:pPr>
      <w:r>
        <w:t xml:space="preserve">Çalışmanın araştırma soruları şunlardır:</w:t>
      </w:r>
    </w:p>
    <w:p>
      <w:pPr>
        <w:numPr>
          <w:ilvl w:val="0"/>
          <w:numId w:val="1001"/>
        </w:numPr>
        <w:pStyle w:val="Compact"/>
      </w:pPr>
      <w:r>
        <w:t xml:space="preserve">Üçüncü sınıf iç mimarlık öğrencileri, bir marka kimliğinden türettikleri anahtar kelimeleri hangi özgüllük düzeyinde mekânsal karara çevirebilmektedir?</w:t>
      </w:r>
    </w:p>
    <w:p>
      <w:pPr>
        <w:numPr>
          <w:ilvl w:val="0"/>
          <w:numId w:val="1001"/>
        </w:numPr>
        <w:pStyle w:val="Compact"/>
      </w:pPr>
      <w:r>
        <w:t xml:space="preserve">Bu çeviride hangi tasarım aygıtı aileleri öne çıkmakta, hangileri sistematik olarak eksik kalmaktadır?</w:t>
      </w:r>
    </w:p>
    <w:p>
      <w:pPr>
        <w:numPr>
          <w:ilvl w:val="0"/>
          <w:numId w:val="1001"/>
        </w:numPr>
        <w:pStyle w:val="Compact"/>
      </w:pPr>
      <w:r>
        <w:t xml:space="preserve">Öğrencilerin ürettiği anahtar kelime sözlüğünün yapısı (dağılım, yoğunlaşma, tematik kümeler) nedir ve bu yapı çeviri başarısıyla nasıl ilişkilenir?</w:t>
      </w:r>
    </w:p>
    <w:p>
      <w:pPr>
        <w:numPr>
          <w:ilvl w:val="0"/>
          <w:numId w:val="1001"/>
        </w:numPr>
        <w:pStyle w:val="Compact"/>
      </w:pPr>
      <w:r>
        <w:t xml:space="preserve">Yüksek düzeyli çeviriyi düşük düzeyliden ayıran gözlemlenebilir bir eşik göstergesi tanımlanabilir mi?</w:t>
      </w:r>
    </w:p>
    <w:p>
      <w:r>
        <w:pict>
          <v:rect style="width:0;height:1.5pt" o:hralign="center" o:hrstd="t" o:hr="t"/>
        </w:pict>
      </w:r>
    </w:p>
    <w:bookmarkEnd w:id="22"/>
    <w:bookmarkStart w:id="28" w:name="kuramsal-çerçeve"/>
    <w:p>
      <w:pPr>
        <w:pStyle w:val="Heading2"/>
      </w:pPr>
      <w:r>
        <w:t xml:space="preserve">2. Kuramsal Çerçeve</w:t>
      </w:r>
    </w:p>
    <w:bookmarkStart w:id="23" w:name="Xf071a38dbef37ab9fdc5c6b40e977317c782df7"/>
    <w:p>
      <w:pPr>
        <w:pStyle w:val="Heading3"/>
      </w:pPr>
      <w:r>
        <w:t xml:space="preserve">2.1. Atmosferden deneyime: perakende mekânının kuramsal soyağacı</w:t>
      </w:r>
    </w:p>
    <w:p>
      <w:pPr>
        <w:pStyle w:val="FirstParagraph"/>
      </w:pPr>
      <w:r>
        <w:t xml:space="preserve">Perakende mekânının bir</w:t>
      </w:r>
      <w:r>
        <w:t xml:space="preserve"> </w:t>
      </w:r>
      <w:r>
        <w:t xml:space="preserve">“</w:t>
      </w:r>
      <w:r>
        <w:t xml:space="preserve">iletişim aracı</w:t>
      </w:r>
      <w:r>
        <w:t xml:space="preserve">”</w:t>
      </w:r>
      <w:r>
        <w:t xml:space="preserve"> </w:t>
      </w:r>
      <w:r>
        <w:t xml:space="preserve">olarak kavramsallaştırılması, Kotler’in (1973)</w:t>
      </w:r>
      <w:r>
        <w:t xml:space="preserve"> </w:t>
      </w:r>
      <w:r>
        <w:rPr>
          <w:iCs/>
          <w:i/>
        </w:rPr>
        <w:t xml:space="preserve">atmospherics</w:t>
      </w:r>
      <w:r>
        <w:t xml:space="preserve"> </w:t>
      </w:r>
      <w:r>
        <w:t xml:space="preserve">kavramıyla başlar. Kotler, satın alma kararının yalnızca ürün ve fiyat tarafından değil, mekânın bilinçli olarak tasarlanmış duyusal niteliklerince de belirlendiğini öne sürerek mekânı pazarlama değişkenleri arasına katmıştır. Mehrabian ve Russell’ın (1974) çevre psikolojisi modeli, bu etkinin mekanizmasını</w:t>
      </w:r>
      <w:r>
        <w:t xml:space="preserve"> </w:t>
      </w:r>
      <w:r>
        <w:rPr>
          <w:iCs/>
          <w:i/>
        </w:rPr>
        <w:t xml:space="preserve">haz – uyarılma – baskınlık</w:t>
      </w:r>
      <w:r>
        <w:t xml:space="preserve"> </w:t>
      </w:r>
      <w:r>
        <w:t xml:space="preserve">(pleasure–arousal–dominance) üçlüsü üzerinden formüle ederek atmosfer ile davranış arasındaki bağı deneysel olarak çalışılabilir kılmıştır. Bitner (1992),</w:t>
      </w:r>
      <w:r>
        <w:t xml:space="preserve"> </w:t>
      </w:r>
      <w:r>
        <w:rPr>
          <w:iCs/>
          <w:i/>
        </w:rPr>
        <w:t xml:space="preserve">servicescape</w:t>
      </w:r>
      <w:r>
        <w:t xml:space="preserve"> </w:t>
      </w:r>
      <w:r>
        <w:t xml:space="preserve">kavramıyla modeli hizmet ortamlarına genişletmiş ve fiziksel çevrenin yalnızca müşteri değil çalışan davranışını da biçimlendirdiğini, dolayısıyla mekânın aynı anda birden çok aktöre hitap eden bir örgütsel araç olduğunu göstermiştir.</w:t>
      </w:r>
    </w:p>
    <w:p>
      <w:pPr>
        <w:pStyle w:val="BodyText"/>
      </w:pPr>
      <w:r>
        <w:t xml:space="preserve">Pine ve Gilmore’un (1999) deneyim ekonomisi tezi, bu çizgiyi ekonomik bir dönüşüm iddiasına bağlamış; değerin mal ve hizmetten deneyime kaydığını savunmuştur. Lemon ve Verhoef (2016), müşteri deneyimini tek bir temas anı değil, satın alma öncesi, satın alma ve satın alma sonrası evrelerinden oluşan çok kanallı bir</w:t>
      </w:r>
      <w:r>
        <w:t xml:space="preserve"> </w:t>
      </w:r>
      <w:r>
        <w:rPr>
          <w:iCs/>
          <w:i/>
        </w:rPr>
        <w:t xml:space="preserve">yolculuk</w:t>
      </w:r>
      <w:r>
        <w:t xml:space="preserve"> </w:t>
      </w:r>
      <w:r>
        <w:t xml:space="preserve">olarak yeniden tanımlamış; Stein ve Ramaseshan (2016) bu yolculuğun temas noktalarını atmosferik, teknolojik, iletişimsel, süreçsel, çalışan–müşteri etkileşimi, müşteri–müşteri etkileşimi ve ürün etkileşimi olmak üzere yedi öğeye ayırmıştır. Zomerdijk ve Voss (2010) ise yolculuk haritasını, deneyimin kritik anlarını diziye koyan bir</w:t>
      </w:r>
      <w:r>
        <w:t xml:space="preserve"> </w:t>
      </w:r>
      <w:r>
        <w:t xml:space="preserve">“</w:t>
      </w:r>
      <w:r>
        <w:t xml:space="preserve">storyboard</w:t>
      </w:r>
      <w:r>
        <w:t xml:space="preserve">”</w:t>
      </w:r>
      <w:r>
        <w:t xml:space="preserve"> </w:t>
      </w:r>
      <w:r>
        <w:t xml:space="preserve">olarak okumuştur. Bu kavramsal birikim, iç mimarlık stüdyosu için önemli bir sonuç doğurur: Mekân, statik bir kap değil; zaman içinde açılan bir sekanstır.</w:t>
      </w:r>
    </w:p>
    <w:bookmarkEnd w:id="23"/>
    <w:bookmarkStart w:id="24" w:name="marka-kimliği-ve-mekânsal-temsil"/>
    <w:p>
      <w:pPr>
        <w:pStyle w:val="Heading3"/>
      </w:pPr>
      <w:r>
        <w:t xml:space="preserve">2.2. Marka kimliği ve mekânsal temsil</w:t>
      </w:r>
    </w:p>
    <w:p>
      <w:pPr>
        <w:pStyle w:val="FirstParagraph"/>
      </w:pPr>
      <w:r>
        <w:t xml:space="preserve">Marka kimliğini sistematik olarak çözümleme çabası, tasarım alanına büyük ölçüde Wheeler’ın (2017) çalışmasıyla aktarılmıştır. Wheeler, bütüncül bir marka deneyimini imge ve kimlik, ürün ve hizmetler, insanlar ve kültür, satış süreçleri, fiziksel ve sanal mekânlar ile farkındalık stratejisi olmak üzere altı bileşen üzerinden kurar. Bu çerçeve, pazarlama kökenli olmasına karşın iç mimarlık için doğrudan kullanışlıdır; çünkü</w:t>
      </w:r>
      <w:r>
        <w:t xml:space="preserve"> </w:t>
      </w:r>
      <w:r>
        <w:t xml:space="preserve">“</w:t>
      </w:r>
      <w:r>
        <w:t xml:space="preserve">fiziksel mekân</w:t>
      </w:r>
      <w:r>
        <w:t xml:space="preserve">”</w:t>
      </w:r>
      <w:r>
        <w:t xml:space="preserve">ı marka kimliğinin eşdeğer bir taşıyıcısı olarak konumlandırır.</w:t>
      </w:r>
    </w:p>
    <w:p>
      <w:pPr>
        <w:pStyle w:val="BodyText"/>
      </w:pPr>
      <w:r>
        <w:t xml:space="preserve">Marka anahtarı (brand key) araçları — rekabet, hedef kitle, amaçlar, misyon, değerler, faydalar, kişilik, görsel dil, iletişim tonu ve öz — markayı çözümlenebilir bileşenlere ayırır. Ancak bu araçların tasarım eğitimine aktarımında kritik bir eşik vardır: Marka anahtarı, markayı</w:t>
      </w:r>
      <w:r>
        <w:t xml:space="preserve"> </w:t>
      </w:r>
      <w:r>
        <w:rPr>
          <w:iCs/>
          <w:i/>
        </w:rPr>
        <w:t xml:space="preserve">anlamak</w:t>
      </w:r>
      <w:r>
        <w:t xml:space="preserve"> </w:t>
      </w:r>
      <w:r>
        <w:t xml:space="preserve">için tasarlanmıştır; markayı</w:t>
      </w:r>
      <w:r>
        <w:t xml:space="preserve"> </w:t>
      </w:r>
      <w:r>
        <w:rPr>
          <w:iCs/>
          <w:i/>
        </w:rPr>
        <w:t xml:space="preserve">çizmek</w:t>
      </w:r>
      <w:r>
        <w:t xml:space="preserve"> </w:t>
      </w:r>
      <w:r>
        <w:t xml:space="preserve">için değil. Klingmann’ın (2010)</w:t>
      </w:r>
      <w:r>
        <w:t xml:space="preserve"> </w:t>
      </w:r>
      <w:r>
        <w:t xml:space="preserve">“</w:t>
      </w:r>
      <w:r>
        <w:t xml:space="preserve">brandscape</w:t>
      </w:r>
      <w:r>
        <w:t xml:space="preserve">”</w:t>
      </w:r>
      <w:r>
        <w:t xml:space="preserve"> </w:t>
      </w:r>
      <w:r>
        <w:t xml:space="preserve">kavramı ile Klanten, Ehmann ve Borges’in (2013) derlediği markalı mimarlık örnekleri, kimliğin mekânsallaşmasının mümkün olduğunu gösterir; ancak bu örnekler ürünü sunar, yöntemi değil. Köprülü ve Boz (2023), tek bir showroom örneği üzerinden marka hikâyesinin mekân tasarımına dönüşme sürecini izleyerek bu boşluğa yaklaşmış; yine de vaka temelli bir okuma sunmuştur.</w:t>
      </w:r>
    </w:p>
    <w:p>
      <w:pPr>
        <w:pStyle w:val="BodyText"/>
      </w:pPr>
      <w:r>
        <w:t xml:space="preserve">Mesher (2010) ise perakende tasarımını doğrudan bir eğitim nesnesi olarak ele alan sayılı kaynaktan biri olarak, marka ve kimliği konsept geliştirmenin başlangıç noktası sayar ve iç mekânla bağlam arasındaki ilişkiyi sistematik biçimde kurar. Bu çalışma açısından Mesher’ın katkısı, markanın bir</w:t>
      </w:r>
      <w:r>
        <w:t xml:space="preserve"> </w:t>
      </w:r>
      <w:r>
        <w:t xml:space="preserve">“</w:t>
      </w:r>
      <w:r>
        <w:t xml:space="preserve">tema</w:t>
      </w:r>
      <w:r>
        <w:t xml:space="preserve">”</w:t>
      </w:r>
      <w:r>
        <w:t xml:space="preserve"> </w:t>
      </w:r>
      <w:r>
        <w:t xml:space="preserve">değil bir</w:t>
      </w:r>
      <w:r>
        <w:t xml:space="preserve"> </w:t>
      </w:r>
      <w:r>
        <w:t xml:space="preserve">“</w:t>
      </w:r>
      <w:r>
        <w:t xml:space="preserve">başlangıç verisi</w:t>
      </w:r>
      <w:r>
        <w:t xml:space="preserve">”</w:t>
      </w:r>
      <w:r>
        <w:t xml:space="preserve"> </w:t>
      </w:r>
      <w:r>
        <w:t xml:space="preserve">olarak konumlandırılmasıdır.</w:t>
      </w:r>
    </w:p>
    <w:bookmarkEnd w:id="24"/>
    <w:bookmarkStart w:id="25" w:name="X89694986ad5b5dc92e1735bdc4ba8b9a977fab9"/>
    <w:p>
      <w:pPr>
        <w:pStyle w:val="Heading3"/>
      </w:pPr>
      <w:r>
        <w:t xml:space="preserve">2.3. Çok duyulu atmosfer ve bedenlenmiş deneyim</w:t>
      </w:r>
    </w:p>
    <w:p>
      <w:pPr>
        <w:pStyle w:val="FirstParagraph"/>
      </w:pPr>
      <w:r>
        <w:t xml:space="preserve">Perakende atmosferinin yalnızca görsel olmadığına ilişkin kanıt birikimi güçlüdür. Spence ve arkadaşları (2014), mağaza ortamının görsel, işitsel, dokunsal, kokusal ve tatsal boyutlarına ilişkin bilimsel kanıtları derleyerek çok duyulu atmosfer kavramını sistemleştirmiş; duyular arası uyumun (crossmodal congruence) tek bir duyuya yapılan yatırımdan daha güçlü etkiler ürettiğini göstermiştir. Underhill (2008), etnografik gözleme dayanan çalışmasında alışveriş davranışının beden ölçeğindeki belirleyicilerini — geçiş genişlikleri, dokunma eğilimi,</w:t>
      </w:r>
      <w:r>
        <w:t xml:space="preserve"> </w:t>
      </w:r>
      <w:r>
        <w:t xml:space="preserve">“</w:t>
      </w:r>
      <w:r>
        <w:t xml:space="preserve">dokunulamayan ürün satılamaz</w:t>
      </w:r>
      <w:r>
        <w:t xml:space="preserve">”</w:t>
      </w:r>
      <w:r>
        <w:t xml:space="preserve"> </w:t>
      </w:r>
      <w:r>
        <w:t xml:space="preserve">ilkesi — ortaya koymuştur.</w:t>
      </w:r>
    </w:p>
    <w:p>
      <w:pPr>
        <w:pStyle w:val="BodyText"/>
      </w:pPr>
      <w:r>
        <w:t xml:space="preserve">Mimarlık kuramı tarafında Pallasmaa (2005), modern mimarlığın göz-merkezliliğini eleştirerek mekânın bedenin tamamıyla deneyimlendiğini savunur.</w:t>
      </w:r>
      <w:r>
        <w:t xml:space="preserve"> </w:t>
      </w:r>
      <w:r>
        <w:rPr>
          <w:iCs/>
          <w:i/>
        </w:rPr>
        <w:t xml:space="preserve">Tenin Gözleri</w:t>
      </w:r>
      <w:r>
        <w:t xml:space="preserve">, perakende tasarımı stüdyosu için doğrudan bir uyarı taşır: Görselleştirme araçlarının (render, pafta, moodboard) hâkim olduğu bir temsil kültürü, tasarım düşüncesini yapısal olarak görmeye doğru yanlılaştırır. Bu makalenin bulgularından biri, bu uyarının ampirik karşılığını göstermektedir.</w:t>
      </w:r>
    </w:p>
    <w:bookmarkEnd w:id="25"/>
    <w:bookmarkStart w:id="26" w:name="X7104e159fe0da9a47f25dac14a4c1ee0251fb53"/>
    <w:p>
      <w:pPr>
        <w:pStyle w:val="Heading3"/>
      </w:pPr>
      <w:r>
        <w:t xml:space="preserve">2.4. Perakende tasarımı eğitimi ve yetkinlik çerçeveleri</w:t>
      </w:r>
    </w:p>
    <w:p>
      <w:pPr>
        <w:pStyle w:val="FirstParagraph"/>
      </w:pPr>
      <w:r>
        <w:t xml:space="preserve">Perakende tasarımı eğitiminin kendisini araştırma nesnesi yapan çizgi, büyük ölçüde Quartier ve arkadaşlarının çalışmalarıyla şekillenmiştir. Quartier, Claes ve Vanrie (2017), hızla evrilen disiplinde perakende tasarımcısının hangi yetkinliklere gereksinim duyduğunu sormuş; aynı ekip (2020) araştırma, tasarım, sosyokültürel bilimler, markalaşma, pazarlama ve strateji, çok kanallılık ve dijital, iletişim ile örgütlenme ve yönetim olmak üzere sekiz temada toplanan kapsamlı bir yetkinlik çerçevesi geliştirmiştir. Cheetham ve Chivers (1996) ile Le Deist ve Winterton’ın (2005) mesleki yetkinlik modelleri bu çerçevenin kuramsal zeminini oluşturur.</w:t>
      </w:r>
    </w:p>
    <w:p>
      <w:pPr>
        <w:pStyle w:val="BodyText"/>
      </w:pPr>
      <w:r>
        <w:t xml:space="preserve">Di Iorio ve Spagnoli (2023), deneyim temelli öğrenme için yeniden çerçevelenmiş öğrenme araçları önermiş; Rolla, Hasırcı, Anal ve Edes (2021) disiplinlerarası bir konsept mağaza tasarım sürecini belgelemiştir. Micheaux ve Bosio (2019), müşteri yolculuğu haritalamanın pazarlama eğitiminde bir öğretim aracı olarak kullanımını göstermiş; Chasanidou, Gasparini ve Lee (2015) ise MYH’yi tasarım düşüncesi araç setinin bir bileşeni olarak konumlandırmıştır.</w:t>
      </w:r>
    </w:p>
    <w:p>
      <w:pPr>
        <w:pStyle w:val="BodyText"/>
      </w:pPr>
      <w:r>
        <w:t xml:space="preserve">Bu çizginin Türkiye’deki en doğrudan örneği olan Sunar Bükülmez, Girginkaya Akdağ ve Ekin (2025), marka anahtarı ve MYH’yi bir perakende stüdyosuna entegre eden sınanmış bir çerçeve sunar ve bu çerçevenin yetkinlik kazanımları üzerindeki etkisini nicel olarak ölçer. Söz konusu çalışma, mevcut araştırmanın en yakın öncülüdür ve karşılaştırma zemini olarak Bölüm 5.6’da ayrıca ele alınmaktadır.</w:t>
      </w:r>
    </w:p>
    <w:bookmarkEnd w:id="26"/>
    <w:bookmarkStart w:id="27" w:name="araştırma-boşluğu"/>
    <w:p>
      <w:pPr>
        <w:pStyle w:val="Heading3"/>
      </w:pPr>
      <w:r>
        <w:t xml:space="preserve">2.5. Araştırma boşluğu</w:t>
      </w:r>
    </w:p>
    <w:p>
      <w:pPr>
        <w:pStyle w:val="FirstParagraph"/>
      </w:pPr>
      <w:r>
        <w:t xml:space="preserve">Yukarıdaki birikim iki uçta yoğunlaşmaktadır. Bir uçta, markanın mekânsallaşmasının</w:t>
      </w:r>
      <w:r>
        <w:t xml:space="preserve"> </w:t>
      </w:r>
      <w:r>
        <w:rPr>
          <w:iCs/>
          <w:i/>
        </w:rPr>
        <w:t xml:space="preserve">mümkün</w:t>
      </w:r>
      <w:r>
        <w:t xml:space="preserve"> </w:t>
      </w:r>
      <w:r>
        <w:t xml:space="preserve">olduğunu gösteren örnek ve vaka çalışmaları; diğer uçta, bu aktarımın</w:t>
      </w:r>
      <w:r>
        <w:t xml:space="preserve"> </w:t>
      </w:r>
      <w:r>
        <w:rPr>
          <w:iCs/>
          <w:i/>
        </w:rPr>
        <w:t xml:space="preserve">sonuçlarını</w:t>
      </w:r>
      <w:r>
        <w:t xml:space="preserve"> </w:t>
      </w:r>
      <w:r>
        <w:t xml:space="preserve">yetkinlik çerçeveleri üzerinden ölçen eğitim araştırmaları bulunur. Arada kalan şey, çevirinin kendisidir: Hangi tür bir anahtar kelime, hangi tür bir mekânsal karara dönüşür? Bir öğrenci</w:t>
      </w:r>
      <w:r>
        <w:t xml:space="preserve"> </w:t>
      </w:r>
      <w:r>
        <w:t xml:space="preserve">“</w:t>
      </w:r>
      <w:r>
        <w:t xml:space="preserve">zanaat</w:t>
      </w:r>
      <w:r>
        <w:t xml:space="preserve">”</w:t>
      </w:r>
      <w:r>
        <w:t xml:space="preserve"> </w:t>
      </w:r>
      <w:r>
        <w:t xml:space="preserve">kelimesinden</w:t>
      </w:r>
      <w:r>
        <w:t xml:space="preserve"> </w:t>
      </w:r>
      <w:r>
        <w:t xml:space="preserve">“</w:t>
      </w:r>
      <w:r>
        <w:t xml:space="preserve">camlı atölye duvarı</w:t>
      </w:r>
      <w:r>
        <w:t xml:space="preserve">”</w:t>
      </w:r>
      <w:r>
        <w:t xml:space="preserve">na nasıl geçer, geçemediğinde yerine ne koyar? Bu geçişin gözlemlenebilir bir yapısı var mıdır?</w:t>
      </w:r>
    </w:p>
    <w:p>
      <w:pPr>
        <w:pStyle w:val="BodyText"/>
      </w:pPr>
      <w:r>
        <w:t xml:space="preserve">Bu makale, söz konusu boşluğu doldurmak üzere üç katkı önermektedir. Birincisi, analiz birimini projeden çeviri hücresine indirmek. İkincisi, çeviri çıktısını derecelendirebilen bir ölçek (ÇÖD) ve bir sınıflama (tasarım aygıtı aileleri) geliştirmek. Üçüncüsü, yüksek düzeyli çeviriyi işaret eden gözlemlenebilir bir eşik göstergesi tanımlamak.</w:t>
      </w:r>
    </w:p>
    <w:p>
      <w:r>
        <w:pict>
          <v:rect style="width:0;height:1.5pt" o:hralign="center" o:hrstd="t" o:hr="t"/>
        </w:pict>
      </w:r>
    </w:p>
    <w:bookmarkEnd w:id="27"/>
    <w:bookmarkEnd w:id="28"/>
    <w:bookmarkStart w:id="33" w:name="yöntem"/>
    <w:p>
      <w:pPr>
        <w:pStyle w:val="Heading2"/>
      </w:pPr>
      <w:r>
        <w:t xml:space="preserve">3. Yöntem</w:t>
      </w:r>
    </w:p>
    <w:bookmarkStart w:id="29" w:name="bağlam"/>
    <w:p>
      <w:pPr>
        <w:pStyle w:val="Heading3"/>
      </w:pPr>
      <w:r>
        <w:t xml:space="preserve">3.1. Bağlam</w:t>
      </w:r>
    </w:p>
    <w:p>
      <w:pPr>
        <w:pStyle w:val="FirstParagraph"/>
      </w:pPr>
      <w:r>
        <w:t xml:space="preserve">Araştırma, Kapadokya Üniversitesi Mimarlık, Tasarım ve Güzel Sanatlar Fakültesi İç Mimarlık ve Çevre Tasarımı Bölümü’nde yürütülen IMC301 İç Mimari Tasarım Stüdyosu IV dersi kapsamında gerçekleştirilmiştir. Ders, 2026–2027 Güz yarıyılında, haftada sekiz saat yüz yüze ve on dört hafta süreyle yürütülen zorunlu bir stüdyo dersidir (6 kredi / 9 AKTS). Derse kayıtlı öğrenci sayısı 29, yürütücü sayısı ikidir.</w:t>
      </w:r>
    </w:p>
    <w:p>
      <w:pPr>
        <w:pStyle w:val="BodyText"/>
      </w:pPr>
      <w:r>
        <w:t xml:space="preserve">Dönem projesinin alanı Mersin Marina’dır. Proje tanımı, öğrencilerden az bilinen bir perakende markası seçmelerini; alanı çözümlemelerini; kullanıcı odaklı, etkileşimli ve duyusal bir mekânsal deneyim geliştirmelerini beklemektedir. Çözülmesi zorunlu alanlar olarak giriş ve marka eşiği, sergileme alanları, dolaşım ve mekânsal akış, satış ve kasa bölgesi, depolama ve arka alan, personel alanları, deneyim ve etkileşim alanları ile malzeme ve mimari öğeler tanımlanmıştır. Dersin ayırt edici odağı, izlencede açıkça belirtildiği üzere,</w:t>
      </w:r>
      <w:r>
        <w:t xml:space="preserve"> </w:t>
      </w:r>
      <w:r>
        <w:t xml:space="preserve">“</w:t>
      </w:r>
      <w:r>
        <w:t xml:space="preserve">bir markanın kimliğinin çözümlenip mekânsal bir dile çevrilmesi</w:t>
      </w:r>
      <w:r>
        <w:t xml:space="preserve">”</w:t>
      </w:r>
      <w:r>
        <w:t xml:space="preserve">dir.</w:t>
      </w:r>
    </w:p>
    <w:p>
      <w:pPr>
        <w:pStyle w:val="BodyText"/>
      </w:pPr>
      <w:r>
        <w:t xml:space="preserve">Bu araştırmanın verisi, dönemin</w:t>
      </w:r>
      <w:r>
        <w:t xml:space="preserve"> </w:t>
      </w:r>
      <w:r>
        <w:rPr>
          <w:bCs/>
          <w:b/>
        </w:rPr>
        <w:t xml:space="preserve">ilk haftasına</w:t>
      </w:r>
      <w:r>
        <w:t xml:space="preserve"> </w:t>
      </w:r>
      <w:r>
        <w:t xml:space="preserve">(29 Eylül 2026) ve onu izleyen iki haftalık teslim penceresine aittir. Bu nokta yöntemsel olarak kritiktir: Veri, bireysel kritik sürecinin henüz başlamadığı bir anda üretilmiştir ve dolayısıyla öğrencilerin stüdyoya getirdiği çeviri becerisinin taban çizgisini temsil eder.</w:t>
      </w:r>
    </w:p>
    <w:bookmarkEnd w:id="29"/>
    <w:bookmarkStart w:id="30" w:name="atölyenin-kurgusu"/>
    <w:p>
      <w:pPr>
        <w:pStyle w:val="Heading3"/>
      </w:pPr>
      <w:r>
        <w:t xml:space="preserve">3.2. Atölyenin kurgusu</w:t>
      </w:r>
    </w:p>
    <w:p>
      <w:pPr>
        <w:pStyle w:val="FirstParagraph"/>
      </w:pPr>
      <w:r>
        <w:t xml:space="preserve">İlk hafta, iki oturumluk bir giriş atölyesi olarak kurgulanmıştır. Atölyenin kuramsal girişinde marka kimliği, kullanıcı profili ve müşteri yolculuğu kavramları dört başlık altında sunulmuştur:</w:t>
      </w:r>
      <w:r>
        <w:t xml:space="preserve"> </w:t>
      </w:r>
      <w:r>
        <w:rPr>
          <w:iCs/>
          <w:i/>
        </w:rPr>
        <w:t xml:space="preserve">markadan mekâna</w:t>
      </w:r>
      <w:r>
        <w:t xml:space="preserve"> </w:t>
      </w:r>
      <w:r>
        <w:t xml:space="preserve">(marka kimliği),</w:t>
      </w:r>
      <w:r>
        <w:t xml:space="preserve"> </w:t>
      </w:r>
      <w:r>
        <w:rPr>
          <w:iCs/>
          <w:i/>
        </w:rPr>
        <w:t xml:space="preserve">kullanıcı</w:t>
      </w:r>
      <w:r>
        <w:t xml:space="preserve">,</w:t>
      </w:r>
      <w:r>
        <w:t xml:space="preserve"> </w:t>
      </w:r>
      <w:r>
        <w:rPr>
          <w:iCs/>
          <w:i/>
        </w:rPr>
        <w:t xml:space="preserve">deneyim ve etkileşim</w:t>
      </w:r>
      <w:r>
        <w:t xml:space="preserve">,</w:t>
      </w:r>
      <w:r>
        <w:t xml:space="preserve"> </w:t>
      </w:r>
      <w:r>
        <w:rPr>
          <w:iCs/>
          <w:i/>
        </w:rPr>
        <w:t xml:space="preserve">mekân</w:t>
      </w:r>
      <w:r>
        <w:t xml:space="preserve">. Sunumda müşteri yolculuğu sekiz aşamalı olarak tanımlanmıştır: farkındalık, çekim, eşik, yönlenme, keşif, etkileşim, satın alma, ayrılış. Duyusal çerçeve beş duyu ve bedensel algı (ısı, hava, kot, ritim, yoğunluk) üzerinden kurulmuş; anahtar kelime üretimi için üç ölçüt verilmiştir:</w:t>
      </w:r>
      <w:r>
        <w:t xml:space="preserve"> </w:t>
      </w:r>
      <w:r>
        <w:rPr>
          <w:iCs/>
          <w:i/>
        </w:rPr>
        <w:t xml:space="preserve">her markaya uyacak kadar genel olmamalı; araştırmada karşılığı bulunmalı; mekânda somut bir karşılığı kurulabilmeli.</w:t>
      </w:r>
      <w:r>
        <w:t xml:space="preserve"> </w:t>
      </w:r>
      <w:r>
        <w:t xml:space="preserve">Son ölçüt, bu araştırmanın ölçme nesnesinin doğrudan ifadesidir.</w:t>
      </w:r>
    </w:p>
    <w:p>
      <w:pPr>
        <w:pStyle w:val="BodyText"/>
      </w:pPr>
      <w:r>
        <w:t xml:space="preserve">Kuramsal girişin ardından atölye üç yapılandırılmış çalışma kâğıdı üzerinden ilerlemiştir.</w:t>
      </w:r>
    </w:p>
    <w:p>
      <w:pPr>
        <w:pStyle w:val="BlockText"/>
      </w:pPr>
      <w:r>
        <w:rPr>
          <w:bCs/>
          <w:b/>
        </w:rPr>
        <w:t xml:space="preserve">Terminoloji notu.</w:t>
      </w:r>
      <w:r>
        <w:t xml:space="preserve"> </w:t>
      </w:r>
      <w:r>
        <w:t xml:space="preserve">Stüdyo kültüründe yaygın olarak</w:t>
      </w:r>
      <w:r>
        <w:t xml:space="preserve"> </w:t>
      </w:r>
      <w:r>
        <w:t xml:space="preserve">“</w:t>
      </w:r>
      <w:r>
        <w:t xml:space="preserve">föy</w:t>
      </w:r>
      <w:r>
        <w:t xml:space="preserve">”</w:t>
      </w:r>
      <w:r>
        <w:t xml:space="preserve"> </w:t>
      </w:r>
      <w:r>
        <w:t xml:space="preserve">denen bu belgeler, boşluk doldurmaya dayalı bir ödev formu değil, düşünceyi belirli bir sırayla açmaya zorlayan araçlardır. Bu makalede, uluslararası alanyazındaki</w:t>
      </w:r>
      <w:r>
        <w:t xml:space="preserve"> </w:t>
      </w:r>
      <w:r>
        <w:rPr>
          <w:iCs/>
          <w:i/>
        </w:rPr>
        <w:t xml:space="preserve">structured worksheet</w:t>
      </w:r>
      <w:r>
        <w:t xml:space="preserve"> </w:t>
      </w:r>
      <w:r>
        <w:t xml:space="preserve">ve</w:t>
      </w:r>
      <w:r>
        <w:t xml:space="preserve"> </w:t>
      </w:r>
      <w:r>
        <w:rPr>
          <w:iCs/>
          <w:i/>
        </w:rPr>
        <w:t xml:space="preserve">design thinking tool</w:t>
      </w:r>
      <w:r>
        <w:t xml:space="preserve"> </w:t>
      </w:r>
      <w:r>
        <w:t xml:space="preserve">kullanımlarıyla uyumlu olarak</w:t>
      </w:r>
      <w:r>
        <w:t xml:space="preserve"> </w:t>
      </w:r>
      <w:r>
        <w:rPr>
          <w:bCs/>
          <w:b/>
        </w:rPr>
        <w:t xml:space="preserve">yapılandırılmış çalışma kâğıdı</w:t>
      </w:r>
      <w:r>
        <w:t xml:space="preserve"> </w:t>
      </w:r>
      <w:r>
        <w:t xml:space="preserve">terimi tercih edilmiş; üçlü set bütün olarak</w:t>
      </w:r>
      <w:r>
        <w:t xml:space="preserve"> </w:t>
      </w:r>
      <w:r>
        <w:rPr>
          <w:bCs/>
          <w:b/>
        </w:rPr>
        <w:t xml:space="preserve">Marka–Mekân Tuvali</w:t>
      </w:r>
      <w:r>
        <w:t xml:space="preserve"> </w:t>
      </w:r>
      <w:r>
        <w:t xml:space="preserve">olarak adlandırılmıştır.</w:t>
      </w:r>
      <w:r>
        <w:t xml:space="preserve"> </w:t>
      </w:r>
      <w:r>
        <w:t xml:space="preserve">“</w:t>
      </w:r>
      <w:r>
        <w:t xml:space="preserve">Föy</w:t>
      </w:r>
      <w:r>
        <w:t xml:space="preserve">”</w:t>
      </w:r>
      <w:r>
        <w:t xml:space="preserve"> </w:t>
      </w:r>
      <w:r>
        <w:t xml:space="preserve">sözcüğü, stüdyo içi kullanımdaki karşılığını korumak üzere parantez içinde anılmaktadır.</w:t>
      </w:r>
    </w:p>
    <w:p>
      <w:pPr>
        <w:pStyle w:val="FirstParagraph"/>
      </w:pPr>
      <w:r>
        <w:rPr>
          <w:bCs/>
          <w:b/>
        </w:rPr>
        <w:t xml:space="preserve">Çalışma Kâğıdı 1 —</w:t>
      </w:r>
      <w:r>
        <w:rPr>
          <w:bCs/>
          <w:b/>
        </w:rPr>
        <w:t xml:space="preserve"> </w:t>
      </w:r>
      <w:r>
        <w:rPr>
          <w:bCs/>
          <w:b/>
        </w:rPr>
        <w:t xml:space="preserve">“</w:t>
      </w:r>
      <w:r>
        <w:rPr>
          <w:bCs/>
          <w:b/>
        </w:rPr>
        <w:t xml:space="preserve">Bir Mağazayı Okumak: Bireysel Çalışma.</w:t>
      </w:r>
      <w:r>
        <w:rPr>
          <w:bCs/>
          <w:b/>
        </w:rPr>
        <w:t xml:space="preserve">”</w:t>
      </w:r>
      <w:r>
        <w:t xml:space="preserve"> </w:t>
      </w:r>
      <w:r>
        <w:t xml:space="preserve">Beş gerçek perakende iç mekânı, fotoğraf setleri hâlinde ve marka adı verilmeksizin sunulmuştur. Her öğrenciye rastgele bir mekân atanmıştır. Kâğıt beş bölümden oluşur: (01) Genel bakış — bu mağaza ne satıyor, hedef kullanıcı kim olabilir; (02) Mekânsal analiz — sergileme, dolaşım ve satış nasıl çözülmüş, atmosferi üç kelimeyle tanımla; (03) Deneyim analizi — kullanıcı burada ne yapıyor (üç davranış), hangi duygu oluşuyor (üç duygu); (04) Duyusal analiz — görme, dokunma, işitme, koklama, tatma; (05) Markanın kimliği — üç anahtar kelime.</w:t>
      </w:r>
    </w:p>
    <w:p>
      <w:pPr>
        <w:pStyle w:val="BodyText"/>
      </w:pPr>
      <w:r>
        <w:t xml:space="preserve">Beş mekân, perakende tipolojisi ve atmosfer stratejisi bakımından bilinçli olarak farklılaştırılmıştır: (1) yoğun renk bloklamasına ve kemerli nişlere dayanan, çocuk/genç giyim karakterinde bir mekân; (2) perde, kanelürlü yüzey ve sıcak ışıkla kurulmuş, yumuşak dokulu bir gözlük/optik mekânı; (3) parametrik ahşap tavanı ve sürekli raf duvarlarıyla bir kitabevi; (4) brüt beton, ahşap makas ve mekân ortasında canlı ağaçla kurulmuş, ham-doğal karakterli bir giyim mekânı; (5) mermer, ahşap çerçeve ve yarı saydam tekstil bölücülerle kurulmuş, minimal-rafine bir moda mekânı.</w:t>
      </w:r>
    </w:p>
    <w:p>
      <w:pPr>
        <w:pStyle w:val="BodyText"/>
      </w:pPr>
      <w:r>
        <w:rPr>
          <w:bCs/>
          <w:b/>
        </w:rPr>
        <w:t xml:space="preserve">Çalışma Kâğıdı 2 —</w:t>
      </w:r>
      <w:r>
        <w:rPr>
          <w:bCs/>
          <w:b/>
        </w:rPr>
        <w:t xml:space="preserve"> </w:t>
      </w:r>
      <w:r>
        <w:rPr>
          <w:bCs/>
          <w:b/>
        </w:rPr>
        <w:t xml:space="preserve">“</w:t>
      </w:r>
      <w:r>
        <w:rPr>
          <w:bCs/>
          <w:b/>
        </w:rPr>
        <w:t xml:space="preserve">Bir Mağazayı Okumak: Grup Sentezi.</w:t>
      </w:r>
      <w:r>
        <w:rPr>
          <w:bCs/>
          <w:b/>
        </w:rPr>
        <w:t xml:space="preserve">”</w:t>
      </w:r>
      <w:r>
        <w:t xml:space="preserve"> </w:t>
      </w:r>
      <w:r>
        <w:t xml:space="preserve">Aynı mekâna atanan öğrenciler grup oluşturarak bireysel okumalarını karşılaştırmış ve dört başlıkta — hedef kullanıcı, atmosfer, deneyim ve duyu, markanın kimliği — üçer ortak maddeye indirgemiştir. Kâğıdın ikinci bölümü (</w:t>
      </w:r>
      <w:r>
        <w:t xml:space="preserve">“</w:t>
      </w:r>
      <w:r>
        <w:t xml:space="preserve">Markadan Tasarıma</w:t>
      </w:r>
      <w:r>
        <w:t xml:space="preserve">”</w:t>
      </w:r>
      <w:r>
        <w:t xml:space="preserve">), belirlenen üç anahtar kelimenin her birini bir tasarım kararıyla eşleştirmeyi; üçüncü bölüm mekânı bir diyagramla anlatmayı; dördüncü ve beşinci bölümler marka–mekân uyumunun en güçlü okunduğu yerleri ve iyileştirme önerilerini istemektedir. Gruplar çalışmalarını tüm stüdyoya sunmuştur.</w:t>
      </w:r>
    </w:p>
    <w:p>
      <w:pPr>
        <w:pStyle w:val="BodyText"/>
      </w:pPr>
      <w:r>
        <w:rPr>
          <w:bCs/>
          <w:b/>
        </w:rPr>
        <w:t xml:space="preserve">Çalışma Kâğıdı 3 —</w:t>
      </w:r>
      <w:r>
        <w:rPr>
          <w:bCs/>
          <w:b/>
        </w:rPr>
        <w:t xml:space="preserve"> </w:t>
      </w:r>
      <w:r>
        <w:rPr>
          <w:bCs/>
          <w:b/>
        </w:rPr>
        <w:t xml:space="preserve">“</w:t>
      </w:r>
      <w:r>
        <w:rPr>
          <w:bCs/>
          <w:b/>
        </w:rPr>
        <w:t xml:space="preserve">Marka Araştırması.</w:t>
      </w:r>
      <w:r>
        <w:rPr>
          <w:bCs/>
          <w:b/>
        </w:rPr>
        <w:t xml:space="preserve">”</w:t>
      </w:r>
      <w:r>
        <w:t xml:space="preserve"> </w:t>
      </w:r>
      <w:r>
        <w:t xml:space="preserve">Bu kâğıt, atölyeden dönem projesine geçişi sağlar. Öğrencilerden, dönem boyunca üzerinde çalışılabilecek</w:t>
      </w:r>
      <w:r>
        <w:t xml:space="preserve"> </w:t>
      </w:r>
      <w:r>
        <w:rPr>
          <w:bCs/>
          <w:b/>
        </w:rPr>
        <w:t xml:space="preserve">üç aday marka</w:t>
      </w:r>
      <w:r>
        <w:t xml:space="preserve"> </w:t>
      </w:r>
      <w:r>
        <w:t xml:space="preserve">araştırmaları istenmiştir. Brifin kısıtı açıktır: markalar niş olmalı ve fiziksel mağazası bulunmamalıdır. Her marka için üç bölüm doldurulur: (01)</w:t>
      </w:r>
      <w:r>
        <w:t xml:space="preserve"> </w:t>
      </w:r>
      <w:r>
        <w:rPr>
          <w:iCs/>
          <w:i/>
        </w:rPr>
        <w:t xml:space="preserve">Markayı anlamak</w:t>
      </w:r>
      <w:r>
        <w:t xml:space="preserve"> </w:t>
      </w:r>
      <w:r>
        <w:t xml:space="preserve">— ürün/ne satıyor, kullanıcı, değer/hikâye ve üç anahtar kelime; (02)</w:t>
      </w:r>
      <w:r>
        <w:t xml:space="preserve"> </w:t>
      </w:r>
      <w:r>
        <w:rPr>
          <w:iCs/>
          <w:i/>
        </w:rPr>
        <w:t xml:space="preserve">Mekânın ihtiyacı</w:t>
      </w:r>
      <w:r>
        <w:t xml:space="preserve"> </w:t>
      </w:r>
      <w:r>
        <w:t xml:space="preserve">— sergileme ve depolama, aydınlatma, davranış, deneyim ve duyu; (03)</w:t>
      </w:r>
      <w:r>
        <w:t xml:space="preserve"> </w:t>
      </w:r>
      <w:r>
        <w:rPr>
          <w:iCs/>
          <w:i/>
        </w:rPr>
        <w:t xml:space="preserve">Anahtar kelime → mekânsal tasarım karar</w:t>
      </w:r>
      <w:r>
        <w:t xml:space="preserve">ı —</w:t>
      </w:r>
      <w:r>
        <w:t xml:space="preserve"> </w:t>
      </w:r>
      <w:r>
        <w:t xml:space="preserve">“</w:t>
      </w:r>
      <w:r>
        <w:t xml:space="preserve">Marka hakkında öğrendiğim bu bilgi, mağazada hangi somut tasarım kararına dönüşebilir?</w:t>
      </w:r>
      <w:r>
        <w:t xml:space="preserve">”</w:t>
      </w:r>
      <w:r>
        <w:t xml:space="preserve"> </w:t>
      </w:r>
      <w:r>
        <w:t xml:space="preserve">sorusuna karşılık gelen, üç satırlık bir eşleştirme tablosu.</w:t>
      </w:r>
    </w:p>
    <w:p>
      <w:pPr>
        <w:pStyle w:val="BodyText"/>
      </w:pPr>
      <w:r>
        <w:t xml:space="preserve">Üçüncü bölümün üç satırı, bu araştırmanın temel analiz birimini oluşturur.</w:t>
      </w:r>
    </w:p>
    <w:bookmarkEnd w:id="30"/>
    <w:bookmarkStart w:id="31" w:name="veri-kümesi"/>
    <w:p>
      <w:pPr>
        <w:pStyle w:val="Heading3"/>
      </w:pPr>
      <w:r>
        <w:t xml:space="preserve">3.3. Veri kümesi</w:t>
      </w:r>
    </w:p>
    <w:p>
      <w:pPr>
        <w:pStyle w:val="FirstParagraph"/>
      </w:pPr>
      <w:r>
        <w:t xml:space="preserve">Çalışma Kâğıdı 3 için 25 teslim arşivlenmiştir (29 kayıtlı öğrencinin %86’sı). Her teslim üç marka önerisi içerdiğinden toplam</w:t>
      </w:r>
      <w:r>
        <w:t xml:space="preserve"> </w:t>
      </w:r>
      <w:r>
        <w:rPr>
          <w:bCs/>
          <w:b/>
        </w:rPr>
        <w:t xml:space="preserve">75 marka önerisi</w:t>
      </w:r>
      <w:r>
        <w:t xml:space="preserve"> </w:t>
      </w:r>
      <w:r>
        <w:t xml:space="preserve">ve her öneri üç çeviri satırı içerdiğinden toplam</w:t>
      </w:r>
      <w:r>
        <w:t xml:space="preserve"> </w:t>
      </w:r>
      <w:r>
        <w:rPr>
          <w:bCs/>
          <w:b/>
        </w:rPr>
        <w:t xml:space="preserve">225 çeviri hücresi</w:t>
      </w:r>
      <w:r>
        <w:t xml:space="preserve"> </w:t>
      </w:r>
      <w:r>
        <w:t xml:space="preserve">elde edilmiştir. Teslimler PDF (17), PNG (5) ve JPEG (3) biçimlerinde olup altı tanesi el yazısıdır.</w:t>
      </w:r>
    </w:p>
    <w:p>
      <w:pPr>
        <w:pStyle w:val="BodyText"/>
      </w:pPr>
      <w:r>
        <w:t xml:space="preserve">Çalışma Kâğıdı 2 için beş grup sentezi dosyası arşivlenmiştir; bunlardan ikisi aynı grubun (Grup 1) iki üyesi tarafından yüklenmiş aynı belgedir. Dolayısıyla dört farklı grubun sentezi — Mekân 1, 2, 3 ve 4 — doğrudan incelenebilmiş; Mekân 5 grubunun sentezi arşivde bulunamamıştır. Grup sentezlerinde adı kayıtlı öğrenci sayısı 19’dur; grup büyüklükleri 4 ile 5 arasındadır.</w:t>
      </w:r>
    </w:p>
    <w:p>
      <w:pPr>
        <w:pStyle w:val="BodyText"/>
      </w:pPr>
      <w:r>
        <w:t xml:space="preserve">Çalışma Kâğıdı 1 (bireysel okuma) teslimleri, grup sentezi oturumunda gruplara teslim edildiği için ayrı bir dijital arşiv oluşturmamıştır; bu kâğıdın içeriği yalnızca grup sentezlerine yansıdığı ölçüde analiz edilebilmiştir. Bu durum, Bölüm 7’de sınırlılık olarak ele alınmaktadır.</w:t>
      </w:r>
    </w:p>
    <w:bookmarkEnd w:id="31"/>
    <w:bookmarkStart w:id="32" w:name="analiz-yöntemi"/>
    <w:p>
      <w:pPr>
        <w:pStyle w:val="Heading3"/>
      </w:pPr>
      <w:r>
        <w:t xml:space="preserve">3.4. Analiz yöntemi</w:t>
      </w:r>
    </w:p>
    <w:p>
      <w:pPr>
        <w:pStyle w:val="FirstParagraph"/>
      </w:pPr>
      <w:r>
        <w:t xml:space="preserve">Veri, nitel içerik analizi ve bunu izleyen betimsel istatistikle incelenmiştir. İki kodlama aracı geliştirilmiştir.</w:t>
      </w:r>
    </w:p>
    <w:p>
      <w:pPr>
        <w:pStyle w:val="BodyText"/>
      </w:pPr>
      <w:r>
        <w:rPr>
          <w:bCs/>
          <w:b/>
        </w:rPr>
        <w:t xml:space="preserve">(a) Çeviri Özgüllüğü Düzeyi (ÇÖD).</w:t>
      </w:r>
      <w:r>
        <w:t xml:space="preserve"> </w:t>
      </w:r>
      <w:r>
        <w:t xml:space="preserve">Her marka önerisinin üç çeviri satırı birlikte değerlendirilmiş ve öneri, baskın düzeyine göre dört basamaklı bir ölçekte kodlanmıştır: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Düzey</w:t>
            </w:r>
          </w:p>
        </w:tc>
        <w:tc>
          <w:tcPr/>
          <w:p>
            <w:pPr>
              <w:pStyle w:val="Compact"/>
              <w:jc w:val="left"/>
            </w:pPr>
            <w:r>
              <w:t xml:space="preserve">Tanım</w:t>
            </w:r>
          </w:p>
        </w:tc>
        <w:tc>
          <w:tcPr/>
          <w:p>
            <w:pPr>
              <w:pStyle w:val="Compact"/>
              <w:jc w:val="left"/>
            </w:pPr>
            <w:r>
              <w:t xml:space="preserve">Örnek</w:t>
            </w:r>
          </w:p>
        </w:tc>
      </w:tr>
      <w:tr>
        <w:tc>
          <w:tcPr/>
          <w:p>
            <w:pPr>
              <w:pStyle w:val="Compact"/>
              <w:jc w:val="left"/>
            </w:pPr>
            <w:r>
              <w:rPr>
                <w:bCs/>
                <w:b/>
              </w:rPr>
              <w:t xml:space="preserve">0</w:t>
            </w:r>
          </w:p>
        </w:tc>
        <w:tc>
          <w:tcPr/>
          <w:p>
            <w:pPr>
              <w:pStyle w:val="Compact"/>
              <w:jc w:val="left"/>
            </w:pPr>
            <w:r>
              <w:t xml:space="preserve">Mekânsal olmayan; ürün ya da pazarlama ifadesinin tekrarı</w:t>
            </w:r>
          </w:p>
        </w:tc>
        <w:tc>
          <w:tcPr/>
          <w:p>
            <w:pPr>
              <w:pStyle w:val="Compact"/>
              <w:jc w:val="left"/>
            </w:pPr>
            <w:r>
              <w:t xml:space="preserve">“</w:t>
            </w:r>
            <w:r>
              <w:t xml:space="preserve">Güncel modaya uygun</w:t>
            </w:r>
            <w:r>
              <w:t xml:space="preserve">”</w:t>
            </w:r>
            <w:r>
              <w:t xml:space="preserve">;</w:t>
            </w:r>
            <w:r>
              <w:t xml:space="preserve"> </w:t>
            </w:r>
            <w:r>
              <w:t xml:space="preserve">“</w:t>
            </w:r>
            <w:r>
              <w:t xml:space="preserve">Uygun fiyatlı ürün seçenekleri</w:t>
            </w:r>
            <w:r>
              <w:t xml:space="preserve">”</w:t>
            </w:r>
          </w:p>
        </w:tc>
      </w:tr>
      <w:tr>
        <w:tc>
          <w:tcPr/>
          <w:p>
            <w:pPr>
              <w:pStyle w:val="Compact"/>
              <w:jc w:val="left"/>
            </w:pPr>
            <w:r>
              <w:rPr>
                <w:bCs/>
                <w:b/>
              </w:rPr>
              <w:t xml:space="preserve">1</w:t>
            </w:r>
          </w:p>
        </w:tc>
        <w:tc>
          <w:tcPr/>
          <w:p>
            <w:pPr>
              <w:pStyle w:val="Compact"/>
              <w:jc w:val="left"/>
            </w:pPr>
            <w:r>
              <w:t xml:space="preserve">Genel atmosfer sıfatı; ölçülemez, çizilemez</w:t>
            </w:r>
          </w:p>
        </w:tc>
        <w:tc>
          <w:tcPr/>
          <w:p>
            <w:pPr>
              <w:pStyle w:val="Compact"/>
              <w:jc w:val="left"/>
            </w:pPr>
            <w:r>
              <w:t xml:space="preserve">“</w:t>
            </w:r>
            <w:r>
              <w:t xml:space="preserve">Sade ve estetik</w:t>
            </w:r>
            <w:r>
              <w:t xml:space="preserve">”</w:t>
            </w:r>
            <w:r>
              <w:t xml:space="preserve">;</w:t>
            </w:r>
            <w:r>
              <w:t xml:space="preserve"> </w:t>
            </w:r>
            <w:r>
              <w:t xml:space="preserve">“</w:t>
            </w:r>
            <w:r>
              <w:t xml:space="preserve">Doğayı mekânda hissedebilmeli</w:t>
            </w:r>
            <w:r>
              <w:t xml:space="preserve">”</w:t>
            </w:r>
            <w:r>
              <w:t xml:space="preserve">;</w:t>
            </w:r>
            <w:r>
              <w:t xml:space="preserve"> </w:t>
            </w:r>
            <w:r>
              <w:t xml:space="preserve">“</w:t>
            </w:r>
            <w:r>
              <w:t xml:space="preserve">Ferah dolaşım alanları</w:t>
            </w:r>
            <w:r>
              <w:t xml:space="preserve">”</w:t>
            </w:r>
          </w:p>
        </w:tc>
      </w:tr>
      <w:tr>
        <w:tc>
          <w:tcPr/>
          <w:p>
            <w:pPr>
              <w:pStyle w:val="Compact"/>
              <w:jc w:val="left"/>
            </w:pPr>
            <w:r>
              <w:rPr>
                <w:bCs/>
                <w:b/>
              </w:rPr>
              <w:t xml:space="preserve">2</w:t>
            </w:r>
          </w:p>
        </w:tc>
        <w:tc>
          <w:tcPr/>
          <w:p>
            <w:pPr>
              <w:pStyle w:val="Compact"/>
              <w:jc w:val="left"/>
            </w:pPr>
            <w:r>
              <w:t xml:space="preserve">Adlandırılmış tasarım öğesi; tür düzeyinde karar</w:t>
            </w:r>
          </w:p>
        </w:tc>
        <w:tc>
          <w:tcPr/>
          <w:p>
            <w:pPr>
              <w:pStyle w:val="Compact"/>
              <w:jc w:val="left"/>
            </w:pPr>
            <w:r>
              <w:t xml:space="preserve">“</w:t>
            </w:r>
            <w:r>
              <w:t xml:space="preserve">Ahşap raflar</w:t>
            </w:r>
            <w:r>
              <w:t xml:space="preserve">”</w:t>
            </w:r>
            <w:r>
              <w:t xml:space="preserve">;</w:t>
            </w:r>
            <w:r>
              <w:t xml:space="preserve"> </w:t>
            </w:r>
            <w:r>
              <w:t xml:space="preserve">“</w:t>
            </w:r>
            <w:r>
              <w:t xml:space="preserve">Ray spot aydınlatma</w:t>
            </w:r>
            <w:r>
              <w:t xml:space="preserve">”</w:t>
            </w:r>
            <w:r>
              <w:t xml:space="preserve">;</w:t>
            </w:r>
            <w:r>
              <w:t xml:space="preserve"> </w:t>
            </w:r>
            <w:r>
              <w:t xml:space="preserve">“</w:t>
            </w:r>
            <w:r>
              <w:t xml:space="preserve">Açık raf düzeni</w:t>
            </w:r>
            <w:r>
              <w:t xml:space="preserve">”</w:t>
            </w:r>
            <w:r>
              <w:t xml:space="preserve">;</w:t>
            </w:r>
            <w:r>
              <w:t xml:space="preserve"> </w:t>
            </w:r>
            <w:r>
              <w:t xml:space="preserve">“</w:t>
            </w:r>
            <w:r>
              <w:t xml:space="preserve">Nötr renk paleti</w:t>
            </w:r>
            <w:r>
              <w:t xml:space="preserve">”</w:t>
            </w:r>
          </w:p>
        </w:tc>
      </w:tr>
      <w:tr>
        <w:tc>
          <w:tcPr/>
          <w:p>
            <w:pPr>
              <w:pStyle w:val="Compact"/>
              <w:jc w:val="left"/>
            </w:pPr>
            <w:r>
              <w:rPr>
                <w:bCs/>
                <w:b/>
              </w:rPr>
              <w:t xml:space="preserve">3</w:t>
            </w:r>
          </w:p>
        </w:tc>
        <w:tc>
          <w:tcPr/>
          <w:p>
            <w:pPr>
              <w:pStyle w:val="Compact"/>
              <w:jc w:val="left"/>
            </w:pPr>
            <w:r>
              <w:t xml:space="preserve">Çizilebilir/ölçülebilir; ilişki, konum, boyut ya da ad taşıyan mekânsal aygıt</w:t>
            </w:r>
          </w:p>
        </w:tc>
        <w:tc>
          <w:tcPr/>
          <w:p>
            <w:pPr>
              <w:pStyle w:val="Compact"/>
              <w:jc w:val="left"/>
            </w:pPr>
            <w:r>
              <w:t xml:space="preserve">“</w:t>
            </w:r>
            <w:r>
              <w:t xml:space="preserve">Camlı atölye duvarı ve açık kuruma rafı</w:t>
            </w:r>
            <w:r>
              <w:t xml:space="preserve">”</w:t>
            </w:r>
            <w:r>
              <w:t xml:space="preserve">;</w:t>
            </w:r>
            <w:r>
              <w:t xml:space="preserve"> </w:t>
            </w:r>
            <w:r>
              <w:t xml:space="preserve">“</w:t>
            </w:r>
            <w:r>
              <w:t xml:space="preserve">Mekânın merkezinde dairesel formda interaktif Koku Barı</w:t>
            </w:r>
            <w:r>
              <w:t xml:space="preserve">”</w:t>
            </w:r>
            <w:r>
              <w:t xml:space="preserve">;</w:t>
            </w:r>
            <w:r>
              <w:t xml:space="preserve"> </w:t>
            </w:r>
            <w:r>
              <w:t xml:space="preserve">“</w:t>
            </w:r>
            <w:r>
              <w:t xml:space="preserve">Çanta sapının geometrisinden türeyen, mekânda tekrar eden form</w:t>
            </w:r>
            <w:r>
              <w:t xml:space="preserve">”</w:t>
            </w:r>
          </w:p>
        </w:tc>
      </w:tr>
    </w:tbl>
    <w:p>
      <w:pPr>
        <w:pStyle w:val="BodyText"/>
      </w:pPr>
      <w:r>
        <w:t xml:space="preserve">Ölçeğin ayırt edici eşiği 2 ile 3 arasındadır. Düzey 2, bir</w:t>
      </w:r>
      <w:r>
        <w:t xml:space="preserve"> </w:t>
      </w:r>
      <w:r>
        <w:rPr>
          <w:iCs/>
          <w:i/>
        </w:rPr>
        <w:t xml:space="preserve">nesne türü</w:t>
      </w:r>
      <w:r>
        <w:t xml:space="preserve"> </w:t>
      </w:r>
      <w:r>
        <w:t xml:space="preserve">adlandırır; Düzey 3, o nesnenin mekânla kurduğu</w:t>
      </w:r>
      <w:r>
        <w:t xml:space="preserve"> </w:t>
      </w:r>
      <w:r>
        <w:rPr>
          <w:iCs/>
          <w:i/>
        </w:rPr>
        <w:t xml:space="preserve">ilişkiyi</w:t>
      </w:r>
      <w:r>
        <w:t xml:space="preserve"> </w:t>
      </w:r>
      <w:r>
        <w:t xml:space="preserve">tanımlar.</w:t>
      </w:r>
      <w:r>
        <w:t xml:space="preserve"> </w:t>
      </w:r>
      <w:r>
        <w:t xml:space="preserve">“</w:t>
      </w:r>
      <w:r>
        <w:t xml:space="preserve">Vitrin</w:t>
      </w:r>
      <w:r>
        <w:t xml:space="preserve">”</w:t>
      </w:r>
      <w:r>
        <w:t xml:space="preserve"> </w:t>
      </w:r>
      <w:r>
        <w:t xml:space="preserve">bir türdür;</w:t>
      </w:r>
      <w:r>
        <w:t xml:space="preserve"> </w:t>
      </w:r>
      <w:r>
        <w:t xml:space="preserve">“</w:t>
      </w:r>
      <w:r>
        <w:t xml:space="preserve">giriş aksında, arkasında çalışan çarkın görüldüğü tek parçalık vitrin</w:t>
      </w:r>
      <w:r>
        <w:t xml:space="preserve">”</w:t>
      </w:r>
      <w:r>
        <w:t xml:space="preserve"> </w:t>
      </w:r>
      <w:r>
        <w:t xml:space="preserve">bir aygıttır.</w:t>
      </w:r>
    </w:p>
    <w:p>
      <w:pPr>
        <w:pStyle w:val="BodyText"/>
      </w:pPr>
      <w:r>
        <w:rPr>
          <w:bCs/>
          <w:b/>
        </w:rPr>
        <w:t xml:space="preserve">(b) Tasarım aygıtı aileleri.</w:t>
      </w:r>
      <w:r>
        <w:t xml:space="preserve"> </w:t>
      </w:r>
      <w:r>
        <w:t xml:space="preserve">Her öneri, içerdiği karar türleri bakımından çok etiketli olarak kodlanmıştır. On bir aile tanımlanmıştır: sergileme birimi (raf, kaide, vitrin, niş); malzeme ve yüzey; aydınlatma; dolaşım ve plan kurgusu; grafik ve anlatı yüzeyi; üretim görünürlüğü (atölye, şeffaf üretim alanı); kişiselleştirme ve etkileşim istasyonu; dijital ve teknoloji; renk; oturma ve dinlenme; koku, ses ve duyusal donatı.</w:t>
      </w:r>
    </w:p>
    <w:p>
      <w:pPr>
        <w:pStyle w:val="BodyText"/>
      </w:pPr>
      <w:r>
        <w:rPr>
          <w:bCs/>
          <w:b/>
        </w:rPr>
        <w:t xml:space="preserve">(c) Ek değişkenler.</w:t>
      </w:r>
      <w:r>
        <w:t xml:space="preserve"> </w:t>
      </w:r>
      <w:r>
        <w:t xml:space="preserve">Her marka önerisi ayrıca ürün kategorisi (16 kategori), menşe (Türkiye / yurt dışı) ve ölçek (niş-bağımsız / yerleşik-kurumsal) bakımından kodlanmıştır. Anahtar kelime etiketleri ayrı bir havuzda toplanmış; sıklık dağılımı, tip-belirti oranı ve on bir tematik küme üzerinden incelenmiştir.</w:t>
      </w:r>
    </w:p>
    <w:p>
      <w:pPr>
        <w:pStyle w:val="BodyText"/>
      </w:pPr>
      <w:r>
        <w:t xml:space="preserve">Kodlama tek araştırmacı tarafından yapılmış, belirsiz hücrelerde ikinci yürütücünün görüşü alınmıştır. Kodlayıcılar arası güvenirlik katsayısı hesaplanmamıştır; bu, Bölüm 7’de sınırlılık olarak tartışılmaktadır.</w:t>
      </w:r>
    </w:p>
    <w:p>
      <w:r>
        <w:pict>
          <v:rect style="width:0;height:1.5pt" o:hralign="center" o:hrstd="t" o:hr="t"/>
        </w:pict>
      </w:r>
    </w:p>
    <w:bookmarkEnd w:id="32"/>
    <w:bookmarkEnd w:id="33"/>
    <w:bookmarkStart w:id="40" w:name="bulgular"/>
    <w:p>
      <w:pPr>
        <w:pStyle w:val="Heading2"/>
      </w:pPr>
      <w:r>
        <w:t xml:space="preserve">4. Bulgular</w:t>
      </w:r>
    </w:p>
    <w:bookmarkStart w:id="34" w:name="X6ac865a793956780c0166e25f33da160ee036e5"/>
    <w:p>
      <w:pPr>
        <w:pStyle w:val="Heading3"/>
      </w:pPr>
      <w:r>
        <w:t xml:space="preserve">4.1. Mekânı okumak: bireysel okumadan grup sentezine</w:t>
      </w:r>
    </w:p>
    <w:p>
      <w:pPr>
        <w:pStyle w:val="FirstParagraph"/>
      </w:pPr>
      <w:r>
        <w:t xml:space="preserve">Grup sentezleri, farklı bireysel okumaların ortak bir sözlükte buluşma kapasitesini göstermektedir. Dört grubun markanın kimliği başlığı altında ürettiği anahtar kelimeler şunlardır: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Mekân</w:t>
            </w:r>
          </w:p>
        </w:tc>
        <w:tc>
          <w:tcPr/>
          <w:p>
            <w:pPr>
              <w:pStyle w:val="Compact"/>
              <w:jc w:val="left"/>
            </w:pPr>
            <w:r>
              <w:t xml:space="preserve">Grup büyüklüğü</w:t>
            </w:r>
          </w:p>
        </w:tc>
        <w:tc>
          <w:tcPr/>
          <w:p>
            <w:pPr>
              <w:pStyle w:val="Compact"/>
              <w:jc w:val="left"/>
            </w:pPr>
            <w:r>
              <w:t xml:space="preserve">Atmosfer (ortak)</w:t>
            </w:r>
          </w:p>
        </w:tc>
        <w:tc>
          <w:tcPr/>
          <w:p>
            <w:pPr>
              <w:pStyle w:val="Compact"/>
              <w:jc w:val="left"/>
            </w:pPr>
            <w:r>
              <w:t xml:space="preserve">Markanın kimliği (ortak)</w:t>
            </w:r>
          </w:p>
        </w:tc>
      </w:tr>
      <w:tr>
        <w:tc>
          <w:tcPr/>
          <w:p>
            <w:pPr>
              <w:pStyle w:val="Compact"/>
              <w:jc w:val="left"/>
            </w:pPr>
            <w:r>
              <w:rPr>
                <w:bCs/>
                <w:b/>
              </w:rPr>
              <w:t xml:space="preserve">1</w:t>
            </w:r>
            <w:r>
              <w:t xml:space="preserve"> </w:t>
            </w:r>
            <w:r>
              <w:t xml:space="preserve">— renk bloklu genç/çocuk giyim</w:t>
            </w:r>
          </w:p>
        </w:tc>
        <w:tc>
          <w:tcPr/>
          <w:p>
            <w:pPr>
              <w:pStyle w:val="Compact"/>
              <w:jc w:val="left"/>
            </w:pPr>
            <w:r>
              <w:t xml:space="preserve">4</w:t>
            </w:r>
          </w:p>
        </w:tc>
        <w:tc>
          <w:tcPr/>
          <w:p>
            <w:pPr>
              <w:pStyle w:val="Compact"/>
              <w:jc w:val="left"/>
            </w:pPr>
            <w:r>
              <w:t xml:space="preserve">dikkat çekici · renkli · eğlenceli</w:t>
            </w:r>
          </w:p>
        </w:tc>
        <w:tc>
          <w:tcPr/>
          <w:p>
            <w:pPr>
              <w:pStyle w:val="Compact"/>
              <w:jc w:val="left"/>
            </w:pPr>
            <w:r>
              <w:t xml:space="preserve">eğlence · renk · dinamik</w:t>
            </w:r>
          </w:p>
        </w:tc>
      </w:tr>
      <w:tr>
        <w:tc>
          <w:tcPr/>
          <w:p>
            <w:pPr>
              <w:pStyle w:val="Compact"/>
              <w:jc w:val="left"/>
            </w:pPr>
            <w:r>
              <w:rPr>
                <w:bCs/>
                <w:b/>
              </w:rPr>
              <w:t xml:space="preserve">2</w:t>
            </w:r>
            <w:r>
              <w:t xml:space="preserve"> </w:t>
            </w:r>
            <w:r>
              <w:t xml:space="preserve">— yumuşak dokulu optik</w:t>
            </w:r>
          </w:p>
        </w:tc>
        <w:tc>
          <w:tcPr/>
          <w:p>
            <w:pPr>
              <w:pStyle w:val="Compact"/>
              <w:jc w:val="left"/>
            </w:pPr>
            <w:r>
              <w:t xml:space="preserve">5</w:t>
            </w:r>
          </w:p>
        </w:tc>
        <w:tc>
          <w:tcPr/>
          <w:p>
            <w:pPr>
              <w:pStyle w:val="Compact"/>
              <w:jc w:val="left"/>
            </w:pPr>
            <w:r>
              <w:t xml:space="preserve">ritim · lüks · kontrollü</w:t>
            </w:r>
          </w:p>
        </w:tc>
        <w:tc>
          <w:tcPr/>
          <w:p>
            <w:pPr>
              <w:pStyle w:val="Compact"/>
              <w:jc w:val="left"/>
            </w:pPr>
            <w:r>
              <w:t xml:space="preserve">zarif · dinamik · estetik</w:t>
            </w:r>
          </w:p>
        </w:tc>
      </w:tr>
      <w:tr>
        <w:tc>
          <w:tcPr/>
          <w:p>
            <w:pPr>
              <w:pStyle w:val="Compact"/>
              <w:jc w:val="left"/>
            </w:pPr>
            <w:r>
              <w:rPr>
                <w:bCs/>
                <w:b/>
              </w:rPr>
              <w:t xml:space="preserve">3</w:t>
            </w:r>
            <w:r>
              <w:t xml:space="preserve"> </w:t>
            </w:r>
            <w:r>
              <w:t xml:space="preserve">— parametrik ahşap kitabevi</w:t>
            </w:r>
          </w:p>
        </w:tc>
        <w:tc>
          <w:tcPr/>
          <w:p>
            <w:pPr>
              <w:pStyle w:val="Compact"/>
              <w:jc w:val="left"/>
            </w:pPr>
            <w:r>
              <w:t xml:space="preserve">5</w:t>
            </w:r>
          </w:p>
        </w:tc>
        <w:tc>
          <w:tcPr/>
          <w:p>
            <w:pPr>
              <w:pStyle w:val="Compact"/>
              <w:jc w:val="left"/>
            </w:pPr>
            <w:r>
              <w:t xml:space="preserve">sıcak · sakin · modern</w:t>
            </w:r>
          </w:p>
        </w:tc>
        <w:tc>
          <w:tcPr/>
          <w:p>
            <w:pPr>
              <w:pStyle w:val="Compact"/>
              <w:jc w:val="left"/>
            </w:pPr>
            <w:r>
              <w:t xml:space="preserve">prestij · organik · değişim</w:t>
            </w:r>
          </w:p>
        </w:tc>
      </w:tr>
      <w:tr>
        <w:tc>
          <w:tcPr/>
          <w:p>
            <w:pPr>
              <w:pStyle w:val="Compact"/>
              <w:jc w:val="left"/>
            </w:pPr>
            <w:r>
              <w:rPr>
                <w:bCs/>
                <w:b/>
              </w:rPr>
              <w:t xml:space="preserve">4</w:t>
            </w:r>
            <w:r>
              <w:t xml:space="preserve"> </w:t>
            </w:r>
            <w:r>
              <w:t xml:space="preserve">— ham-doğal giyim mekânı</w:t>
            </w:r>
          </w:p>
        </w:tc>
        <w:tc>
          <w:tcPr/>
          <w:p>
            <w:pPr>
              <w:pStyle w:val="Compact"/>
              <w:jc w:val="left"/>
            </w:pPr>
            <w:r>
              <w:t xml:space="preserve">5</w:t>
            </w:r>
          </w:p>
        </w:tc>
        <w:tc>
          <w:tcPr/>
          <w:p>
            <w:pPr>
              <w:pStyle w:val="Compact"/>
              <w:jc w:val="left"/>
            </w:pPr>
            <w:r>
              <w:t xml:space="preserve">sakin ve dingin · doğal ve organik · ferah ve modern</w:t>
            </w:r>
          </w:p>
        </w:tc>
        <w:tc>
          <w:tcPr/>
          <w:p>
            <w:pPr>
              <w:pStyle w:val="Compact"/>
              <w:jc w:val="left"/>
            </w:pPr>
            <w:r>
              <w:t xml:space="preserve">sürdürülebilirlik · zarafet ve lüks · modern</w:t>
            </w:r>
          </w:p>
        </w:tc>
      </w:tr>
    </w:tbl>
    <w:p>
      <w:pPr>
        <w:pStyle w:val="BodyText"/>
      </w:pPr>
      <w:r>
        <w:t xml:space="preserve">Dört grubun tamamı, atmosfer okumasını üç sıfata indirgemeyi başarmıştır. Daha dikkate değer olan, grupların kendi okumalarını</w:t>
      </w:r>
      <w:r>
        <w:t xml:space="preserve"> </w:t>
      </w:r>
      <w:r>
        <w:rPr>
          <w:iCs/>
          <w:i/>
        </w:rPr>
        <w:t xml:space="preserve">eleştirebilmesidir</w:t>
      </w:r>
      <w:r>
        <w:t xml:space="preserve">. Mekân 2 grubu,</w:t>
      </w:r>
      <w:r>
        <w:t xml:space="preserve"> </w:t>
      </w:r>
      <w:r>
        <w:t xml:space="preserve">“</w:t>
      </w:r>
      <w:r>
        <w:t xml:space="preserve">kullanılan renk tonları sebebiyle mekânı deneyimleme yetersiz kalmıştır; ruhsuz bir mekân yaratılmıştır, burası bir lobi ya da eczane gibi mekânları andırıyor ve gözlüğe doğrudan bir vurgu yapılmamış</w:t>
      </w:r>
      <w:r>
        <w:t xml:space="preserve">”</w:t>
      </w:r>
      <w:r>
        <w:t xml:space="preserve"> </w:t>
      </w:r>
      <w:r>
        <w:t xml:space="preserve">değerlendirmesiyle, marka–mekân uyumsuzluğunu teşhis etmiştir. Mekân 4 grubu ise uyumun</w:t>
      </w:r>
      <w:r>
        <w:t xml:space="preserve"> </w:t>
      </w:r>
      <w:r>
        <w:t xml:space="preserve">“</w:t>
      </w:r>
      <w:r>
        <w:t xml:space="preserve">mekânın merkezindeki canlı ağaç ve organik dairesel zemin kurgusunda</w:t>
      </w:r>
      <w:r>
        <w:t xml:space="preserve">”</w:t>
      </w:r>
      <w:r>
        <w:t xml:space="preserve"> </w:t>
      </w:r>
      <w:r>
        <w:t xml:space="preserve">okunduğunu saptamış ve mekânı bir merkez–çeper diyagramına dönüştürmüştür.</w:t>
      </w:r>
    </w:p>
    <w:p>
      <w:pPr>
        <w:pStyle w:val="BodyText"/>
      </w:pPr>
      <w:r>
        <w:t xml:space="preserve">Mekân 3 grubunun diyagramı özellikle anlamlıdır: Grup, beş mekânı tek bir eksen üzerinde (4 ↔ 1 ↔ 2 ↔ 5 ↔ 3) sıralayarak kendi mekânını diğerlerine göre konumlandırmıştır. Bu, atölyenin istemediği ancak ürettiği bir çıktıdır — öğrenciler, atanan mekânı yalnızca içeriden okumakla kalmayıp bir tipoloji yelpazesi içinde yerleştirmiştir.</w:t>
      </w:r>
    </w:p>
    <w:p>
      <w:pPr>
        <w:pStyle w:val="BodyText"/>
      </w:pPr>
      <w:r>
        <w:t xml:space="preserve">Bu bulgu, atölyenin ilk iki aşamasının amacına ulaştığını göstermektedir: Mekânı okumak ve okumayı ortak bir sözlüğe indirgemek, üçüncü sınıf düzeyinde edinilmiş bir beceridir. Asıl güçlük, bir sonraki adımdadır.</w:t>
      </w:r>
    </w:p>
    <w:bookmarkEnd w:id="34"/>
    <w:bookmarkStart w:id="35" w:name="marka-seçimi-örüntüleri"/>
    <w:p>
      <w:pPr>
        <w:pStyle w:val="Heading3"/>
      </w:pPr>
      <w:r>
        <w:t xml:space="preserve">4.2. Marka seçimi örüntüleri</w:t>
      </w:r>
    </w:p>
    <w:p>
      <w:pPr>
        <w:pStyle w:val="FirstParagraph"/>
      </w:pPr>
      <w:r>
        <w:t xml:space="preserve">Yetmiş beş marka önerisinin ürün kategorisi dağılımı belirgin biçimde yoğunlaşmıştır: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Kategori</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Giyim</w:t>
            </w:r>
          </w:p>
        </w:tc>
        <w:tc>
          <w:tcPr/>
          <w:p>
            <w:pPr>
              <w:pStyle w:val="Compact"/>
              <w:jc w:val="left"/>
            </w:pPr>
            <w:r>
              <w:t xml:space="preserve">17</w:t>
            </w:r>
          </w:p>
        </w:tc>
        <w:tc>
          <w:tcPr/>
          <w:p>
            <w:pPr>
              <w:pStyle w:val="Compact"/>
              <w:jc w:val="left"/>
            </w:pPr>
            <w:r>
              <w:t xml:space="preserve">22,7</w:t>
            </w:r>
          </w:p>
        </w:tc>
      </w:tr>
      <w:tr>
        <w:tc>
          <w:tcPr/>
          <w:p>
            <w:pPr>
              <w:pStyle w:val="Compact"/>
              <w:jc w:val="left"/>
            </w:pPr>
            <w:r>
              <w:t xml:space="preserve">Ev ve yaşam ürünleri</w:t>
            </w:r>
          </w:p>
        </w:tc>
        <w:tc>
          <w:tcPr/>
          <w:p>
            <w:pPr>
              <w:pStyle w:val="Compact"/>
              <w:jc w:val="left"/>
            </w:pPr>
            <w:r>
              <w:t xml:space="preserve">13</w:t>
            </w:r>
          </w:p>
        </w:tc>
        <w:tc>
          <w:tcPr/>
          <w:p>
            <w:pPr>
              <w:pStyle w:val="Compact"/>
              <w:jc w:val="left"/>
            </w:pPr>
            <w:r>
              <w:t xml:space="preserve">17,3</w:t>
            </w:r>
          </w:p>
        </w:tc>
      </w:tr>
      <w:tr>
        <w:tc>
          <w:tcPr/>
          <w:p>
            <w:pPr>
              <w:pStyle w:val="Compact"/>
              <w:jc w:val="left"/>
            </w:pPr>
            <w:r>
              <w:t xml:space="preserve">Takı ve mücevher</w:t>
            </w:r>
          </w:p>
        </w:tc>
        <w:tc>
          <w:tcPr/>
          <w:p>
            <w:pPr>
              <w:pStyle w:val="Compact"/>
              <w:jc w:val="left"/>
            </w:pPr>
            <w:r>
              <w:t xml:space="preserve">10</w:t>
            </w:r>
          </w:p>
        </w:tc>
        <w:tc>
          <w:tcPr/>
          <w:p>
            <w:pPr>
              <w:pStyle w:val="Compact"/>
              <w:jc w:val="left"/>
            </w:pPr>
            <w:r>
              <w:t xml:space="preserve">13,3</w:t>
            </w:r>
          </w:p>
        </w:tc>
      </w:tr>
      <w:tr>
        <w:tc>
          <w:tcPr/>
          <w:p>
            <w:pPr>
              <w:pStyle w:val="Compact"/>
              <w:jc w:val="left"/>
            </w:pPr>
            <w:r>
              <w:t xml:space="preserve">Parfüm ve koku</w:t>
            </w:r>
          </w:p>
        </w:tc>
        <w:tc>
          <w:tcPr/>
          <w:p>
            <w:pPr>
              <w:pStyle w:val="Compact"/>
              <w:jc w:val="left"/>
            </w:pPr>
            <w:r>
              <w:t xml:space="preserve">8</w:t>
            </w:r>
          </w:p>
        </w:tc>
        <w:tc>
          <w:tcPr/>
          <w:p>
            <w:pPr>
              <w:pStyle w:val="Compact"/>
              <w:jc w:val="left"/>
            </w:pPr>
            <w:r>
              <w:t xml:space="preserve">10,7</w:t>
            </w:r>
          </w:p>
        </w:tc>
      </w:tr>
      <w:tr>
        <w:tc>
          <w:tcPr/>
          <w:p>
            <w:pPr>
              <w:pStyle w:val="Compact"/>
              <w:jc w:val="left"/>
            </w:pPr>
            <w:r>
              <w:t xml:space="preserve">Aksesuar ve deri</w:t>
            </w:r>
          </w:p>
        </w:tc>
        <w:tc>
          <w:tcPr/>
          <w:p>
            <w:pPr>
              <w:pStyle w:val="Compact"/>
              <w:jc w:val="left"/>
            </w:pPr>
            <w:r>
              <w:t xml:space="preserve">6</w:t>
            </w:r>
          </w:p>
        </w:tc>
        <w:tc>
          <w:tcPr/>
          <w:p>
            <w:pPr>
              <w:pStyle w:val="Compact"/>
              <w:jc w:val="left"/>
            </w:pPr>
            <w:r>
              <w:t xml:space="preserve">8,0</w:t>
            </w:r>
          </w:p>
        </w:tc>
      </w:tr>
      <w:tr>
        <w:tc>
          <w:tcPr/>
          <w:p>
            <w:pPr>
              <w:pStyle w:val="Compact"/>
              <w:jc w:val="left"/>
            </w:pPr>
            <w:r>
              <w:t xml:space="preserve">Kozmetik ve bakım</w:t>
            </w:r>
          </w:p>
        </w:tc>
        <w:tc>
          <w:tcPr/>
          <w:p>
            <w:pPr>
              <w:pStyle w:val="Compact"/>
              <w:jc w:val="left"/>
            </w:pPr>
            <w:r>
              <w:t xml:space="preserve">5</w:t>
            </w:r>
          </w:p>
        </w:tc>
        <w:tc>
          <w:tcPr/>
          <w:p>
            <w:pPr>
              <w:pStyle w:val="Compact"/>
              <w:jc w:val="left"/>
            </w:pPr>
            <w:r>
              <w:t xml:space="preserve">6,7</w:t>
            </w:r>
          </w:p>
        </w:tc>
      </w:tr>
      <w:tr>
        <w:tc>
          <w:tcPr/>
          <w:p>
            <w:pPr>
              <w:pStyle w:val="Compact"/>
              <w:jc w:val="left"/>
            </w:pPr>
            <w:r>
              <w:t xml:space="preserve">Kitap, plak ve kırtasiye</w:t>
            </w:r>
          </w:p>
        </w:tc>
        <w:tc>
          <w:tcPr/>
          <w:p>
            <w:pPr>
              <w:pStyle w:val="Compact"/>
              <w:jc w:val="left"/>
            </w:pPr>
            <w:r>
              <w:t xml:space="preserve">3</w:t>
            </w:r>
          </w:p>
        </w:tc>
        <w:tc>
          <w:tcPr/>
          <w:p>
            <w:pPr>
              <w:pStyle w:val="Compact"/>
              <w:jc w:val="left"/>
            </w:pPr>
            <w:r>
              <w:t xml:space="preserve">4,0</w:t>
            </w:r>
          </w:p>
        </w:tc>
      </w:tr>
      <w:tr>
        <w:tc>
          <w:tcPr/>
          <w:p>
            <w:pPr>
              <w:pStyle w:val="Compact"/>
              <w:jc w:val="left"/>
            </w:pPr>
            <w:r>
              <w:t xml:space="preserve">Teknoloji ve obje</w:t>
            </w:r>
          </w:p>
        </w:tc>
        <w:tc>
          <w:tcPr/>
          <w:p>
            <w:pPr>
              <w:pStyle w:val="Compact"/>
              <w:jc w:val="left"/>
            </w:pPr>
            <w:r>
              <w:t xml:space="preserve">3</w:t>
            </w:r>
          </w:p>
        </w:tc>
        <w:tc>
          <w:tcPr/>
          <w:p>
            <w:pPr>
              <w:pStyle w:val="Compact"/>
              <w:jc w:val="left"/>
            </w:pPr>
            <w:r>
              <w:t xml:space="preserve">4,0</w:t>
            </w:r>
          </w:p>
        </w:tc>
      </w:tr>
      <w:tr>
        <w:tc>
          <w:tcPr/>
          <w:p>
            <w:pPr>
              <w:pStyle w:val="Compact"/>
              <w:jc w:val="left"/>
            </w:pPr>
            <w:r>
              <w:t xml:space="preserve">Denizcilik</w:t>
            </w:r>
          </w:p>
        </w:tc>
        <w:tc>
          <w:tcPr/>
          <w:p>
            <w:pPr>
              <w:pStyle w:val="Compact"/>
              <w:jc w:val="left"/>
            </w:pPr>
            <w:r>
              <w:t xml:space="preserve">2</w:t>
            </w:r>
          </w:p>
        </w:tc>
        <w:tc>
          <w:tcPr/>
          <w:p>
            <w:pPr>
              <w:pStyle w:val="Compact"/>
              <w:jc w:val="left"/>
            </w:pPr>
            <w:r>
              <w:t xml:space="preserve">2,7</w:t>
            </w:r>
          </w:p>
        </w:tc>
      </w:tr>
      <w:tr>
        <w:tc>
          <w:tcPr/>
          <w:p>
            <w:pPr>
              <w:pStyle w:val="Compact"/>
              <w:jc w:val="left"/>
            </w:pPr>
            <w:r>
              <w:t xml:space="preserve">Sanat objesi</w:t>
            </w:r>
          </w:p>
        </w:tc>
        <w:tc>
          <w:tcPr/>
          <w:p>
            <w:pPr>
              <w:pStyle w:val="Compact"/>
              <w:jc w:val="left"/>
            </w:pPr>
            <w:r>
              <w:t xml:space="preserve">2</w:t>
            </w:r>
          </w:p>
        </w:tc>
        <w:tc>
          <w:tcPr/>
          <w:p>
            <w:pPr>
              <w:pStyle w:val="Compact"/>
              <w:jc w:val="left"/>
            </w:pPr>
            <w:r>
              <w:t xml:space="preserve">2,7</w:t>
            </w:r>
          </w:p>
        </w:tc>
      </w:tr>
      <w:tr>
        <w:tc>
          <w:tcPr/>
          <w:p>
            <w:pPr>
              <w:pStyle w:val="Compact"/>
              <w:jc w:val="left"/>
            </w:pPr>
            <w:r>
              <w:t xml:space="preserve">Diğer (botanik, kahve, seramik, ayakkabı, müzik enstrümanı, gözlük)</w:t>
            </w:r>
          </w:p>
        </w:tc>
        <w:tc>
          <w:tcPr/>
          <w:p>
            <w:pPr>
              <w:pStyle w:val="Compact"/>
              <w:jc w:val="left"/>
            </w:pPr>
            <w:r>
              <w:t xml:space="preserve">6</w:t>
            </w:r>
          </w:p>
        </w:tc>
        <w:tc>
          <w:tcPr/>
          <w:p>
            <w:pPr>
              <w:pStyle w:val="Compact"/>
              <w:jc w:val="left"/>
            </w:pPr>
            <w:r>
              <w:t xml:space="preserve">8,0</w:t>
            </w:r>
          </w:p>
        </w:tc>
      </w:tr>
    </w:tbl>
    <w:p>
      <w:pPr>
        <w:pStyle w:val="BodyText"/>
      </w:pPr>
      <w:r>
        <w:t xml:space="preserve">İlk dört kategori önerilerin %64’ünü oluşturmaktadır. Bu yoğunlaşma, atölye sunumunda verilen ürün grubu listesiyle (mücevher, saat, tekil tasarım objesi; giyim, ayakkabı, gözlük, şapka, takı; parfüm, sabun; kitap, plak, kırtasiye; mobilya, halı, ev tekstili; seramik, deri atölyesi) uyumludur; ancak listenin daha az temsil edilen uçlarının (halı ve kilim, bisiklet, seramik) neredeyse hiç seçilmediğini de göstermektedir. Öğrenciler, kendi tüketim deneyimlerine en yakın kategorilere yönelmektedir.</w:t>
      </w:r>
    </w:p>
    <w:p>
      <w:pPr>
        <w:pStyle w:val="BodyText"/>
      </w:pPr>
      <w:r>
        <w:t xml:space="preserve">Markaların %74,7’si Türkiye menşelidir. Bu, yerel perakende ekosisteminin stüdyo için zengin bir kaynak oluşturduğunu ve</w:t>
      </w:r>
      <w:r>
        <w:t xml:space="preserve"> </w:t>
      </w:r>
      <w:r>
        <w:t xml:space="preserve">“</w:t>
      </w:r>
      <w:r>
        <w:t xml:space="preserve">az bilinen marka</w:t>
      </w:r>
      <w:r>
        <w:t xml:space="preserve">”</w:t>
      </w:r>
      <w:r>
        <w:t xml:space="preserve"> </w:t>
      </w:r>
      <w:r>
        <w:t xml:space="preserve">kısıtının yerel bağımsız markaları görünür kıldığını göstermektedir. Önerilerin %81,3’ü niş-bağımsız ölçektedir; yani brifin temel kısıtına uyulmuştur.</w:t>
      </w:r>
    </w:p>
    <w:p>
      <w:pPr>
        <w:pStyle w:val="BodyText"/>
      </w:pPr>
      <w:r>
        <w:t xml:space="preserve">Buna karşılık yedi öğrenci (%28), en az bir yerleşik kurumsal marka önermiştir. İki öğrencinin üç önerisinin tamamı kurumsal ölçektedir (biri IKEA, Bath &amp; Body Works, Muji; diğeri Atelier Rebul, Mudo Concept, Miniso). Bu sapma, briften kopuş olarak değil, bir</w:t>
      </w:r>
      <w:r>
        <w:t xml:space="preserve"> </w:t>
      </w:r>
      <w:r>
        <w:rPr>
          <w:iCs/>
          <w:i/>
        </w:rPr>
        <w:t xml:space="preserve">okuma güçlüğü</w:t>
      </w:r>
      <w:r>
        <w:t xml:space="preserve"> </w:t>
      </w:r>
      <w:r>
        <w:t xml:space="preserve">olarak yorumlanmalıdır:</w:t>
      </w:r>
      <w:r>
        <w:t xml:space="preserve"> </w:t>
      </w:r>
      <w:r>
        <w:t xml:space="preserve">“</w:t>
      </w:r>
      <w:r>
        <w:t xml:space="preserve">Az bilinen</w:t>
      </w:r>
      <w:r>
        <w:t xml:space="preserve">”</w:t>
      </w:r>
      <w:r>
        <w:t xml:space="preserve"> </w:t>
      </w:r>
      <w:r>
        <w:t xml:space="preserve">ile</w:t>
      </w:r>
      <w:r>
        <w:t xml:space="preserve"> </w:t>
      </w:r>
      <w:r>
        <w:t xml:space="preserve">“</w:t>
      </w:r>
      <w:r>
        <w:t xml:space="preserve">benim bilmediğim</w:t>
      </w:r>
      <w:r>
        <w:t xml:space="preserve">”</w:t>
      </w:r>
      <w:r>
        <w:t xml:space="preserve"> </w:t>
      </w:r>
      <w:r>
        <w:t xml:space="preserve">arasındaki fark, öğrenciler için her zaman açık değildir ve brifin bu kısıtı ölçütlendirilmeye muhtaçtır (ör.</w:t>
      </w:r>
      <w:r>
        <w:t xml:space="preserve"> </w:t>
      </w:r>
      <w:r>
        <w:t xml:space="preserve">“</w:t>
      </w:r>
      <w:r>
        <w:t xml:space="preserve">Türkiye’de fiziksel mağazası bulunmayan</w:t>
      </w:r>
      <w:r>
        <w:t xml:space="preserve">”</w:t>
      </w:r>
      <w:r>
        <w:t xml:space="preserve">,</w:t>
      </w:r>
      <w:r>
        <w:t xml:space="preserve"> </w:t>
      </w:r>
      <w:r>
        <w:t xml:space="preserve">“</w:t>
      </w:r>
      <w:r>
        <w:t xml:space="preserve">yalnızca çevrim içi satış yapan</w:t>
      </w:r>
      <w:r>
        <w:t xml:space="preserve">”</w:t>
      </w:r>
      <w:r>
        <w:t xml:space="preserve">,</w:t>
      </w:r>
      <w:r>
        <w:t xml:space="preserve"> </w:t>
      </w:r>
      <w:r>
        <w:t xml:space="preserve">“</w:t>
      </w:r>
      <w:r>
        <w:t xml:space="preserve">çalışan sayısı belirli bir eşiğin altında</w:t>
      </w:r>
      <w:r>
        <w:t xml:space="preserve">”</w:t>
      </w:r>
      <w:r>
        <w:t xml:space="preserve">).</w:t>
      </w:r>
    </w:p>
    <w:p>
      <w:pPr>
        <w:pStyle w:val="BodyText"/>
      </w:pPr>
      <w:r>
        <w:t xml:space="preserve">İki öğrencinin bağımsız olarak aynı markayı (Atelier Rebul) seçmiş olması, yöntemsel açıdan beklenmedik bir doğrulama fırsatı sunmuştur. Her iki öğrencinin ürettiği anahtar kelime setleri —</w:t>
      </w:r>
      <w:r>
        <w:t xml:space="preserve"> </w:t>
      </w:r>
      <w:r>
        <w:rPr>
          <w:iCs/>
          <w:i/>
        </w:rPr>
        <w:t xml:space="preserve">zarafet · nostalji · duyusallık</w:t>
      </w:r>
      <w:r>
        <w:t xml:space="preserve"> </w:t>
      </w:r>
      <w:r>
        <w:t xml:space="preserve">ve</w:t>
      </w:r>
      <w:r>
        <w:t xml:space="preserve"> </w:t>
      </w:r>
      <w:r>
        <w:rPr>
          <w:iCs/>
          <w:i/>
        </w:rPr>
        <w:t xml:space="preserve">zarif · geleneksel · duyusal</w:t>
      </w:r>
      <w:r>
        <w:t xml:space="preserve"> </w:t>
      </w:r>
      <w:r>
        <w:t xml:space="preserve">— üç kelimeden ikisinde kök düzeyinde örtüşmektedir. Aynı marka araştırması protokolünün, farklı kişilerce uygulandığında benzer kelimelere yakınsaması, çalışma kâğıdının bir ölçme aracı olarak tutarlılığına ilişkin bir işaret sayılabilir.</w:t>
      </w:r>
    </w:p>
    <w:bookmarkEnd w:id="35"/>
    <w:bookmarkStart w:id="36" w:name="anahtar-kelime-havuzunun-yapısı"/>
    <w:p>
      <w:pPr>
        <w:pStyle w:val="Heading3"/>
      </w:pPr>
      <w:r>
        <w:t xml:space="preserve">4.3. Anahtar kelime havuzunun yapısı</w:t>
      </w:r>
    </w:p>
    <w:p>
      <w:pPr>
        <w:pStyle w:val="FirstParagraph"/>
      </w:pPr>
      <w:r>
        <w:t xml:space="preserve">Yetmiş beş marka için üretilen 225 anahtar kelime etiketinin 146’sı tekildir (tip-belirti oranı 0,65). Tekil kelimelerin %73’ü (107 kelime) yalnızca bir kez kullanılmıştır; bu, tüm etiketlerin %48’ine karşılık gelir. En sık kullanılan on kelime, toplam etiketlerin yalnızca %24’ünü oluşturmaktadır.</w:t>
      </w:r>
    </w:p>
    <w:p>
      <w:pPr>
        <w:pStyle w:val="BodyText"/>
      </w:pPr>
      <w:r>
        <w:t xml:space="preserve">Bu, oldukça</w:t>
      </w:r>
      <w:r>
        <w:t xml:space="preserve"> </w:t>
      </w:r>
      <w:r>
        <w:rPr>
          <w:bCs/>
          <w:b/>
        </w:rPr>
        <w:t xml:space="preserve">dağınık bir sözlük</w:t>
      </w:r>
      <w:r>
        <w:t xml:space="preserve">tür. Dağınıklık iki biçimde yorumlanabilir. Olumlu okumada, öğrenciler markaya özgü ve kalıplaşmamış sözcükler üretmektedir; yani sunumda verilen</w:t>
      </w:r>
      <w:r>
        <w:t xml:space="preserve"> </w:t>
      </w:r>
      <w:r>
        <w:t xml:space="preserve">“</w:t>
      </w:r>
      <w:r>
        <w:t xml:space="preserve">her markaya uyacak kadar genel olmamalı</w:t>
      </w:r>
      <w:r>
        <w:t xml:space="preserve">”</w:t>
      </w:r>
      <w:r>
        <w:t xml:space="preserve"> </w:t>
      </w:r>
      <w:r>
        <w:t xml:space="preserve">ölçütüne uyulmaktadır. Olumsuz okumada ise, ortak bir mesleki sözlüğün yokluğu, stüdyo içi tartışmayı ve karşılaştırmayı güçleştirmektedir. İki okuma birbirini dışlamaz; veriler her ikisini de desteklemektedir.</w:t>
      </w:r>
    </w:p>
    <w:p>
      <w:pPr>
        <w:pStyle w:val="BodyText"/>
      </w:pPr>
      <w:r>
        <w:t xml:space="preserve">Kök düzeyinde birleştirildiğinde en sık kullanılan kelime kümeleri şunlardır:</w:t>
      </w:r>
      <w:r>
        <w:t xml:space="preserve"> </w:t>
      </w:r>
      <w:r>
        <w:rPr>
          <w:iCs/>
          <w:i/>
        </w:rPr>
        <w:t xml:space="preserve">doğal/doğallık/doğa</w:t>
      </w:r>
      <w:r>
        <w:t xml:space="preserve"> </w:t>
      </w:r>
      <w:r>
        <w:t xml:space="preserve">(14),</w:t>
      </w:r>
      <w:r>
        <w:t xml:space="preserve"> </w:t>
      </w:r>
      <w:r>
        <w:rPr>
          <w:iCs/>
          <w:i/>
        </w:rPr>
        <w:t xml:space="preserve">zarif/zarafet</w:t>
      </w:r>
      <w:r>
        <w:t xml:space="preserve"> </w:t>
      </w:r>
      <w:r>
        <w:t xml:space="preserve">(10),</w:t>
      </w:r>
      <w:r>
        <w:t xml:space="preserve"> </w:t>
      </w:r>
      <w:r>
        <w:rPr>
          <w:iCs/>
          <w:i/>
        </w:rPr>
        <w:t xml:space="preserve">özgün/özgünlük</w:t>
      </w:r>
      <w:r>
        <w:t xml:space="preserve"> </w:t>
      </w:r>
      <w:r>
        <w:t xml:space="preserve">(10),</w:t>
      </w:r>
      <w:r>
        <w:t xml:space="preserve"> </w:t>
      </w:r>
      <w:r>
        <w:rPr>
          <w:iCs/>
          <w:i/>
        </w:rPr>
        <w:t xml:space="preserve">zanaat/el işçiliği/el yapımı</w:t>
      </w:r>
      <w:r>
        <w:t xml:space="preserve"> </w:t>
      </w:r>
      <w:r>
        <w:t xml:space="preserve">(9),</w:t>
      </w:r>
      <w:r>
        <w:t xml:space="preserve"> </w:t>
      </w:r>
      <w:r>
        <w:rPr>
          <w:iCs/>
          <w:i/>
        </w:rPr>
        <w:t xml:space="preserve">keşif</w:t>
      </w:r>
      <w:r>
        <w:t xml:space="preserve"> </w:t>
      </w:r>
      <w:r>
        <w:t xml:space="preserve">(7),</w:t>
      </w:r>
      <w:r>
        <w:t xml:space="preserve"> </w:t>
      </w:r>
      <w:r>
        <w:rPr>
          <w:iCs/>
          <w:i/>
        </w:rPr>
        <w:t xml:space="preserve">konfor/konforlu/rahatlık</w:t>
      </w:r>
      <w:r>
        <w:t xml:space="preserve"> </w:t>
      </w:r>
      <w:r>
        <w:t xml:space="preserve">(7),</w:t>
      </w:r>
      <w:r>
        <w:t xml:space="preserve"> </w:t>
      </w:r>
      <w:r>
        <w:rPr>
          <w:iCs/>
          <w:i/>
        </w:rPr>
        <w:t xml:space="preserve">zamansız/zamansızlık</w:t>
      </w:r>
      <w:r>
        <w:t xml:space="preserve"> </w:t>
      </w:r>
      <w:r>
        <w:t xml:space="preserve">(6),</w:t>
      </w:r>
      <w:r>
        <w:t xml:space="preserve"> </w:t>
      </w:r>
      <w:r>
        <w:rPr>
          <w:iCs/>
          <w:i/>
        </w:rPr>
        <w:t xml:space="preserve">kişisel/kişisellik/kişiselleştirme</w:t>
      </w:r>
      <w:r>
        <w:t xml:space="preserve"> </w:t>
      </w:r>
      <w:r>
        <w:t xml:space="preserve">(6).</w:t>
      </w:r>
    </w:p>
    <w:p>
      <w:pPr>
        <w:pStyle w:val="BodyText"/>
      </w:pPr>
      <w:r>
        <w:t xml:space="preserve">On bir tematik küme üzerinden bakıldığında dağılım şöyledir: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Tematik küme</w:t>
            </w:r>
          </w:p>
        </w:tc>
        <w:tc>
          <w:tcPr/>
          <w:p>
            <w:pPr>
              <w:pStyle w:val="Compact"/>
              <w:jc w:val="left"/>
            </w:pPr>
            <w:r>
              <w:t xml:space="preserve">Etiket</w:t>
            </w:r>
          </w:p>
        </w:tc>
        <w:tc>
          <w:tcPr/>
          <w:p>
            <w:pPr>
              <w:pStyle w:val="Compact"/>
              <w:jc w:val="left"/>
            </w:pPr>
            <w:r>
              <w:t xml:space="preserve">%</w:t>
            </w:r>
          </w:p>
        </w:tc>
      </w:tr>
      <w:tr>
        <w:tc>
          <w:tcPr/>
          <w:p>
            <w:pPr>
              <w:pStyle w:val="Compact"/>
              <w:jc w:val="left"/>
            </w:pPr>
            <w:r>
              <w:t xml:space="preserve">Renk, enerji ve çağdaşlık</w:t>
            </w:r>
          </w:p>
        </w:tc>
        <w:tc>
          <w:tcPr/>
          <w:p>
            <w:pPr>
              <w:pStyle w:val="Compact"/>
              <w:jc w:val="left"/>
            </w:pPr>
            <w:r>
              <w:t xml:space="preserve">38</w:t>
            </w:r>
          </w:p>
        </w:tc>
        <w:tc>
          <w:tcPr/>
          <w:p>
            <w:pPr>
              <w:pStyle w:val="Compact"/>
              <w:jc w:val="left"/>
            </w:pPr>
            <w:r>
              <w:t xml:space="preserve">16,9</w:t>
            </w:r>
          </w:p>
        </w:tc>
      </w:tr>
      <w:tr>
        <w:tc>
          <w:tcPr/>
          <w:p>
            <w:pPr>
              <w:pStyle w:val="Compact"/>
              <w:jc w:val="left"/>
            </w:pPr>
            <w:r>
              <w:t xml:space="preserve">Konfor ve erişilebilirlik</w:t>
            </w:r>
          </w:p>
        </w:tc>
        <w:tc>
          <w:tcPr/>
          <w:p>
            <w:pPr>
              <w:pStyle w:val="Compact"/>
              <w:jc w:val="left"/>
            </w:pPr>
            <w:r>
              <w:t xml:space="preserve">27</w:t>
            </w:r>
          </w:p>
        </w:tc>
        <w:tc>
          <w:tcPr/>
          <w:p>
            <w:pPr>
              <w:pStyle w:val="Compact"/>
              <w:jc w:val="left"/>
            </w:pPr>
            <w:r>
              <w:t xml:space="preserve">12,0</w:t>
            </w:r>
          </w:p>
        </w:tc>
      </w:tr>
      <w:tr>
        <w:tc>
          <w:tcPr/>
          <w:p>
            <w:pPr>
              <w:pStyle w:val="Compact"/>
              <w:jc w:val="left"/>
            </w:pPr>
            <w:r>
              <w:t xml:space="preserve">Zarafet ve lüks</w:t>
            </w:r>
          </w:p>
        </w:tc>
        <w:tc>
          <w:tcPr/>
          <w:p>
            <w:pPr>
              <w:pStyle w:val="Compact"/>
              <w:jc w:val="left"/>
            </w:pPr>
            <w:r>
              <w:t xml:space="preserve">24</w:t>
            </w:r>
          </w:p>
        </w:tc>
        <w:tc>
          <w:tcPr/>
          <w:p>
            <w:pPr>
              <w:pStyle w:val="Compact"/>
              <w:jc w:val="left"/>
            </w:pPr>
            <w:r>
              <w:t xml:space="preserve">10,7</w:t>
            </w:r>
          </w:p>
        </w:tc>
      </w:tr>
      <w:tr>
        <w:tc>
          <w:tcPr/>
          <w:p>
            <w:pPr>
              <w:pStyle w:val="Compact"/>
              <w:jc w:val="left"/>
            </w:pPr>
            <w:r>
              <w:t xml:space="preserve">Keşif ve hikâye</w:t>
            </w:r>
          </w:p>
        </w:tc>
        <w:tc>
          <w:tcPr/>
          <w:p>
            <w:pPr>
              <w:pStyle w:val="Compact"/>
              <w:jc w:val="left"/>
            </w:pPr>
            <w:r>
              <w:t xml:space="preserve">22</w:t>
            </w:r>
          </w:p>
        </w:tc>
        <w:tc>
          <w:tcPr/>
          <w:p>
            <w:pPr>
              <w:pStyle w:val="Compact"/>
              <w:jc w:val="left"/>
            </w:pPr>
            <w:r>
              <w:t xml:space="preserve">9,8</w:t>
            </w:r>
          </w:p>
        </w:tc>
      </w:tr>
      <w:tr>
        <w:tc>
          <w:tcPr/>
          <w:p>
            <w:pPr>
              <w:pStyle w:val="Compact"/>
              <w:jc w:val="left"/>
            </w:pPr>
            <w:r>
              <w:t xml:space="preserve">Kimlik ve aidiyet</w:t>
            </w:r>
          </w:p>
        </w:tc>
        <w:tc>
          <w:tcPr/>
          <w:p>
            <w:pPr>
              <w:pStyle w:val="Compact"/>
              <w:jc w:val="left"/>
            </w:pPr>
            <w:r>
              <w:t xml:space="preserve">20</w:t>
            </w:r>
          </w:p>
        </w:tc>
        <w:tc>
          <w:tcPr/>
          <w:p>
            <w:pPr>
              <w:pStyle w:val="Compact"/>
              <w:jc w:val="left"/>
            </w:pPr>
            <w:r>
              <w:t xml:space="preserve">8,9</w:t>
            </w:r>
          </w:p>
        </w:tc>
      </w:tr>
      <w:tr>
        <w:tc>
          <w:tcPr/>
          <w:p>
            <w:pPr>
              <w:pStyle w:val="Compact"/>
              <w:jc w:val="left"/>
            </w:pPr>
            <w:r>
              <w:t xml:space="preserve">Özgünlük ve tekillik</w:t>
            </w:r>
          </w:p>
        </w:tc>
        <w:tc>
          <w:tcPr/>
          <w:p>
            <w:pPr>
              <w:pStyle w:val="Compact"/>
              <w:jc w:val="left"/>
            </w:pPr>
            <w:r>
              <w:t xml:space="preserve">19</w:t>
            </w:r>
          </w:p>
        </w:tc>
        <w:tc>
          <w:tcPr/>
          <w:p>
            <w:pPr>
              <w:pStyle w:val="Compact"/>
              <w:jc w:val="left"/>
            </w:pPr>
            <w:r>
              <w:t xml:space="preserve">8,4</w:t>
            </w:r>
          </w:p>
        </w:tc>
      </w:tr>
      <w:tr>
        <w:tc>
          <w:tcPr/>
          <w:p>
            <w:pPr>
              <w:pStyle w:val="Compact"/>
              <w:jc w:val="left"/>
            </w:pPr>
            <w:r>
              <w:t xml:space="preserve">Zamansızlık ve kalite</w:t>
            </w:r>
          </w:p>
        </w:tc>
        <w:tc>
          <w:tcPr/>
          <w:p>
            <w:pPr>
              <w:pStyle w:val="Compact"/>
              <w:jc w:val="left"/>
            </w:pPr>
            <w:r>
              <w:t xml:space="preserve">18</w:t>
            </w:r>
          </w:p>
        </w:tc>
        <w:tc>
          <w:tcPr/>
          <w:p>
            <w:pPr>
              <w:pStyle w:val="Compact"/>
              <w:jc w:val="left"/>
            </w:pPr>
            <w:r>
              <w:t xml:space="preserve">8,0</w:t>
            </w:r>
          </w:p>
        </w:tc>
      </w:tr>
      <w:tr>
        <w:tc>
          <w:tcPr/>
          <w:p>
            <w:pPr>
              <w:pStyle w:val="Compact"/>
              <w:jc w:val="left"/>
            </w:pPr>
            <w:r>
              <w:t xml:space="preserve">Doğallık ve sürdürülebilirlik</w:t>
            </w:r>
          </w:p>
        </w:tc>
        <w:tc>
          <w:tcPr/>
          <w:p>
            <w:pPr>
              <w:pStyle w:val="Compact"/>
              <w:jc w:val="left"/>
            </w:pPr>
            <w:r>
              <w:t xml:space="preserve">17</w:t>
            </w:r>
          </w:p>
        </w:tc>
        <w:tc>
          <w:tcPr/>
          <w:p>
            <w:pPr>
              <w:pStyle w:val="Compact"/>
              <w:jc w:val="left"/>
            </w:pPr>
            <w:r>
              <w:t xml:space="preserve">7,6</w:t>
            </w:r>
          </w:p>
        </w:tc>
      </w:tr>
      <w:tr>
        <w:tc>
          <w:tcPr/>
          <w:p>
            <w:pPr>
              <w:pStyle w:val="Compact"/>
              <w:jc w:val="left"/>
            </w:pPr>
            <w:r>
              <w:t xml:space="preserve">Zanaat ve el emeği</w:t>
            </w:r>
          </w:p>
        </w:tc>
        <w:tc>
          <w:tcPr/>
          <w:p>
            <w:pPr>
              <w:pStyle w:val="Compact"/>
              <w:jc w:val="left"/>
            </w:pPr>
            <w:r>
              <w:t xml:space="preserve">15</w:t>
            </w:r>
          </w:p>
        </w:tc>
        <w:tc>
          <w:tcPr/>
          <w:p>
            <w:pPr>
              <w:pStyle w:val="Compact"/>
              <w:jc w:val="left"/>
            </w:pPr>
            <w:r>
              <w:t xml:space="preserve">6,7</w:t>
            </w:r>
          </w:p>
        </w:tc>
      </w:tr>
      <w:tr>
        <w:tc>
          <w:tcPr/>
          <w:p>
            <w:pPr>
              <w:pStyle w:val="Compact"/>
              <w:jc w:val="left"/>
            </w:pPr>
            <w:r>
              <w:t xml:space="preserve">Duyusallık ve koku</w:t>
            </w:r>
          </w:p>
        </w:tc>
        <w:tc>
          <w:tcPr/>
          <w:p>
            <w:pPr>
              <w:pStyle w:val="Compact"/>
              <w:jc w:val="left"/>
            </w:pPr>
            <w:r>
              <w:t xml:space="preserve">10</w:t>
            </w:r>
          </w:p>
        </w:tc>
        <w:tc>
          <w:tcPr/>
          <w:p>
            <w:pPr>
              <w:pStyle w:val="Compact"/>
              <w:jc w:val="left"/>
            </w:pPr>
            <w:r>
              <w:t xml:space="preserve">4,4</w:t>
            </w:r>
          </w:p>
        </w:tc>
      </w:tr>
      <w:tr>
        <w:tc>
          <w:tcPr/>
          <w:p>
            <w:pPr>
              <w:pStyle w:val="Compact"/>
              <w:jc w:val="left"/>
            </w:pPr>
            <w:r>
              <w:t xml:space="preserve">Sadelik ve minimalizm</w:t>
            </w:r>
          </w:p>
        </w:tc>
        <w:tc>
          <w:tcPr/>
          <w:p>
            <w:pPr>
              <w:pStyle w:val="Compact"/>
              <w:jc w:val="left"/>
            </w:pPr>
            <w:r>
              <w:t xml:space="preserve">8</w:t>
            </w:r>
          </w:p>
        </w:tc>
        <w:tc>
          <w:tcPr/>
          <w:p>
            <w:pPr>
              <w:pStyle w:val="Compact"/>
              <w:jc w:val="left"/>
            </w:pPr>
            <w:r>
              <w:t xml:space="preserve">3,6</w:t>
            </w:r>
          </w:p>
        </w:tc>
      </w:tr>
    </w:tbl>
    <w:p>
      <w:pPr>
        <w:pStyle w:val="BodyText"/>
      </w:pPr>
      <w:r>
        <w:t xml:space="preserve">Burada dikkat çekici olan,</w:t>
      </w:r>
      <w:r>
        <w:t xml:space="preserve"> </w:t>
      </w:r>
      <w:r>
        <w:rPr>
          <w:bCs/>
          <w:b/>
        </w:rPr>
        <w:t xml:space="preserve">duyusallık kümesinin sondan ikinci sırada</w:t>
      </w:r>
      <w:r>
        <w:t xml:space="preserve"> </w:t>
      </w:r>
      <w:r>
        <w:t xml:space="preserve">yer almasıdır. Doğrudan duyuya gönderme yapan etiketler (koku, esans, duyusal, duyusallık, dinleme, dokusal, ışık, sıcaklık) tüm etiketlerin yalnızca %4,9’unu oluşturmaktadır. Oysa atölyenin kuramsal girişi beş duyu ve bedensel algı üzerine kurulmuş; Çalışma Kâğıdı 1 beş duyu için ayrı kutular ayırmış; Çalışma Kâğıdı 3’te</w:t>
      </w:r>
      <w:r>
        <w:t xml:space="preserve"> </w:t>
      </w:r>
      <w:r>
        <w:t xml:space="preserve">“</w:t>
      </w:r>
      <w:r>
        <w:t xml:space="preserve">Deneyim + Duyu</w:t>
      </w:r>
      <w:r>
        <w:t xml:space="preserve">”</w:t>
      </w:r>
      <w:r>
        <w:t xml:space="preserve"> </w:t>
      </w:r>
      <w:r>
        <w:t xml:space="preserve">başlığı ayrı bir alan olarak yer almıştır. Yani duyusal çerçeve araçta mevcuttur, ancak</w:t>
      </w:r>
      <w:r>
        <w:t xml:space="preserve"> </w:t>
      </w:r>
      <w:r>
        <w:rPr>
          <w:iCs/>
          <w:i/>
        </w:rPr>
        <w:t xml:space="preserve">anahtar kelime üretimine</w:t>
      </w:r>
      <w:r>
        <w:t xml:space="preserve"> </w:t>
      </w:r>
      <w:r>
        <w:t xml:space="preserve">taşınmamaktadır. Öğrenciler duyuyu bir</w:t>
      </w:r>
      <w:r>
        <w:t xml:space="preserve"> </w:t>
      </w:r>
      <w:r>
        <w:t xml:space="preserve">“</w:t>
      </w:r>
      <w:r>
        <w:t xml:space="preserve">deneyim açıklaması</w:t>
      </w:r>
      <w:r>
        <w:t xml:space="preserve">”</w:t>
      </w:r>
      <w:r>
        <w:t xml:space="preserve"> </w:t>
      </w:r>
      <w:r>
        <w:t xml:space="preserve">olarak yazmakta, bir</w:t>
      </w:r>
      <w:r>
        <w:t xml:space="preserve"> </w:t>
      </w:r>
      <w:r>
        <w:t xml:space="preserve">“</w:t>
      </w:r>
      <w:r>
        <w:t xml:space="preserve">kimlik niteliği</w:t>
      </w:r>
      <w:r>
        <w:t xml:space="preserve">”</w:t>
      </w:r>
      <w:r>
        <w:t xml:space="preserve"> </w:t>
      </w:r>
      <w:r>
        <w:t xml:space="preserve">olarak kodlamamaktadır.</w:t>
      </w:r>
    </w:p>
    <w:bookmarkEnd w:id="36"/>
    <w:bookmarkStart w:id="37" w:name="çeviri-özgüllüğü-temel-bulgu"/>
    <w:p>
      <w:pPr>
        <w:pStyle w:val="Heading3"/>
      </w:pPr>
      <w:r>
        <w:t xml:space="preserve">4.4. Çeviri özgüllüğü: temel bulgu</w:t>
      </w:r>
    </w:p>
    <w:p>
      <w:pPr>
        <w:pStyle w:val="FirstParagraph"/>
      </w:pPr>
      <w:r>
        <w:t xml:space="preserve">Yetmiş beş marka önerisinin ÇÖD dağılımı şöyledir: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ÇÖD</w:t>
            </w:r>
          </w:p>
        </w:tc>
        <w:tc>
          <w:tcPr/>
          <w:p>
            <w:pPr>
              <w:pStyle w:val="Compact"/>
              <w:jc w:val="left"/>
            </w:pPr>
            <w:r>
              <w:t xml:space="preserve">n</w:t>
            </w:r>
          </w:p>
        </w:tc>
        <w:tc>
          <w:tcPr/>
          <w:p>
            <w:pPr>
              <w:pStyle w:val="Compact"/>
              <w:jc w:val="left"/>
            </w:pPr>
            <w:r>
              <w:t xml:space="preserve">%</w:t>
            </w:r>
          </w:p>
        </w:tc>
        <w:tc>
          <w:tcPr/>
          <w:p>
            <w:pPr>
              <w:pStyle w:val="Compact"/>
              <w:jc w:val="left"/>
            </w:pPr>
            <w:r>
              <w:t xml:space="preserve">Kümülatif</w:t>
            </w:r>
          </w:p>
        </w:tc>
      </w:tr>
      <w:tr>
        <w:tc>
          <w:tcPr/>
          <w:p>
            <w:pPr>
              <w:pStyle w:val="Compact"/>
              <w:jc w:val="left"/>
            </w:pPr>
            <w:r>
              <w:t xml:space="preserve">0 — mekânsal değil</w:t>
            </w:r>
          </w:p>
        </w:tc>
        <w:tc>
          <w:tcPr/>
          <w:p>
            <w:pPr>
              <w:pStyle w:val="Compact"/>
              <w:jc w:val="left"/>
            </w:pPr>
            <w:r>
              <w:t xml:space="preserve">2</w:t>
            </w:r>
          </w:p>
        </w:tc>
        <w:tc>
          <w:tcPr/>
          <w:p>
            <w:pPr>
              <w:pStyle w:val="Compact"/>
              <w:jc w:val="left"/>
            </w:pPr>
            <w:r>
              <w:t xml:space="preserve">2,7</w:t>
            </w:r>
          </w:p>
        </w:tc>
        <w:tc>
          <w:tcPr/>
          <w:p>
            <w:pPr>
              <w:pStyle w:val="Compact"/>
              <w:jc w:val="left"/>
            </w:pPr>
            <w:r>
              <w:t xml:space="preserve">2,7</w:t>
            </w:r>
          </w:p>
        </w:tc>
      </w:tr>
      <w:tr>
        <w:tc>
          <w:tcPr/>
          <w:p>
            <w:pPr>
              <w:pStyle w:val="Compact"/>
              <w:jc w:val="left"/>
            </w:pPr>
            <w:r>
              <w:t xml:space="preserve">1 — genel atmosfer sıfatı</w:t>
            </w:r>
          </w:p>
        </w:tc>
        <w:tc>
          <w:tcPr/>
          <w:p>
            <w:pPr>
              <w:pStyle w:val="Compact"/>
              <w:jc w:val="left"/>
            </w:pPr>
            <w:r>
              <w:t xml:space="preserve">12</w:t>
            </w:r>
          </w:p>
        </w:tc>
        <w:tc>
          <w:tcPr/>
          <w:p>
            <w:pPr>
              <w:pStyle w:val="Compact"/>
              <w:jc w:val="left"/>
            </w:pPr>
            <w:r>
              <w:t xml:space="preserve">16,0</w:t>
            </w:r>
          </w:p>
        </w:tc>
        <w:tc>
          <w:tcPr/>
          <w:p>
            <w:pPr>
              <w:pStyle w:val="Compact"/>
              <w:jc w:val="left"/>
            </w:pPr>
            <w:r>
              <w:t xml:space="preserve">18,7</w:t>
            </w:r>
          </w:p>
        </w:tc>
      </w:tr>
      <w:tr>
        <w:tc>
          <w:tcPr/>
          <w:p>
            <w:pPr>
              <w:pStyle w:val="Compact"/>
              <w:jc w:val="left"/>
            </w:pPr>
            <w:r>
              <w:t xml:space="preserve">2 — adlandırılmış tasarım öğesi</w:t>
            </w:r>
          </w:p>
        </w:tc>
        <w:tc>
          <w:tcPr/>
          <w:p>
            <w:pPr>
              <w:pStyle w:val="Compact"/>
              <w:jc w:val="left"/>
            </w:pPr>
            <w:r>
              <w:t xml:space="preserve">35</w:t>
            </w:r>
          </w:p>
        </w:tc>
        <w:tc>
          <w:tcPr/>
          <w:p>
            <w:pPr>
              <w:pStyle w:val="Compact"/>
              <w:jc w:val="left"/>
            </w:pPr>
            <w:r>
              <w:t xml:space="preserve">46,7</w:t>
            </w:r>
          </w:p>
        </w:tc>
        <w:tc>
          <w:tcPr/>
          <w:p>
            <w:pPr>
              <w:pStyle w:val="Compact"/>
              <w:jc w:val="left"/>
            </w:pPr>
            <w:r>
              <w:t xml:space="preserve">65,3</w:t>
            </w:r>
          </w:p>
        </w:tc>
      </w:tr>
      <w:tr>
        <w:tc>
          <w:tcPr/>
          <w:p>
            <w:pPr>
              <w:pStyle w:val="Compact"/>
              <w:jc w:val="left"/>
            </w:pPr>
            <w:r>
              <w:t xml:space="preserve">3 — çizilebilir mekânsal aygıt</w:t>
            </w:r>
          </w:p>
        </w:tc>
        <w:tc>
          <w:tcPr/>
          <w:p>
            <w:pPr>
              <w:pStyle w:val="Compact"/>
              <w:jc w:val="left"/>
            </w:pPr>
            <w:r>
              <w:t xml:space="preserve">26</w:t>
            </w:r>
          </w:p>
        </w:tc>
        <w:tc>
          <w:tcPr/>
          <w:p>
            <w:pPr>
              <w:pStyle w:val="Compact"/>
              <w:jc w:val="left"/>
            </w:pPr>
            <w:r>
              <w:t xml:space="preserve">34,7</w:t>
            </w:r>
          </w:p>
        </w:tc>
        <w:tc>
          <w:tcPr/>
          <w:p>
            <w:pPr>
              <w:pStyle w:val="Compact"/>
              <w:jc w:val="left"/>
            </w:pPr>
            <w:r>
              <w:t xml:space="preserve">100,0</w:t>
            </w:r>
          </w:p>
        </w:tc>
      </w:tr>
    </w:tbl>
    <w:p>
      <w:pPr>
        <w:pStyle w:val="BodyText"/>
      </w:pPr>
      <w:r>
        <w:t xml:space="preserve">Ortalama ÇÖD 2,13’tür. Önerilerin %81,3’ü işlemsel bir karara ulaşmakta (ÇÖD ≥ 2); yani öğrencilerin büyük çoğunluğu anahtar kelimeyi en azından bir tasarım öğesiyle eşleştirebilmektedir. Ancak yalnızca üçte birinden biraz fazlası (%34,7), o öğenin mekânla kurduğu ilişkiyi tanımlayan düzeye ulaşmaktadır. Düzey 2’de biriken %46,7’lik kütle, bu araştırmanın en öğretici bulgusudur:</w:t>
      </w:r>
      <w:r>
        <w:t xml:space="preserve"> </w:t>
      </w:r>
      <w:r>
        <w:rPr>
          <w:bCs/>
          <w:b/>
        </w:rPr>
        <w:t xml:space="preserve">Öğrencilerin çoğunluğu</w:t>
      </w:r>
      <w:r>
        <w:rPr>
          <w:bCs/>
          <w:b/>
        </w:rPr>
        <w:t xml:space="preserve"> </w:t>
      </w:r>
      <w:r>
        <w:rPr>
          <w:bCs/>
          <w:b/>
        </w:rPr>
        <w:t xml:space="preserve">“</w:t>
      </w:r>
      <w:r>
        <w:rPr>
          <w:bCs/>
          <w:b/>
        </w:rPr>
        <w:t xml:space="preserve">ne</w:t>
      </w:r>
      <w:r>
        <w:rPr>
          <w:bCs/>
          <w:b/>
        </w:rPr>
        <w:t xml:space="preserve">”</w:t>
      </w:r>
      <w:r>
        <w:rPr>
          <w:bCs/>
          <w:b/>
        </w:rPr>
        <w:t xml:space="preserve"> </w:t>
      </w:r>
      <w:r>
        <w:rPr>
          <w:bCs/>
          <w:b/>
        </w:rPr>
        <w:t xml:space="preserve">sorusunu yanıtlamakta,</w:t>
      </w:r>
      <w:r>
        <w:rPr>
          <w:bCs/>
          <w:b/>
        </w:rPr>
        <w:t xml:space="preserve"> </w:t>
      </w:r>
      <w:r>
        <w:rPr>
          <w:bCs/>
          <w:b/>
        </w:rPr>
        <w:t xml:space="preserve">“</w:t>
      </w:r>
      <w:r>
        <w:rPr>
          <w:bCs/>
          <w:b/>
        </w:rPr>
        <w:t xml:space="preserve">nerede, neyle, hangi ilişkide</w:t>
      </w:r>
      <w:r>
        <w:rPr>
          <w:bCs/>
          <w:b/>
        </w:rPr>
        <w:t xml:space="preserve">”</w:t>
      </w:r>
      <w:r>
        <w:rPr>
          <w:bCs/>
          <w:b/>
        </w:rPr>
        <w:t xml:space="preserve"> </w:t>
      </w:r>
      <w:r>
        <w:rPr>
          <w:bCs/>
          <w:b/>
        </w:rPr>
        <w:t xml:space="preserve">sorusunu yanıtlamamaktadır.</w:t>
      </w:r>
    </w:p>
    <w:p>
      <w:pPr>
        <w:pStyle w:val="BodyText"/>
      </w:pPr>
      <w:r>
        <w:t xml:space="preserve">Öğrenci düzeyinde bakıldığında varyans çarpıcıdır. Yirmi beş öğrencinin ortalama ÇÖD değerleri 0,33 ile 3,00 arasında dağılmaktadır; medyan 2,00’dır. Beş öğrenci (%20) üç önerisinin tamamında Düzey 3’e ulaşmıştır. Dört öğrenci (%16) ise 1,33 ve altında kalmıştır.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Ortalama ÇÖD</w:t>
            </w:r>
          </w:p>
        </w:tc>
        <w:tc>
          <w:tcPr/>
          <w:p>
            <w:pPr>
              <w:pStyle w:val="Compact"/>
              <w:jc w:val="left"/>
            </w:pPr>
            <w:r>
              <w:t xml:space="preserve">Öğrenci sayısı</w:t>
            </w:r>
          </w:p>
        </w:tc>
        <w:tc>
          <w:tcPr/>
          <w:p>
            <w:pPr>
              <w:pStyle w:val="Compact"/>
              <w:jc w:val="left"/>
            </w:pPr>
            <w:r>
              <w:t xml:space="preserve">%</w:t>
            </w:r>
          </w:p>
        </w:tc>
      </w:tr>
      <w:tr>
        <w:tc>
          <w:tcPr/>
          <w:p>
            <w:pPr>
              <w:pStyle w:val="Compact"/>
              <w:jc w:val="left"/>
            </w:pPr>
            <w:r>
              <w:t xml:space="preserve">3,00</w:t>
            </w:r>
          </w:p>
        </w:tc>
        <w:tc>
          <w:tcPr/>
          <w:p>
            <w:pPr>
              <w:pStyle w:val="Compact"/>
              <w:jc w:val="left"/>
            </w:pPr>
            <w:r>
              <w:t xml:space="preserve">5</w:t>
            </w:r>
          </w:p>
        </w:tc>
        <w:tc>
          <w:tcPr/>
          <w:p>
            <w:pPr>
              <w:pStyle w:val="Compact"/>
              <w:jc w:val="left"/>
            </w:pPr>
            <w:r>
              <w:t xml:space="preserve">20,0</w:t>
            </w:r>
          </w:p>
        </w:tc>
      </w:tr>
      <w:tr>
        <w:tc>
          <w:tcPr/>
          <w:p>
            <w:pPr>
              <w:pStyle w:val="Compact"/>
              <w:jc w:val="left"/>
            </w:pPr>
            <w:r>
              <w:t xml:space="preserve">2,33 – 2,67</w:t>
            </w:r>
          </w:p>
        </w:tc>
        <w:tc>
          <w:tcPr/>
          <w:p>
            <w:pPr>
              <w:pStyle w:val="Compact"/>
              <w:jc w:val="left"/>
            </w:pPr>
            <w:r>
              <w:t xml:space="preserve">7</w:t>
            </w:r>
          </w:p>
        </w:tc>
        <w:tc>
          <w:tcPr/>
          <w:p>
            <w:pPr>
              <w:pStyle w:val="Compact"/>
              <w:jc w:val="left"/>
            </w:pPr>
            <w:r>
              <w:t xml:space="preserve">28,0</w:t>
            </w:r>
          </w:p>
        </w:tc>
      </w:tr>
      <w:tr>
        <w:tc>
          <w:tcPr/>
          <w:p>
            <w:pPr>
              <w:pStyle w:val="Compact"/>
              <w:jc w:val="left"/>
            </w:pPr>
            <w:r>
              <w:t xml:space="preserve">2,00</w:t>
            </w:r>
          </w:p>
        </w:tc>
        <w:tc>
          <w:tcPr/>
          <w:p>
            <w:pPr>
              <w:pStyle w:val="Compact"/>
              <w:jc w:val="left"/>
            </w:pPr>
            <w:r>
              <w:t xml:space="preserve">7</w:t>
            </w:r>
          </w:p>
        </w:tc>
        <w:tc>
          <w:tcPr/>
          <w:p>
            <w:pPr>
              <w:pStyle w:val="Compact"/>
              <w:jc w:val="left"/>
            </w:pPr>
            <w:r>
              <w:t xml:space="preserve">28,0</w:t>
            </w:r>
          </w:p>
        </w:tc>
      </w:tr>
      <w:tr>
        <w:tc>
          <w:tcPr/>
          <w:p>
            <w:pPr>
              <w:pStyle w:val="Compact"/>
              <w:jc w:val="left"/>
            </w:pPr>
            <w:r>
              <w:t xml:space="preserve">1,00 – 1,67</w:t>
            </w:r>
          </w:p>
        </w:tc>
        <w:tc>
          <w:tcPr/>
          <w:p>
            <w:pPr>
              <w:pStyle w:val="Compact"/>
              <w:jc w:val="left"/>
            </w:pPr>
            <w:r>
              <w:t xml:space="preserve">5</w:t>
            </w:r>
          </w:p>
        </w:tc>
        <w:tc>
          <w:tcPr/>
          <w:p>
            <w:pPr>
              <w:pStyle w:val="Compact"/>
              <w:jc w:val="left"/>
            </w:pPr>
            <w:r>
              <w:t xml:space="preserve">20,0</w:t>
            </w:r>
          </w:p>
        </w:tc>
      </w:tr>
      <w:tr>
        <w:tc>
          <w:tcPr/>
          <w:p>
            <w:pPr>
              <w:pStyle w:val="Compact"/>
              <w:jc w:val="left"/>
            </w:pPr>
            <w:r>
              <w:t xml:space="preserve">0,33</w:t>
            </w:r>
          </w:p>
        </w:tc>
        <w:tc>
          <w:tcPr/>
          <w:p>
            <w:pPr>
              <w:pStyle w:val="Compact"/>
              <w:jc w:val="left"/>
            </w:pPr>
            <w:r>
              <w:t xml:space="preserve">1</w:t>
            </w:r>
          </w:p>
        </w:tc>
        <w:tc>
          <w:tcPr/>
          <w:p>
            <w:pPr>
              <w:pStyle w:val="Compact"/>
              <w:jc w:val="left"/>
            </w:pPr>
            <w:r>
              <w:t xml:space="preserve">4,0</w:t>
            </w:r>
          </w:p>
        </w:tc>
      </w:tr>
    </w:tbl>
    <w:p>
      <w:pPr>
        <w:pStyle w:val="BodyText"/>
      </w:pPr>
      <w:r>
        <w:t xml:space="preserve">Bu dağılımın en önemli özelliği,</w:t>
      </w:r>
      <w:r>
        <w:t xml:space="preserve"> </w:t>
      </w:r>
      <w:r>
        <w:rPr>
          <w:bCs/>
          <w:b/>
        </w:rPr>
        <w:t xml:space="preserve">aynı araç, aynı brif ve aynı süre altında</w:t>
      </w:r>
      <w:r>
        <w:t xml:space="preserve"> </w:t>
      </w:r>
      <w:r>
        <w:t xml:space="preserve">ortaya çıkmış olmasıdır. Çeviri becerisinin bu kadar geniş bir aralığa yayılması, becerinin bireysel yetenekten çok, henüz öğretilmemiş bir</w:t>
      </w:r>
      <w:r>
        <w:t xml:space="preserve"> </w:t>
      </w:r>
      <w:r>
        <w:rPr>
          <w:iCs/>
          <w:i/>
        </w:rPr>
        <w:t xml:space="preserve">yöntem</w:t>
      </w:r>
      <w:r>
        <w:t xml:space="preserve"> </w:t>
      </w:r>
      <w:r>
        <w:t xml:space="preserve">eksikliğine bağlı olduğunu düşündürmektedir. Yetenek farkı bu genlikte bir dağılımı açıklamaz; yöntem farkı açıklar.</w:t>
      </w:r>
    </w:p>
    <w:p>
      <w:pPr>
        <w:pStyle w:val="BodyText"/>
      </w:pPr>
      <w:r>
        <w:t xml:space="preserve">Marka özelliklerinin ÇÖD üzerindeki etkisi zayıftır. Türkiye menşeli markalarda ortalama 2,11, yurt dışı menşelilerde 2,21; niş markalarda 2,11, kurumsal markalarda 2,21’dir. Yani çeviri başarısı markanın kendisinden çok öğrenciden kaynaklanmaktadır. Buna karşılık ürün kategorisine göre farklılık daha belirgindir: ev ve yaşam ürünleri (2,46), aksesuar ve deri (2,33), takı ve mücevher (2,30) kategorilerinde ortalama yüksekken; giyim (1,88), kitap-plak-kırtasiye (1,67) ve kozmetik-bakım (1,60) kategorilerinde düşüktür.</w:t>
      </w:r>
    </w:p>
    <w:p>
      <w:pPr>
        <w:pStyle w:val="BodyText"/>
      </w:pPr>
      <w:r>
        <w:t xml:space="preserve">Bu fark anlamlıdır. Ev ürünleri, takı ve deri ürünleri, tekil nesne olarak sergilenen, ölçek olarak kavranabilir ve dokunmayı davet eden ürünlerdir; bu nedenle</w:t>
      </w:r>
      <w:r>
        <w:t xml:space="preserve"> </w:t>
      </w:r>
      <w:r>
        <w:t xml:space="preserve">“</w:t>
      </w:r>
      <w:r>
        <w:t xml:space="preserve">kaide</w:t>
      </w:r>
      <w:r>
        <w:t xml:space="preserve">”</w:t>
      </w:r>
      <w:r>
        <w:t xml:space="preserve">,</w:t>
      </w:r>
      <w:r>
        <w:t xml:space="preserve"> </w:t>
      </w:r>
      <w:r>
        <w:t xml:space="preserve">“</w:t>
      </w:r>
      <w:r>
        <w:t xml:space="preserve">niş</w:t>
      </w:r>
      <w:r>
        <w:t xml:space="preserve">”</w:t>
      </w:r>
      <w:r>
        <w:t xml:space="preserve">,</w:t>
      </w:r>
      <w:r>
        <w:t xml:space="preserve"> </w:t>
      </w:r>
      <w:r>
        <w:t xml:space="preserve">“</w:t>
      </w:r>
      <w:r>
        <w:t xml:space="preserve">vitrin</w:t>
      </w:r>
      <w:r>
        <w:t xml:space="preserve">”</w:t>
      </w:r>
      <w:r>
        <w:t xml:space="preserve">,</w:t>
      </w:r>
      <w:r>
        <w:t xml:space="preserve"> </w:t>
      </w:r>
      <w:r>
        <w:t xml:space="preserve">“</w:t>
      </w:r>
      <w:r>
        <w:t xml:space="preserve">malzeme</w:t>
      </w:r>
      <w:r>
        <w:t xml:space="preserve">”</w:t>
      </w:r>
      <w:r>
        <w:t xml:space="preserve"> </w:t>
      </w:r>
      <w:r>
        <w:t xml:space="preserve">gibi mekânsal karşılıkları daha hızlı çağırırlar. Giyim ise en çok seçilen kategori olmasına rağmen en düşük ortalamalardan birine sahiptir — çünkü giyim mağazası, öğrencinin zihnindeki en yerleşik ve en genelleşmiş şablondur.</w:t>
      </w:r>
      <w:r>
        <w:t xml:space="preserve"> </w:t>
      </w:r>
      <w:r>
        <w:rPr>
          <w:iCs/>
          <w:i/>
        </w:rPr>
        <w:t xml:space="preserve">Tanıdıklık, çeviriyi kolaylaştırmaz; aksine şablona geri çeker.</w:t>
      </w:r>
    </w:p>
    <w:bookmarkEnd w:id="37"/>
    <w:bookmarkStart w:id="38" w:name="tasarım-aygıtı-repertuvarı"/>
    <w:p>
      <w:pPr>
        <w:pStyle w:val="Heading3"/>
      </w:pPr>
      <w:r>
        <w:t xml:space="preserve">4.5. Tasarım aygıtı repertuvarı</w:t>
      </w:r>
    </w:p>
    <w:p>
      <w:pPr>
        <w:pStyle w:val="FirstParagraph"/>
      </w:pPr>
      <w:r>
        <w:t xml:space="preserve">Çeviri kararlarının hangi aygıt ailelerine dağıldığı, repertuvarın yapısal dengesizliğini ortaya koymaktadır: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Tasarım aygıtı ailesi</w:t>
            </w:r>
          </w:p>
        </w:tc>
        <w:tc>
          <w:tcPr/>
          <w:p>
            <w:pPr>
              <w:pStyle w:val="Compact"/>
              <w:jc w:val="left"/>
            </w:pPr>
            <w:r>
              <w:t xml:space="preserve">Öneri sayısı</w:t>
            </w:r>
          </w:p>
        </w:tc>
        <w:tc>
          <w:tcPr/>
          <w:p>
            <w:pPr>
              <w:pStyle w:val="Compact"/>
              <w:jc w:val="left"/>
            </w:pPr>
            <w:r>
              <w:t xml:space="preserve">%</w:t>
            </w:r>
          </w:p>
        </w:tc>
      </w:tr>
      <w:tr>
        <w:tc>
          <w:tcPr/>
          <w:p>
            <w:pPr>
              <w:pStyle w:val="Compact"/>
              <w:jc w:val="left"/>
            </w:pPr>
            <w:r>
              <w:t xml:space="preserve">Sergileme birimi (raf, kaide, vitrin, niş)</w:t>
            </w:r>
          </w:p>
        </w:tc>
        <w:tc>
          <w:tcPr/>
          <w:p>
            <w:pPr>
              <w:pStyle w:val="Compact"/>
              <w:jc w:val="left"/>
            </w:pPr>
            <w:r>
              <w:t xml:space="preserve">55</w:t>
            </w:r>
          </w:p>
        </w:tc>
        <w:tc>
          <w:tcPr/>
          <w:p>
            <w:pPr>
              <w:pStyle w:val="Compact"/>
              <w:jc w:val="left"/>
            </w:pPr>
            <w:r>
              <w:t xml:space="preserve">73</w:t>
            </w:r>
          </w:p>
        </w:tc>
      </w:tr>
      <w:tr>
        <w:tc>
          <w:tcPr/>
          <w:p>
            <w:pPr>
              <w:pStyle w:val="Compact"/>
              <w:jc w:val="left"/>
            </w:pPr>
            <w:r>
              <w:t xml:space="preserve">Malzeme ve yüzey</w:t>
            </w:r>
          </w:p>
        </w:tc>
        <w:tc>
          <w:tcPr/>
          <w:p>
            <w:pPr>
              <w:pStyle w:val="Compact"/>
              <w:jc w:val="left"/>
            </w:pPr>
            <w:r>
              <w:t xml:space="preserve">45</w:t>
            </w:r>
          </w:p>
        </w:tc>
        <w:tc>
          <w:tcPr/>
          <w:p>
            <w:pPr>
              <w:pStyle w:val="Compact"/>
              <w:jc w:val="left"/>
            </w:pPr>
            <w:r>
              <w:t xml:space="preserve">60</w:t>
            </w:r>
          </w:p>
        </w:tc>
      </w:tr>
      <w:tr>
        <w:tc>
          <w:tcPr/>
          <w:p>
            <w:pPr>
              <w:pStyle w:val="Compact"/>
              <w:jc w:val="left"/>
            </w:pPr>
            <w:r>
              <w:t xml:space="preserve">Aydınlatma</w:t>
            </w:r>
          </w:p>
        </w:tc>
        <w:tc>
          <w:tcPr/>
          <w:p>
            <w:pPr>
              <w:pStyle w:val="Compact"/>
              <w:jc w:val="left"/>
            </w:pPr>
            <w:r>
              <w:t xml:space="preserve">19</w:t>
            </w:r>
          </w:p>
        </w:tc>
        <w:tc>
          <w:tcPr/>
          <w:p>
            <w:pPr>
              <w:pStyle w:val="Compact"/>
              <w:jc w:val="left"/>
            </w:pPr>
            <w:r>
              <w:t xml:space="preserve">25</w:t>
            </w:r>
          </w:p>
        </w:tc>
      </w:tr>
      <w:tr>
        <w:tc>
          <w:tcPr/>
          <w:p>
            <w:pPr>
              <w:pStyle w:val="Compact"/>
              <w:jc w:val="left"/>
            </w:pPr>
            <w:r>
              <w:t xml:space="preserve">Kişiselleştirme ve etkileşim istasyonu</w:t>
            </w:r>
          </w:p>
        </w:tc>
        <w:tc>
          <w:tcPr/>
          <w:p>
            <w:pPr>
              <w:pStyle w:val="Compact"/>
              <w:jc w:val="left"/>
            </w:pPr>
            <w:r>
              <w:t xml:space="preserve">14</w:t>
            </w:r>
          </w:p>
        </w:tc>
        <w:tc>
          <w:tcPr/>
          <w:p>
            <w:pPr>
              <w:pStyle w:val="Compact"/>
              <w:jc w:val="left"/>
            </w:pPr>
            <w:r>
              <w:t xml:space="preserve">19</w:t>
            </w:r>
          </w:p>
        </w:tc>
      </w:tr>
      <w:tr>
        <w:tc>
          <w:tcPr/>
          <w:p>
            <w:pPr>
              <w:pStyle w:val="Compact"/>
              <w:jc w:val="left"/>
            </w:pPr>
            <w:r>
              <w:t xml:space="preserve">Dolaşım ve plan kurgusu</w:t>
            </w:r>
          </w:p>
        </w:tc>
        <w:tc>
          <w:tcPr/>
          <w:p>
            <w:pPr>
              <w:pStyle w:val="Compact"/>
              <w:jc w:val="left"/>
            </w:pPr>
            <w:r>
              <w:t xml:space="preserve">14</w:t>
            </w:r>
          </w:p>
        </w:tc>
        <w:tc>
          <w:tcPr/>
          <w:p>
            <w:pPr>
              <w:pStyle w:val="Compact"/>
              <w:jc w:val="left"/>
            </w:pPr>
            <w:r>
              <w:t xml:space="preserve">19</w:t>
            </w:r>
          </w:p>
        </w:tc>
      </w:tr>
      <w:tr>
        <w:tc>
          <w:tcPr/>
          <w:p>
            <w:pPr>
              <w:pStyle w:val="Compact"/>
              <w:jc w:val="left"/>
            </w:pPr>
            <w:r>
              <w:t xml:space="preserve">Renk</w:t>
            </w:r>
          </w:p>
        </w:tc>
        <w:tc>
          <w:tcPr/>
          <w:p>
            <w:pPr>
              <w:pStyle w:val="Compact"/>
              <w:jc w:val="left"/>
            </w:pPr>
            <w:r>
              <w:t xml:space="preserve">13</w:t>
            </w:r>
          </w:p>
        </w:tc>
        <w:tc>
          <w:tcPr/>
          <w:p>
            <w:pPr>
              <w:pStyle w:val="Compact"/>
              <w:jc w:val="left"/>
            </w:pPr>
            <w:r>
              <w:t xml:space="preserve">17</w:t>
            </w:r>
          </w:p>
        </w:tc>
      </w:tr>
      <w:tr>
        <w:tc>
          <w:tcPr/>
          <w:p>
            <w:pPr>
              <w:pStyle w:val="Compact"/>
              <w:jc w:val="left"/>
            </w:pPr>
            <w:r>
              <w:t xml:space="preserve">Grafik ve anlatı yüzeyi</w:t>
            </w:r>
          </w:p>
        </w:tc>
        <w:tc>
          <w:tcPr/>
          <w:p>
            <w:pPr>
              <w:pStyle w:val="Compact"/>
              <w:jc w:val="left"/>
            </w:pPr>
            <w:r>
              <w:t xml:space="preserve">12</w:t>
            </w:r>
          </w:p>
        </w:tc>
        <w:tc>
          <w:tcPr/>
          <w:p>
            <w:pPr>
              <w:pStyle w:val="Compact"/>
              <w:jc w:val="left"/>
            </w:pPr>
            <w:r>
              <w:t xml:space="preserve">16</w:t>
            </w:r>
          </w:p>
        </w:tc>
      </w:tr>
      <w:tr>
        <w:tc>
          <w:tcPr/>
          <w:p>
            <w:pPr>
              <w:pStyle w:val="Compact"/>
              <w:jc w:val="left"/>
            </w:pPr>
            <w:r>
              <w:t xml:space="preserve">Oturma ve dinlenme</w:t>
            </w:r>
          </w:p>
        </w:tc>
        <w:tc>
          <w:tcPr/>
          <w:p>
            <w:pPr>
              <w:pStyle w:val="Compact"/>
              <w:jc w:val="left"/>
            </w:pPr>
            <w:r>
              <w:t xml:space="preserve">10</w:t>
            </w:r>
          </w:p>
        </w:tc>
        <w:tc>
          <w:tcPr/>
          <w:p>
            <w:pPr>
              <w:pStyle w:val="Compact"/>
              <w:jc w:val="left"/>
            </w:pPr>
            <w:r>
              <w:t xml:space="preserve">13</w:t>
            </w:r>
          </w:p>
        </w:tc>
      </w:tr>
      <w:tr>
        <w:tc>
          <w:tcPr/>
          <w:p>
            <w:pPr>
              <w:pStyle w:val="Compact"/>
              <w:jc w:val="left"/>
            </w:pPr>
            <w:r>
              <w:t xml:space="preserve">Üretim görünürlüğü (atölye)</w:t>
            </w:r>
          </w:p>
        </w:tc>
        <w:tc>
          <w:tcPr/>
          <w:p>
            <w:pPr>
              <w:pStyle w:val="Compact"/>
              <w:jc w:val="left"/>
            </w:pPr>
            <w:r>
              <w:t xml:space="preserve">8</w:t>
            </w:r>
          </w:p>
        </w:tc>
        <w:tc>
          <w:tcPr/>
          <w:p>
            <w:pPr>
              <w:pStyle w:val="Compact"/>
              <w:jc w:val="left"/>
            </w:pPr>
            <w:r>
              <w:t xml:space="preserve">11</w:t>
            </w:r>
          </w:p>
        </w:tc>
      </w:tr>
      <w:tr>
        <w:tc>
          <w:tcPr/>
          <w:p>
            <w:pPr>
              <w:pStyle w:val="Compact"/>
              <w:jc w:val="left"/>
            </w:pPr>
            <w:r>
              <w:t xml:space="preserve">Dijital ve teknoloji</w:t>
            </w:r>
          </w:p>
        </w:tc>
        <w:tc>
          <w:tcPr/>
          <w:p>
            <w:pPr>
              <w:pStyle w:val="Compact"/>
              <w:jc w:val="left"/>
            </w:pPr>
            <w:r>
              <w:t xml:space="preserve">7</w:t>
            </w:r>
          </w:p>
        </w:tc>
        <w:tc>
          <w:tcPr/>
          <w:p>
            <w:pPr>
              <w:pStyle w:val="Compact"/>
              <w:jc w:val="left"/>
            </w:pPr>
            <w:r>
              <w:t xml:space="preserve">9</w:t>
            </w:r>
          </w:p>
        </w:tc>
      </w:tr>
      <w:tr>
        <w:tc>
          <w:tcPr/>
          <w:p>
            <w:pPr>
              <w:pStyle w:val="Compact"/>
              <w:jc w:val="left"/>
            </w:pPr>
            <w:r>
              <w:t xml:space="preserve">Koku, ses ve duyusal donatı</w:t>
            </w:r>
          </w:p>
        </w:tc>
        <w:tc>
          <w:tcPr/>
          <w:p>
            <w:pPr>
              <w:pStyle w:val="Compact"/>
              <w:jc w:val="left"/>
            </w:pPr>
            <w:r>
              <w:t xml:space="preserve">7</w:t>
            </w:r>
          </w:p>
        </w:tc>
        <w:tc>
          <w:tcPr/>
          <w:p>
            <w:pPr>
              <w:pStyle w:val="Compact"/>
              <w:jc w:val="left"/>
            </w:pPr>
            <w:r>
              <w:t xml:space="preserve">9</w:t>
            </w:r>
          </w:p>
        </w:tc>
      </w:tr>
    </w:tbl>
    <w:p>
      <w:pPr>
        <w:pStyle w:val="BodyText"/>
      </w:pPr>
      <w:r>
        <w:t xml:space="preserve">İki aile — sergileme birimi ve malzeme — repertuvarı domine etmektedir. Dokuz öneri (%12) yalnızca bu iki aileyle sınırlı kalmıştır. Buna karşılık dolaşım ve plan kurgusu önerilerin yalnızca %19’unda; koku, ses ve duyusal donatı yalnızca %9’unda görünmektedir. Öğrenci düzeyinde bakıldığında, 25 öğrenciden yalnızca 11’i en az bir kez dolaşım/plan kararı üretmiş; yalnızca 7’si en az bir kez duyusal donatı kararı üretmiştir.</w:t>
      </w:r>
    </w:p>
    <w:p>
      <w:pPr>
        <w:pStyle w:val="BodyText"/>
      </w:pPr>
      <w:r>
        <w:t xml:space="preserve">Bu dağılım iki eksende okunabilir. Birinci eksen</w:t>
      </w:r>
      <w:r>
        <w:t xml:space="preserve"> </w:t>
      </w:r>
      <w:r>
        <w:rPr>
          <w:bCs/>
          <w:b/>
        </w:rPr>
        <w:t xml:space="preserve">nesne–mekân</w:t>
      </w:r>
      <w:r>
        <w:t xml:space="preserve"> </w:t>
      </w:r>
      <w:r>
        <w:t xml:space="preserve">eksenidir: Öğrenciler markayı</w:t>
      </w:r>
      <w:r>
        <w:t xml:space="preserve"> </w:t>
      </w:r>
      <w:r>
        <w:rPr>
          <w:iCs/>
          <w:i/>
        </w:rPr>
        <w:t xml:space="preserve">nesneye</w:t>
      </w:r>
      <w:r>
        <w:t xml:space="preserve"> </w:t>
      </w:r>
      <w:r>
        <w:t xml:space="preserve">çevirmektedir (raf, kaide, vitrin, yüzey),</w:t>
      </w:r>
      <w:r>
        <w:t xml:space="preserve"> </w:t>
      </w:r>
      <w:r>
        <w:rPr>
          <w:iCs/>
          <w:i/>
        </w:rPr>
        <w:t xml:space="preserve">mekâna</w:t>
      </w:r>
      <w:r>
        <w:t xml:space="preserve"> </w:t>
      </w:r>
      <w:r>
        <w:t xml:space="preserve">değil (rota, görüş hattı, eşik sekansı, bölge ilişkisi). İkinci eksen</w:t>
      </w:r>
      <w:r>
        <w:t xml:space="preserve"> </w:t>
      </w:r>
      <w:r>
        <w:rPr>
          <w:bCs/>
          <w:b/>
        </w:rPr>
        <w:t xml:space="preserve">göz–beden</w:t>
      </w:r>
      <w:r>
        <w:t xml:space="preserve"> </w:t>
      </w:r>
      <w:r>
        <w:t xml:space="preserve">eksenidir: Çeviri, görülebilir olanda yoğunlaşmakta; koklanan, duyulan ve bedenle hissedilen olanda neredeyse yok olmaktadır.</w:t>
      </w:r>
    </w:p>
    <w:p>
      <w:pPr>
        <w:pStyle w:val="BodyText"/>
      </w:pPr>
      <w:r>
        <w:t xml:space="preserve">Aygıt çeşitliliği ile ÇÖD arasında düzenli bir ilişki saptanmıştır. Düzey 1’deki öneriler ortalama 2,08 aygıt ailesine değinirken, Düzey 2’de bu sayı 2,77’ye, Düzey 3’te 3,15’e yükselmektedir. Yani yüksek düzeyli çeviri yalnızca daha</w:t>
      </w:r>
      <w:r>
        <w:t xml:space="preserve"> </w:t>
      </w:r>
      <w:r>
        <w:rPr>
          <w:iCs/>
          <w:i/>
        </w:rPr>
        <w:t xml:space="preserve">keskin</w:t>
      </w:r>
      <w:r>
        <w:t xml:space="preserve"> </w:t>
      </w:r>
      <w:r>
        <w:t xml:space="preserve">değil, aynı zamanda daha</w:t>
      </w:r>
      <w:r>
        <w:t xml:space="preserve"> </w:t>
      </w:r>
      <w:r>
        <w:rPr>
          <w:iCs/>
          <w:i/>
        </w:rPr>
        <w:t xml:space="preserve">bileşik</w:t>
      </w:r>
      <w:r>
        <w:t xml:space="preserve">tir: Birden çok aygıt ailesini aynı karar içinde ilişkilendirir.</w:t>
      </w:r>
      <w:r>
        <w:t xml:space="preserve"> </w:t>
      </w:r>
      <w:r>
        <w:t xml:space="preserve">“</w:t>
      </w:r>
      <w:r>
        <w:t xml:space="preserve">Camlı atölye duvarı ve açık kuruma rafı</w:t>
      </w:r>
      <w:r>
        <w:t xml:space="preserve">”</w:t>
      </w:r>
      <w:r>
        <w:t xml:space="preserve"> </w:t>
      </w:r>
      <w:r>
        <w:t xml:space="preserve">kararı, aynı anda üretim görünürlüğünü, malzemeyi ve sergileme birimini birleştirir.</w:t>
      </w:r>
    </w:p>
    <w:bookmarkEnd w:id="38"/>
    <w:bookmarkStart w:id="39" w:name="X773ee0b828384f6db25bfec295b45e872ce120d"/>
    <w:p>
      <w:pPr>
        <w:pStyle w:val="Heading3"/>
      </w:pPr>
      <w:r>
        <w:t xml:space="preserve">4.6. Adlandırılmış mekânsal aygıt: çevirinin eşik göstergesi</w:t>
      </w:r>
    </w:p>
    <w:p>
      <w:pPr>
        <w:pStyle w:val="FirstParagraph"/>
      </w:pPr>
      <w:r>
        <w:t xml:space="preserve">Verinin en belirgin örüntülerinden biri, kodlama sırasında önceden öngörülmemiş biçimde ortaya çıkmıştır. Bazı öğrenciler, ürettikleri mekânsal karara</w:t>
      </w:r>
      <w:r>
        <w:t xml:space="preserve"> </w:t>
      </w:r>
      <w:r>
        <w:rPr>
          <w:bCs/>
          <w:b/>
        </w:rPr>
        <w:t xml:space="preserve">özel bir ad</w:t>
      </w:r>
      <w:r>
        <w:t xml:space="preserve"> </w:t>
      </w:r>
      <w:r>
        <w:t xml:space="preserve">vermiştir. Bu adlar, markanın dilinden türetilmiş ve mekândaki bir aygıtı tekilleştirmiştir:</w:t>
      </w:r>
    </w:p>
    <w:p>
      <w:pPr>
        <w:numPr>
          <w:ilvl w:val="0"/>
          <w:numId w:val="1002"/>
        </w:numPr>
        <w:pStyle w:val="Compact"/>
      </w:pPr>
      <w:r>
        <w:rPr>
          <w:iCs/>
          <w:i/>
        </w:rPr>
        <w:t xml:space="preserve">Patina Wall</w:t>
      </w:r>
      <w:r>
        <w:t xml:space="preserve"> </w:t>
      </w:r>
      <w:r>
        <w:t xml:space="preserve">— derinin zamanla kazandığı yüzey değişimini sergileyen duvar (Philini)</w:t>
      </w:r>
    </w:p>
    <w:p>
      <w:pPr>
        <w:numPr>
          <w:ilvl w:val="0"/>
          <w:numId w:val="1002"/>
        </w:numPr>
        <w:pStyle w:val="Compact"/>
      </w:pPr>
      <w:r>
        <w:rPr>
          <w:iCs/>
          <w:i/>
        </w:rPr>
        <w:t xml:space="preserve">Visible Atelier</w:t>
      </w:r>
      <w:r>
        <w:t xml:space="preserve"> </w:t>
      </w:r>
      <w:r>
        <w:t xml:space="preserve">— üretim sürecinin gizlenmediği, görünür atölye bölümü (Philini)</w:t>
      </w:r>
    </w:p>
    <w:p>
      <w:pPr>
        <w:numPr>
          <w:ilvl w:val="0"/>
          <w:numId w:val="1002"/>
        </w:numPr>
        <w:pStyle w:val="Compact"/>
      </w:pPr>
      <w:r>
        <w:rPr>
          <w:iCs/>
          <w:i/>
        </w:rPr>
        <w:t xml:space="preserve">Scent Bar</w:t>
      </w:r>
      <w:r>
        <w:t xml:space="preserve"> </w:t>
      </w:r>
      <w:r>
        <w:t xml:space="preserve">ve</w:t>
      </w:r>
      <w:r>
        <w:t xml:space="preserve"> </w:t>
      </w:r>
      <w:r>
        <w:rPr>
          <w:iCs/>
          <w:i/>
        </w:rPr>
        <w:t xml:space="preserve">Ingredient Library</w:t>
      </w:r>
      <w:r>
        <w:t xml:space="preserve"> </w:t>
      </w:r>
      <w:r>
        <w:t xml:space="preserve">— koku ailelerinin ve ham maddelerin aşamalı deneyimlendiği istasyonlar (Montale Paris)</w:t>
      </w:r>
    </w:p>
    <w:p>
      <w:pPr>
        <w:numPr>
          <w:ilvl w:val="0"/>
          <w:numId w:val="1002"/>
        </w:numPr>
        <w:pStyle w:val="Compact"/>
      </w:pPr>
      <w:r>
        <w:rPr>
          <w:iCs/>
          <w:i/>
        </w:rPr>
        <w:t xml:space="preserve">Stone / Diamond Library</w:t>
      </w:r>
      <w:r>
        <w:t xml:space="preserve"> </w:t>
      </w:r>
      <w:r>
        <w:t xml:space="preserve">ve</w:t>
      </w:r>
      <w:r>
        <w:t xml:space="preserve"> </w:t>
      </w:r>
      <w:r>
        <w:rPr>
          <w:iCs/>
          <w:i/>
        </w:rPr>
        <w:t xml:space="preserve">Custom Atelier</w:t>
      </w:r>
      <w:r>
        <w:t xml:space="preserve"> </w:t>
      </w:r>
      <w:r>
        <w:t xml:space="preserve">— taş ve kesim seçeneklerinin karşılaştırıldığı ve kişiselleştirmenin yapıldığı birimler (Āzlee)</w:t>
      </w:r>
    </w:p>
    <w:p>
      <w:pPr>
        <w:numPr>
          <w:ilvl w:val="0"/>
          <w:numId w:val="1002"/>
        </w:numPr>
        <w:pStyle w:val="Compact"/>
      </w:pPr>
      <w:r>
        <w:rPr>
          <w:iCs/>
          <w:i/>
        </w:rPr>
        <w:t xml:space="preserve">Light Experience</w:t>
      </w:r>
      <w:r>
        <w:t xml:space="preserve"> </w:t>
      </w:r>
      <w:r>
        <w:t xml:space="preserve">— mücevherin farklı aydınlatma koşullarında denendiği alan (Āzlee)</w:t>
      </w:r>
    </w:p>
    <w:p>
      <w:pPr>
        <w:numPr>
          <w:ilvl w:val="0"/>
          <w:numId w:val="1002"/>
        </w:numPr>
        <w:pStyle w:val="Compact"/>
      </w:pPr>
      <w:r>
        <w:rPr>
          <w:iCs/>
          <w:i/>
        </w:rPr>
        <w:t xml:space="preserve">Koku Barı (Fragrance Bar)</w:t>
      </w:r>
      <w:r>
        <w:t xml:space="preserve"> </w:t>
      </w:r>
      <w:r>
        <w:t xml:space="preserve">— mağazanın merkezinde, damıtma havası veren dairesel interaktif birim (MAD Parfüm)</w:t>
      </w:r>
    </w:p>
    <w:p>
      <w:pPr>
        <w:numPr>
          <w:ilvl w:val="0"/>
          <w:numId w:val="1002"/>
        </w:numPr>
        <w:pStyle w:val="Compact"/>
      </w:pPr>
      <w:r>
        <w:rPr>
          <w:iCs/>
          <w:i/>
        </w:rPr>
        <w:t xml:space="preserve">Leather Library</w:t>
      </w:r>
      <w:r>
        <w:t xml:space="preserve"> </w:t>
      </w:r>
      <w:r>
        <w:t xml:space="preserve">— farklı deri, renk ve dokuların denendiği alan (Philini)</w:t>
      </w:r>
    </w:p>
    <w:p>
      <w:pPr>
        <w:numPr>
          <w:ilvl w:val="0"/>
          <w:numId w:val="1002"/>
        </w:numPr>
        <w:pStyle w:val="Compact"/>
      </w:pPr>
      <w:r>
        <w:t xml:space="preserve">Marka özgü form imzası — çanta sapının geometrisinden türetilip mekânda tekrar eden form (Shulebags)</w:t>
      </w:r>
    </w:p>
    <w:p>
      <w:pPr>
        <w:pStyle w:val="FirstParagraph"/>
      </w:pPr>
      <w:r>
        <w:t xml:space="preserve">Bu tür bir adlandırma, 75 önerinin yalnızca 12’sinde (%16) ve 25 öğrencinin yalnızca 7’sinde görülmüştür. Ancak bu 12 önerinin</w:t>
      </w:r>
      <w:r>
        <w:t xml:space="preserve"> </w:t>
      </w:r>
      <w:r>
        <w:rPr>
          <w:bCs/>
          <w:b/>
        </w:rPr>
        <w:t xml:space="preserve">tamamı</w:t>
      </w:r>
      <w:r>
        <w:t xml:space="preserve"> </w:t>
      </w:r>
      <w:r>
        <w:t xml:space="preserve">ÇÖD 3 olarak kodlanmıştır (ortalama = 3,00). Adlandırma ile en yüksek çeviri düzeyi arasındaki örtüşme tamdır.</w:t>
      </w:r>
    </w:p>
    <w:p>
      <w:pPr>
        <w:pStyle w:val="BodyText"/>
      </w:pPr>
      <w:r>
        <w:t xml:space="preserve">Bu örtüşme rastlantısal değildir. Bir mekânsal karara ad vermek, üç şeyi aynı anda gerektirir: (i) kararın bir</w:t>
      </w:r>
      <w:r>
        <w:t xml:space="preserve"> </w:t>
      </w:r>
      <w:r>
        <w:rPr>
          <w:iCs/>
          <w:i/>
        </w:rPr>
        <w:t xml:space="preserve">tekillik</w:t>
      </w:r>
      <w:r>
        <w:t xml:space="preserve"> </w:t>
      </w:r>
      <w:r>
        <w:t xml:space="preserve">taşıdığının, yani genel bir raf ya da genel bir vitrin olmadığının farkına varmak; (ii) kararın mekân içinde bir</w:t>
      </w:r>
      <w:r>
        <w:t xml:space="preserve"> </w:t>
      </w:r>
      <w:r>
        <w:rPr>
          <w:iCs/>
          <w:i/>
        </w:rPr>
        <w:t xml:space="preserve">yer</w:t>
      </w:r>
      <w:r>
        <w:t xml:space="preserve"> </w:t>
      </w:r>
      <w:r>
        <w:t xml:space="preserve">ve</w:t>
      </w:r>
      <w:r>
        <w:t xml:space="preserve"> </w:t>
      </w:r>
      <w:r>
        <w:rPr>
          <w:iCs/>
          <w:i/>
        </w:rPr>
        <w:t xml:space="preserve">sınır</w:t>
      </w:r>
      <w:r>
        <w:t xml:space="preserve"> </w:t>
      </w:r>
      <w:r>
        <w:t xml:space="preserve">edindiğini kabul etmek; (iii) kararın marka anlatısıyla doğrudan bağını kurmak — çünkü ad, çoğunlukla markanın kendi sözlüğünden gelmektedir (</w:t>
      </w:r>
      <w:r>
        <w:t xml:space="preserve">“</w:t>
      </w:r>
      <w:r>
        <w:t xml:space="preserve">patina</w:t>
      </w:r>
      <w:r>
        <w:t xml:space="preserve">”</w:t>
      </w:r>
      <w:r>
        <w:t xml:space="preserve"> </w:t>
      </w:r>
      <w:r>
        <w:t xml:space="preserve">deri markasının,</w:t>
      </w:r>
      <w:r>
        <w:t xml:space="preserve"> </w:t>
      </w:r>
      <w:r>
        <w:t xml:space="preserve">“</w:t>
      </w:r>
      <w:r>
        <w:t xml:space="preserve">ingredient</w:t>
      </w:r>
      <w:r>
        <w:t xml:space="preserve">”</w:t>
      </w:r>
      <w:r>
        <w:t xml:space="preserve"> </w:t>
      </w:r>
      <w:r>
        <w:t xml:space="preserve">parfüm markasının kelimesidir).</w:t>
      </w:r>
    </w:p>
    <w:p>
      <w:pPr>
        <w:pStyle w:val="BodyText"/>
      </w:pPr>
      <w:r>
        <w:t xml:space="preserve">Dolayısıyla adlandırma, çeviri başarısının nedeni değil; göstergesidir. Ancak pedagojik olarak son derece kullanışlı bir göstergedir: Hem öğrenci hem yürütücü için anında gözlemlenebilir, kritikte doğrudan sorulabilir ve ölçülebilir bir ölçüt sağlar.</w:t>
      </w:r>
      <w:r>
        <w:t xml:space="preserve"> </w:t>
      </w:r>
      <w:r>
        <w:t xml:space="preserve">“</w:t>
      </w:r>
      <w:r>
        <w:t xml:space="preserve">Bu kararın adı ne?</w:t>
      </w:r>
      <w:r>
        <w:t xml:space="preserve">”</w:t>
      </w:r>
      <w:r>
        <w:t xml:space="preserve"> </w:t>
      </w:r>
      <w:r>
        <w:t xml:space="preserve">sorusu,</w:t>
      </w:r>
      <w:r>
        <w:t xml:space="preserve"> </w:t>
      </w:r>
      <w:r>
        <w:t xml:space="preserve">“</w:t>
      </w:r>
      <w:r>
        <w:t xml:space="preserve">bu karar yeterince somut mu?</w:t>
      </w:r>
      <w:r>
        <w:t xml:space="preserve">”</w:t>
      </w:r>
      <w:r>
        <w:t xml:space="preserve"> </w:t>
      </w:r>
      <w:r>
        <w:t xml:space="preserve">sorusundan çok daha işlemseldir.</w:t>
      </w:r>
    </w:p>
    <w:p>
      <w:r>
        <w:pict>
          <v:rect style="width:0;height:1.5pt" o:hralign="center" o:hrstd="t" o:hr="t"/>
        </w:pict>
      </w:r>
    </w:p>
    <w:bookmarkEnd w:id="39"/>
    <w:bookmarkEnd w:id="40"/>
    <w:bookmarkStart w:id="47" w:name="tartışma"/>
    <w:p>
      <w:pPr>
        <w:pStyle w:val="Heading2"/>
      </w:pPr>
      <w:r>
        <w:t xml:space="preserve">5. Tartışma</w:t>
      </w:r>
    </w:p>
    <w:bookmarkStart w:id="41" w:name="çeviri-bir-beceridir-sezgi-değil"/>
    <w:p>
      <w:pPr>
        <w:pStyle w:val="Heading3"/>
      </w:pPr>
      <w:r>
        <w:t xml:space="preserve">5.1. Çeviri bir beceridir, sezgi değil</w:t>
      </w:r>
    </w:p>
    <w:p>
      <w:pPr>
        <w:pStyle w:val="FirstParagraph"/>
      </w:pPr>
      <w:r>
        <w:t xml:space="preserve">Bulguların bütünü, tek bir savı desteklemektedir: Marka kimliğinin mekânsal karara çevrilmesi, öğretilebilir ve derecelendirilebilir bir beceridir. Bu sav üç kanıta dayanır. Birincisi, çeviri çıktıları dört basamaklı bir ölçekte tutarlı biçimde kodlanabilmiştir; yani çeviri, gözlemlenebilir bir yapıya sahiptir. İkincisi, aynı brif altında öğrenci ortalamaları 0,33 ile 3,00 arasında dağılmıştır; bu genlik, bireysel yetenek farkıyla açıklanamayacak kadar geniştir. Üçüncüsü, yüksek düzeyli çeviri belirli ve tekrarlanabilir hamlelerle ilişkilidir (birden çok aygıt ailesini bileştirmek, karara ad vermek, kararı mekândaki bir konuma bağlamak) — yani öğretilebilir hamlelerle.</w:t>
      </w:r>
    </w:p>
    <w:p>
      <w:pPr>
        <w:pStyle w:val="BodyText"/>
      </w:pPr>
      <w:r>
        <w:t xml:space="preserve">Bu, stüdyo pedagojisi açısından önemli bir sonuçtur. Marka–mekân çevirisi,</w:t>
      </w:r>
      <w:r>
        <w:t xml:space="preserve"> </w:t>
      </w:r>
      <w:r>
        <w:t xml:space="preserve">“</w:t>
      </w:r>
      <w:r>
        <w:t xml:space="preserve">bazı öğrencilerin doğal olarak yapabildiği</w:t>
      </w:r>
      <w:r>
        <w:t xml:space="preserve">”</w:t>
      </w:r>
      <w:r>
        <w:t xml:space="preserve"> </w:t>
      </w:r>
      <w:r>
        <w:t xml:space="preserve">bir şey olarak bırakıldığı sürece, stüdyo bu beceriyi geliştiremez; yalnızca zaten sahip olanları ödüllendirir.</w:t>
      </w:r>
    </w:p>
    <w:bookmarkEnd w:id="41"/>
    <w:bookmarkStart w:id="42" w:name="X102d1b4fbaa3d907e729405590622143ea277b6"/>
    <w:p>
      <w:pPr>
        <w:pStyle w:val="Heading3"/>
      </w:pPr>
      <w:r>
        <w:t xml:space="preserve">5.2. Nesne yanlılığı: sergileme ve malzeme egemenliği</w:t>
      </w:r>
    </w:p>
    <w:p>
      <w:pPr>
        <w:pStyle w:val="FirstParagraph"/>
      </w:pPr>
      <w:r>
        <w:t xml:space="preserve">Tasarım aygıtı repertuvarındaki %73 sergileme ve %60 malzeme oranlarına karşılık %19 dolaşım oranı, üçüncü sınıf düzeyinde sistematik bir</w:t>
      </w:r>
      <w:r>
        <w:t xml:space="preserve"> </w:t>
      </w:r>
      <w:r>
        <w:rPr>
          <w:iCs/>
          <w:i/>
        </w:rPr>
        <w:t xml:space="preserve">nesne yanlılığına</w:t>
      </w:r>
      <w:r>
        <w:t xml:space="preserve"> </w:t>
      </w:r>
      <w:r>
        <w:t xml:space="preserve">işaret etmektedir. Öğrenciler markayı, mekânın içine yerleştirilen nesneler üzerinden düşünmekte; mekânın kendisini (rotayı, eşiği, görüş hattını, bölgeler arası ilişkiyi) marka taşıyıcısı olarak kullanmamaktadır.</w:t>
      </w:r>
    </w:p>
    <w:p>
      <w:pPr>
        <w:pStyle w:val="BodyText"/>
      </w:pPr>
      <w:r>
        <w:t xml:space="preserve">Bu bulgu, ders izlencesinde tanımlanan</w:t>
      </w:r>
      <w:r>
        <w:t xml:space="preserve"> </w:t>
      </w:r>
      <w:r>
        <w:t xml:space="preserve">“</w:t>
      </w:r>
      <w:r>
        <w:t xml:space="preserve">çözülmesi zorunlu alanlar</w:t>
      </w:r>
      <w:r>
        <w:t xml:space="preserve">”</w:t>
      </w:r>
      <w:r>
        <w:t xml:space="preserve"> </w:t>
      </w:r>
      <w:r>
        <w:t xml:space="preserve">listesiyle birlikte okunduğunda daha da anlamlıdır: Liste, giriş ve marka eşiğini, dolaşım ve mekânsal akışı açıkça saymaktadır. Yani brif bu alanları talep etmekte, fakat ilk hafta çeviri aracı bunları üretmemektedir. Aradaki fark, bir araç tasarımı sorunudur: Çalışma Kâğıdı 3’ün</w:t>
      </w:r>
      <w:r>
        <w:t xml:space="preserve"> </w:t>
      </w:r>
      <w:r>
        <w:t xml:space="preserve">“</w:t>
      </w:r>
      <w:r>
        <w:t xml:space="preserve">Mekânın ihtiyacı</w:t>
      </w:r>
      <w:r>
        <w:t xml:space="preserve">”</w:t>
      </w:r>
      <w:r>
        <w:t xml:space="preserve"> </w:t>
      </w:r>
      <w:r>
        <w:t xml:space="preserve">bölümü sergileme, aydınlatma, davranış ve duyu başlıklarını içermekte;</w:t>
      </w:r>
      <w:r>
        <w:t xml:space="preserve"> </w:t>
      </w:r>
      <w:r>
        <w:rPr>
          <w:iCs/>
          <w:i/>
        </w:rPr>
        <w:t xml:space="preserve">dolaşım ve eşik</w:t>
      </w:r>
      <w:r>
        <w:t xml:space="preserve"> </w:t>
      </w:r>
      <w:r>
        <w:t xml:space="preserve">için ayrı bir alan içermemektedir. Araç ne sorarsa, öğrenci onu üretmektedir.</w:t>
      </w:r>
    </w:p>
    <w:p>
      <w:pPr>
        <w:pStyle w:val="BodyText"/>
      </w:pPr>
      <w:r>
        <w:t xml:space="preserve">Bu, atölye kurgusuna ilişkin doğrudan ve düşük maliyetli bir müdahale önerisi doğurur ve Bölüm 6’da ele alınmaktadır.</w:t>
      </w:r>
    </w:p>
    <w:bookmarkEnd w:id="42"/>
    <w:bookmarkStart w:id="43" w:name="Xcdd3f4c268f977dd686884aa3488f6bc71b0a0c"/>
    <w:p>
      <w:pPr>
        <w:pStyle w:val="Heading3"/>
      </w:pPr>
      <w:r>
        <w:t xml:space="preserve">5.3. Göz-merkezli atmosfer: duyusal açığın anatomisi</w:t>
      </w:r>
    </w:p>
    <w:p>
      <w:pPr>
        <w:pStyle w:val="FirstParagraph"/>
      </w:pPr>
      <w:r>
        <w:t xml:space="preserve">Duyusal etiketlerin %4,9, duyusal donatı kararlarının %9 oranında kalması, Pallasmaa’nın (2005) göz-merkezlilik eleştirisinin stüdyo düzeyindeki ampirik karşılığıdır. Ancak bulguların ayrıntısı daha incelikli bir tablo çizmektedir: Öğrenciler duyuyu</w:t>
      </w:r>
      <w:r>
        <w:t xml:space="preserve"> </w:t>
      </w:r>
      <w:r>
        <w:rPr>
          <w:iCs/>
          <w:i/>
        </w:rPr>
        <w:t xml:space="preserve">betimlemekte</w:t>
      </w:r>
      <w:r>
        <w:t xml:space="preserve">, fakat</w:t>
      </w:r>
      <w:r>
        <w:t xml:space="preserve"> </w:t>
      </w:r>
      <w:r>
        <w:rPr>
          <w:iCs/>
          <w:i/>
        </w:rPr>
        <w:t xml:space="preserve">tasarlamamaktadır</w:t>
      </w:r>
      <w:r>
        <w:t xml:space="preserve">. Çalışma Kâğıdı 3’ün</w:t>
      </w:r>
      <w:r>
        <w:t xml:space="preserve"> </w:t>
      </w:r>
      <w:r>
        <w:t xml:space="preserve">“</w:t>
      </w:r>
      <w:r>
        <w:t xml:space="preserve">Deneyim + Duyu</w:t>
      </w:r>
      <w:r>
        <w:t xml:space="preserve">”</w:t>
      </w:r>
      <w:r>
        <w:t xml:space="preserve"> </w:t>
      </w:r>
      <w:r>
        <w:t xml:space="preserve">alanlarında koku, ses ve dokunmaya ilişkin zengin ifadeler bulunmaktadır (</w:t>
      </w:r>
      <w:r>
        <w:t xml:space="preserve">“</w:t>
      </w:r>
      <w:r>
        <w:t xml:space="preserve">koku en önemli duyusal deneyimdir</w:t>
      </w:r>
      <w:r>
        <w:t xml:space="preserve">”</w:t>
      </w:r>
      <w:r>
        <w:t xml:space="preserve">,</w:t>
      </w:r>
      <w:r>
        <w:t xml:space="preserve"> </w:t>
      </w:r>
      <w:r>
        <w:t xml:space="preserve">“</w:t>
      </w:r>
      <w:r>
        <w:t xml:space="preserve">dalga sesi, tuz ve ahşap kokusu</w:t>
      </w:r>
      <w:r>
        <w:t xml:space="preserve">”</w:t>
      </w:r>
      <w:r>
        <w:t xml:space="preserve">,</w:t>
      </w:r>
      <w:r>
        <w:t xml:space="preserve"> </w:t>
      </w:r>
      <w:r>
        <w:t xml:space="preserve">“</w:t>
      </w:r>
      <w:r>
        <w:t xml:space="preserve">koklama ana duyudur</w:t>
      </w:r>
      <w:r>
        <w:t xml:space="preserve">”</w:t>
      </w:r>
      <w:r>
        <w:t xml:space="preserve">). Fakat bu ifadeler, üçüncü bölümün çeviri tablosuna taşınmamaktadır. Duyu, betimleyici bir not olarak kalmakta; bir aygıta dönüşmemektedir.</w:t>
      </w:r>
    </w:p>
    <w:p>
      <w:pPr>
        <w:pStyle w:val="BodyText"/>
      </w:pPr>
      <w:r>
        <w:t xml:space="preserve">İstisnalar, kuralı doğrulamaktadır. Duyusal donatıyı Düzey 3’e taşıyan öğrenciler, bunu bir</w:t>
      </w:r>
      <w:r>
        <w:t xml:space="preserve"> </w:t>
      </w:r>
      <w:r>
        <w:rPr>
          <w:iCs/>
          <w:i/>
        </w:rPr>
        <w:t xml:space="preserve">mekânsal nesne</w:t>
      </w:r>
      <w:r>
        <w:t xml:space="preserve"> </w:t>
      </w:r>
      <w:r>
        <w:t xml:space="preserve">icat ederek yapmıştır:</w:t>
      </w:r>
      <w:r>
        <w:t xml:space="preserve"> </w:t>
      </w:r>
      <w:r>
        <w:t xml:space="preserve">“</w:t>
      </w:r>
      <w:r>
        <w:t xml:space="preserve">Koku Barı</w:t>
      </w:r>
      <w:r>
        <w:t xml:space="preserve">”</w:t>
      </w:r>
      <w:r>
        <w:t xml:space="preserve">,</w:t>
      </w:r>
      <w:r>
        <w:t xml:space="preserve"> </w:t>
      </w:r>
      <w:r>
        <w:t xml:space="preserve">“</w:t>
      </w:r>
      <w:r>
        <w:t xml:space="preserve">Scent Bar</w:t>
      </w:r>
      <w:r>
        <w:t xml:space="preserve">”</w:t>
      </w:r>
      <w:r>
        <w:t xml:space="preserve">,</w:t>
      </w:r>
      <w:r>
        <w:t xml:space="preserve"> </w:t>
      </w:r>
      <w:r>
        <w:t xml:space="preserve">“</w:t>
      </w:r>
      <w:r>
        <w:t xml:space="preserve">koku istasyonları</w:t>
      </w:r>
      <w:r>
        <w:t xml:space="preserve">”</w:t>
      </w:r>
      <w:r>
        <w:t xml:space="preserve">,</w:t>
      </w:r>
      <w:r>
        <w:t xml:space="preserve"> </w:t>
      </w:r>
      <w:r>
        <w:t xml:space="preserve">“</w:t>
      </w:r>
      <w:r>
        <w:t xml:space="preserve">mağazadaki yoğun esans kokularını sürekli tazeleyen gizli havalandırma ve iklimlendirme kanalları</w:t>
      </w:r>
      <w:r>
        <w:t xml:space="preserve">”</w:t>
      </w:r>
      <w:r>
        <w:t xml:space="preserve">. Sonuncusu özellikle dikkate değerdir; çünkü kokuyu bir atmosfer sıfatı olarak değil, bir</w:t>
      </w:r>
      <w:r>
        <w:t xml:space="preserve"> </w:t>
      </w:r>
      <w:r>
        <w:rPr>
          <w:iCs/>
          <w:i/>
        </w:rPr>
        <w:t xml:space="preserve">tesisat kararı</w:t>
      </w:r>
      <w:r>
        <w:t xml:space="preserve"> </w:t>
      </w:r>
      <w:r>
        <w:t xml:space="preserve">olarak ele almaktadır.</w:t>
      </w:r>
    </w:p>
    <w:p>
      <w:pPr>
        <w:pStyle w:val="BodyText"/>
      </w:pPr>
      <w:r>
        <w:t xml:space="preserve">Buradan çıkan pedagojik ilke şudur: Duyusal tasarım, duyu hakkında yazmakla öğretilemez. Duyunun bir donatıya, bir yüzeye, bir havalandırma kanalına ya da bir akustik bölücüye bağlanması istenmelidir.</w:t>
      </w:r>
    </w:p>
    <w:bookmarkEnd w:id="43"/>
    <w:bookmarkStart w:id="44" w:name="niş-marka-seçiminin-getirisi-ve-riski"/>
    <w:p>
      <w:pPr>
        <w:pStyle w:val="Heading3"/>
      </w:pPr>
      <w:r>
        <w:t xml:space="preserve">5.4. Niş marka seçiminin getirisi ve riski</w:t>
      </w:r>
    </w:p>
    <w:p>
      <w:pPr>
        <w:pStyle w:val="FirstParagraph"/>
      </w:pPr>
      <w:r>
        <w:t xml:space="preserve">Brifin</w:t>
      </w:r>
      <w:r>
        <w:t xml:space="preserve"> </w:t>
      </w:r>
      <w:r>
        <w:t xml:space="preserve">“</w:t>
      </w:r>
      <w:r>
        <w:t xml:space="preserve">fiziksel mağazası olmayan niş marka</w:t>
      </w:r>
      <w:r>
        <w:t xml:space="preserve">”</w:t>
      </w:r>
      <w:r>
        <w:t xml:space="preserve"> </w:t>
      </w:r>
      <w:r>
        <w:t xml:space="preserve">kısıtı, iki belirgin getiri üretmiştir. Birincisi, öğrenciler hazır bir mağaza görseline öykünemediği için markayı gerçekten araştırmak zorunda kalmıştır; marka kimliğini web sitesi, ürün dili, sosyal medya ve kullanıcı yorumları üzerinden kurmuşlardır. İkincisi, yerel ve bağımsız markaların görünürlüğü artmıştır: önerilerin dörtte üçü Türkiye menşelidir ve bunların çoğu kurumsal perakende literatüründe yer almayan küçük ölçekli üreticilerdir.</w:t>
      </w:r>
    </w:p>
    <w:p>
      <w:pPr>
        <w:pStyle w:val="BodyText"/>
      </w:pPr>
      <w:r>
        <w:t xml:space="preserve">Bu kısıt, güncel perakende eğilimleriyle de örtüşmektedir. Çevrim içi doğan markaların fiziksel mağazaya geçişi, son yılların en belirgin perakende hareketlerinden biridir ve bu geçiş çoğunlukla deneyim odaklı, topluluk merkezli ve küçük ölçekli mekânlar üzerinden gerçekleşmektedir. Dolayısıyla öğrencilere verilen senaryo, kurgusal bir tasarım egzersizi değil; sektörün fiilî bir sorusudur.</w:t>
      </w:r>
    </w:p>
    <w:p>
      <w:pPr>
        <w:pStyle w:val="BodyText"/>
      </w:pPr>
      <w:r>
        <w:t xml:space="preserve">Kısıtın riski ise, önerilerin %18,7’sinde görülen kurumsal marka kaymasıdır. Bu kayma, kısıtın ölçütlenmemiş olmasından kaynaklanmaktadır ve basit bir brif düzeltmesiyle giderilebilir.</w:t>
      </w:r>
    </w:p>
    <w:bookmarkEnd w:id="44"/>
    <w:bookmarkStart w:id="45" w:name="adlandırma-edimi"/>
    <w:p>
      <w:pPr>
        <w:pStyle w:val="Heading3"/>
      </w:pPr>
      <w:r>
        <w:t xml:space="preserve">5.5. Adlandırma edimi</w:t>
      </w:r>
    </w:p>
    <w:p>
      <w:pPr>
        <w:pStyle w:val="FirstParagraph"/>
      </w:pPr>
      <w:r>
        <w:t xml:space="preserve">Adlandırılmış mekânsal aygıt bulgusu, bu çalışmanın önerdiği en özgün kavramdır ve alanyazındaki iki ayrı tartışmayla kesişir. Bir yanda, marka kimliğinin mekânsallaşmasının</w:t>
      </w:r>
      <w:r>
        <w:t xml:space="preserve"> </w:t>
      </w:r>
      <w:r>
        <w:t xml:space="preserve">“</w:t>
      </w:r>
      <w:r>
        <w:t xml:space="preserve">imza öğe</w:t>
      </w:r>
      <w:r>
        <w:t xml:space="preserve">”</w:t>
      </w:r>
      <w:r>
        <w:t xml:space="preserve"> </w:t>
      </w:r>
      <w:r>
        <w:t xml:space="preserve">üzerinden kurulduğuna ilişkin pratik bilgi vardır. Diğer yanda, tasarım düşüncesinde adlandırmanın bir</w:t>
      </w:r>
      <w:r>
        <w:t xml:space="preserve"> </w:t>
      </w:r>
      <w:r>
        <w:rPr>
          <w:iCs/>
          <w:i/>
        </w:rPr>
        <w:t xml:space="preserve">dondurma</w:t>
      </w:r>
      <w:r>
        <w:t xml:space="preserve"> </w:t>
      </w:r>
      <w:r>
        <w:t xml:space="preserve">işlevi gördüğü; akışkan bir fikri üzerinde çalışılabilir bir nesneye dönüştürdüğü bilinir. Bu çalışma, ikisini birleştirerek adlandırmayı bir</w:t>
      </w:r>
      <w:r>
        <w:t xml:space="preserve"> </w:t>
      </w:r>
      <w:r>
        <w:rPr>
          <w:iCs/>
          <w:i/>
        </w:rPr>
        <w:t xml:space="preserve">ölçüm aracı</w:t>
      </w:r>
      <w:r>
        <w:t xml:space="preserve"> </w:t>
      </w:r>
      <w:r>
        <w:t xml:space="preserve">hâline getirmektedir.</w:t>
      </w:r>
    </w:p>
    <w:p>
      <w:pPr>
        <w:pStyle w:val="BodyText"/>
      </w:pPr>
      <w:r>
        <w:t xml:space="preserve">Pratik değeri yüksektir. Stüdyo kritiğinde</w:t>
      </w:r>
      <w:r>
        <w:t xml:space="preserve"> </w:t>
      </w:r>
      <w:r>
        <w:t xml:space="preserve">“</w:t>
      </w:r>
      <w:r>
        <w:t xml:space="preserve">bu karar yeterince somut mu?</w:t>
      </w:r>
      <w:r>
        <w:t xml:space="preserve">”</w:t>
      </w:r>
      <w:r>
        <w:t xml:space="preserve"> </w:t>
      </w:r>
      <w:r>
        <w:t xml:space="preserve">sorusu, yürütücüye bağlı ve tartışmaya açık bir yargı üretir.</w:t>
      </w:r>
      <w:r>
        <w:t xml:space="preserve"> </w:t>
      </w:r>
      <w:r>
        <w:t xml:space="preserve">“</w:t>
      </w:r>
      <w:r>
        <w:t xml:space="preserve">Bu kararın adı ne? Bu adı markanın sözlüğünden alabildin mi? Bu aygıtı planda nereye koyuyorsun?</w:t>
      </w:r>
      <w:r>
        <w:t xml:space="preserve">”</w:t>
      </w:r>
      <w:r>
        <w:t xml:space="preserve"> </w:t>
      </w:r>
      <w:r>
        <w:t xml:space="preserve">soruları ise öğrenciye doğrudan bir işlem dizisi verir.</w:t>
      </w:r>
    </w:p>
    <w:bookmarkEnd w:id="45"/>
    <w:bookmarkStart w:id="46" w:name="önceki-çalışmayla-konumlanma"/>
    <w:p>
      <w:pPr>
        <w:pStyle w:val="Heading3"/>
      </w:pPr>
      <w:r>
        <w:t xml:space="preserve">5.6. Önceki çalışmayla konumlanma</w:t>
      </w:r>
    </w:p>
    <w:p>
      <w:pPr>
        <w:pStyle w:val="FirstParagraph"/>
      </w:pPr>
      <w:r>
        <w:t xml:space="preserve">Bu araştırmanın en yakın öncülü olan Sunar Bükülmez, Girginkaya Akdağ ve Ekin’in (2025) çalışmasıyla ilişkisini açıkça belirtmek gerekir. İki çalışma aynı soruyu — perakende tasarımı stüdyosunda marka ve deneyim araçlarının öğretilmesi — farklı yöntemsel kararlarla ele almaktadır: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Sunar Bükülmez vd. (2025)</w:t>
            </w:r>
          </w:p>
        </w:tc>
        <w:tc>
          <w:tcPr/>
          <w:p>
            <w:pPr>
              <w:pStyle w:val="Compact"/>
              <w:jc w:val="left"/>
            </w:pPr>
            <w:r>
              <w:t xml:space="preserve">Bu çalışma</w:t>
            </w:r>
          </w:p>
        </w:tc>
      </w:tr>
      <w:tr>
        <w:tc>
          <w:tcPr/>
          <w:p>
            <w:pPr>
              <w:pStyle w:val="Compact"/>
              <w:jc w:val="left"/>
            </w:pPr>
            <w:r>
              <w:rPr>
                <w:bCs/>
                <w:b/>
              </w:rPr>
              <w:t xml:space="preserve">Analiz birimi</w:t>
            </w:r>
          </w:p>
        </w:tc>
        <w:tc>
          <w:tcPr/>
          <w:p>
            <w:pPr>
              <w:pStyle w:val="Compact"/>
              <w:jc w:val="left"/>
            </w:pPr>
            <w:r>
              <w:t xml:space="preserve">Dönem projesi (n = 30)</w:t>
            </w:r>
          </w:p>
        </w:tc>
        <w:tc>
          <w:tcPr/>
          <w:p>
            <w:pPr>
              <w:pStyle w:val="Compact"/>
              <w:jc w:val="left"/>
            </w:pPr>
            <w:r>
              <w:t xml:space="preserve">Çeviri hücresi (n = 225), marka önerisi (n = 75)</w:t>
            </w:r>
          </w:p>
        </w:tc>
      </w:tr>
      <w:tr>
        <w:tc>
          <w:tcPr/>
          <w:p>
            <w:pPr>
              <w:pStyle w:val="Compact"/>
              <w:jc w:val="left"/>
            </w:pPr>
            <w:r>
              <w:rPr>
                <w:bCs/>
                <w:b/>
              </w:rPr>
              <w:t xml:space="preserve">Veri kaynağı</w:t>
            </w:r>
          </w:p>
        </w:tc>
        <w:tc>
          <w:tcPr/>
          <w:p>
            <w:pPr>
              <w:pStyle w:val="Compact"/>
              <w:jc w:val="left"/>
            </w:pPr>
            <w:r>
              <w:t xml:space="preserve">Jüri notları + uzman Likert değerlendirmesi</w:t>
            </w:r>
          </w:p>
        </w:tc>
        <w:tc>
          <w:tcPr/>
          <w:p>
            <w:pPr>
              <w:pStyle w:val="Compact"/>
              <w:jc w:val="left"/>
            </w:pPr>
            <w:r>
              <w:t xml:space="preserve">Atölye ürününün kendisi (birincil belge)</w:t>
            </w:r>
          </w:p>
        </w:tc>
      </w:tr>
      <w:tr>
        <w:tc>
          <w:tcPr/>
          <w:p>
            <w:pPr>
              <w:pStyle w:val="Compact"/>
              <w:jc w:val="left"/>
            </w:pPr>
            <w:r>
              <w:rPr>
                <w:bCs/>
                <w:b/>
              </w:rPr>
              <w:t xml:space="preserve">Zamanlama</w:t>
            </w:r>
          </w:p>
        </w:tc>
        <w:tc>
          <w:tcPr/>
          <w:p>
            <w:pPr>
              <w:pStyle w:val="Compact"/>
              <w:jc w:val="left"/>
            </w:pPr>
            <w:r>
              <w:t xml:space="preserve">Dönem boyu, üç jüri</w:t>
            </w:r>
          </w:p>
        </w:tc>
        <w:tc>
          <w:tcPr/>
          <w:p>
            <w:pPr>
              <w:pStyle w:val="Compact"/>
              <w:jc w:val="left"/>
            </w:pPr>
            <w:r>
              <w:t xml:space="preserve">Dönemin ilk haftası, kritik öncesi</w:t>
            </w:r>
          </w:p>
        </w:tc>
      </w:tr>
      <w:tr>
        <w:tc>
          <w:tcPr/>
          <w:p>
            <w:pPr>
              <w:pStyle w:val="Compact"/>
              <w:jc w:val="left"/>
            </w:pPr>
            <w:r>
              <w:rPr>
                <w:bCs/>
                <w:b/>
              </w:rPr>
              <w:t xml:space="preserve">Ölçme aracı</w:t>
            </w:r>
          </w:p>
        </w:tc>
        <w:tc>
          <w:tcPr/>
          <w:p>
            <w:pPr>
              <w:pStyle w:val="Compact"/>
              <w:jc w:val="left"/>
            </w:pPr>
            <w:r>
              <w:t xml:space="preserve">MYH anketi (21 ifade) + Quartier yetkinlik çerçevesi</w:t>
            </w:r>
          </w:p>
        </w:tc>
        <w:tc>
          <w:tcPr/>
          <w:p>
            <w:pPr>
              <w:pStyle w:val="Compact"/>
              <w:jc w:val="left"/>
            </w:pPr>
            <w:r>
              <w:t xml:space="preserve">Özgün ÇÖD ölçeği + tasarım aygıtı sınıflaması</w:t>
            </w:r>
          </w:p>
        </w:tc>
      </w:tr>
      <w:tr>
        <w:tc>
          <w:tcPr/>
          <w:p>
            <w:pPr>
              <w:pStyle w:val="Compact"/>
              <w:jc w:val="left"/>
            </w:pPr>
            <w:r>
              <w:rPr>
                <w:bCs/>
                <w:b/>
              </w:rPr>
              <w:t xml:space="preserve">Değerlendiriciler</w:t>
            </w:r>
          </w:p>
        </w:tc>
        <w:tc>
          <w:tcPr/>
          <w:p>
            <w:pPr>
              <w:pStyle w:val="Compact"/>
              <w:jc w:val="left"/>
            </w:pPr>
            <w:r>
              <w:t xml:space="preserve">Dört bağımsız uzman</w:t>
            </w:r>
          </w:p>
        </w:tc>
        <w:tc>
          <w:tcPr/>
          <w:p>
            <w:pPr>
              <w:pStyle w:val="Compact"/>
              <w:jc w:val="left"/>
            </w:pPr>
            <w:r>
              <w:t xml:space="preserve">Araştırmacı kodlaması</w:t>
            </w:r>
          </w:p>
        </w:tc>
      </w:tr>
      <w:tr>
        <w:tc>
          <w:tcPr/>
          <w:p>
            <w:pPr>
              <w:pStyle w:val="Compact"/>
              <w:jc w:val="left"/>
            </w:pPr>
            <w:r>
              <w:rPr>
                <w:bCs/>
                <w:b/>
              </w:rPr>
              <w:t xml:space="preserve">Temel bulgu</w:t>
            </w:r>
          </w:p>
        </w:tc>
        <w:tc>
          <w:tcPr/>
          <w:p>
            <w:pPr>
              <w:pStyle w:val="Compact"/>
              <w:jc w:val="left"/>
            </w:pPr>
            <w:r>
              <w:t xml:space="preserve">Yetkinlik, analiz/konseptten somutlaştırmaya doğru düşüyor (3,60 → 3,17)</w:t>
            </w:r>
          </w:p>
        </w:tc>
        <w:tc>
          <w:tcPr/>
          <w:p>
            <w:pPr>
              <w:pStyle w:val="Compact"/>
              <w:jc w:val="left"/>
            </w:pPr>
            <w:r>
              <w:t xml:space="preserve">Çeviri,</w:t>
            </w:r>
            <w:r>
              <w:t xml:space="preserve"> </w:t>
            </w:r>
            <w:r>
              <w:t xml:space="preserve">“</w:t>
            </w:r>
            <w:r>
              <w:t xml:space="preserve">tür adlandırma</w:t>
            </w:r>
            <w:r>
              <w:t xml:space="preserve">”</w:t>
            </w:r>
            <w:r>
              <w:t xml:space="preserve">da takılıyor; %46,7 Düzey 2’de birikiyor</w:t>
            </w:r>
          </w:p>
        </w:tc>
      </w:tr>
    </w:tbl>
    <w:p>
      <w:pPr>
        <w:pStyle w:val="BodyText"/>
      </w:pPr>
      <w:r>
        <w:t xml:space="preserve">İki çalışmanın bulguları çelişmemekte, birbirini tamamlamaktadır. Sunar Bükülmez ve arkadaşları, öğrencilerin analiz ve konsept aşamasında güçlü, somutlaştırmada zayıf olduğunu göstermiştir. Bu çalışma, bu zayıflığın</w:t>
      </w:r>
      <w:r>
        <w:t xml:space="preserve"> </w:t>
      </w:r>
      <w:r>
        <w:rPr>
          <w:iCs/>
          <w:i/>
        </w:rPr>
        <w:t xml:space="preserve">nerede başladığını</w:t>
      </w:r>
      <w:r>
        <w:t xml:space="preserve"> </w:t>
      </w:r>
      <w:r>
        <w:t xml:space="preserve">göstermektedir: Zayıflık somutlaştırma aşamasında ortaya çıkmaz; dönemin ilk haftasında, anahtar kelimenin mekânsal karara çevrildiği anda zaten mevcuttur. Düzey 2’de biriken %46,7’lik kütle, haftalar sonra</w:t>
      </w:r>
      <w:r>
        <w:t xml:space="preserve"> </w:t>
      </w:r>
      <w:r>
        <w:t xml:space="preserve">“</w:t>
      </w:r>
      <w:r>
        <w:t xml:space="preserve">somutlaştırma yetersizliği</w:t>
      </w:r>
      <w:r>
        <w:t xml:space="preserve">”</w:t>
      </w:r>
      <w:r>
        <w:t xml:space="preserve"> </w:t>
      </w:r>
      <w:r>
        <w:t xml:space="preserve">olarak görünecek olan şeyin tohumudur.</w:t>
      </w:r>
    </w:p>
    <w:p>
      <w:pPr>
        <w:pStyle w:val="BodyText"/>
      </w:pPr>
      <w:r>
        <w:t xml:space="preserve">Bu, müfredat açısından doğrudan bir sonuç üretir: Somutlaştırma becerisine yapılacak müdahale, somutlaştırma haftalarında değil; giriş haftasında yapılmalıdır.</w:t>
      </w:r>
    </w:p>
    <w:p>
      <w:r>
        <w:pict>
          <v:rect style="width:0;height:1.5pt" o:hralign="center" o:hrstd="t" o:hr="t"/>
        </w:pict>
      </w:r>
    </w:p>
    <w:bookmarkEnd w:id="46"/>
    <w:bookmarkEnd w:id="47"/>
    <w:bookmarkStart w:id="48" w:name="pedagojik-öneri-anahtar-kelime-protokolü"/>
    <w:p>
      <w:pPr>
        <w:pStyle w:val="Heading2"/>
      </w:pPr>
      <w:r>
        <w:t xml:space="preserve">6. Pedagojik Öneri: Anahtar Kelime Protokolü</w:t>
      </w:r>
    </w:p>
    <w:p>
      <w:pPr>
        <w:pStyle w:val="FirstParagraph"/>
      </w:pPr>
      <w:r>
        <w:t xml:space="preserve">Bulgular, mevcut atölye kurgusunun güçlü ve zayıf yönlerini birlikte göstermektedir. Üç çalışma kâğıdından oluşan set, mekân okumasını ve marka araştırmasını etkili biçimde üretmektedir; zayıflık, üçüncü kâğıdın çeviri tablosunda yoğunlaşmaktadır. Aşağıdaki protokol, mevcut kurguyu değiştirmeden — yalnızca üçüncü kâğıdı yeniden yapılandırarak — uygulanabilir.</w:t>
      </w:r>
    </w:p>
    <w:p>
      <w:pPr>
        <w:pStyle w:val="BodyText"/>
      </w:pPr>
      <w:r>
        <w:rPr>
          <w:bCs/>
          <w:b/>
        </w:rPr>
        <w:t xml:space="preserve">1. Çeviri satırını üç sütuna böl.</w:t>
      </w:r>
      <w:r>
        <w:t xml:space="preserve"> </w:t>
      </w:r>
      <w:r>
        <w:t xml:space="preserve">Mevcut iki sütunlu tablo (anahtar kelime → mekânsal karar) üç sütunlu hâle getirilir:</w:t>
      </w:r>
      <w:r>
        <w:t xml:space="preserve"> </w:t>
      </w:r>
      <w:r>
        <w:rPr>
          <w:iCs/>
          <w:i/>
        </w:rPr>
        <w:t xml:space="preserve">anahtar kelime → mekânsal ilke → tasarım öğesi</w:t>
      </w:r>
      <w:r>
        <w:t xml:space="preserve">. Ortadaki sütun, kelimeyle nesne arasındaki sıçramayı yavaşlatır. Atölye sunumunun kendi örnek vakası bu üçlü yapıyı zaten kullanmaktadır (</w:t>
      </w:r>
      <w:r>
        <w:t xml:space="preserve">“</w:t>
      </w:r>
      <w:r>
        <w:t xml:space="preserve">görünürlük → görüş hattı ve sınır → camlı atölye duvarı</w:t>
      </w:r>
      <w:r>
        <w:t xml:space="preserve">”</w:t>
      </w:r>
      <w:r>
        <w:t xml:space="preserve">); bu yapının çalışma kâğıdına taşınması gerekmektedir.</w:t>
      </w:r>
    </w:p>
    <w:p>
      <w:pPr>
        <w:pStyle w:val="BodyText"/>
      </w:pPr>
      <w:r>
        <w:rPr>
          <w:bCs/>
          <w:b/>
        </w:rPr>
        <w:t xml:space="preserve">2. Aygıt ailesi kotası koy.</w:t>
      </w:r>
      <w:r>
        <w:t xml:space="preserve"> </w:t>
      </w:r>
      <w:r>
        <w:t xml:space="preserve">Üç çeviri satırının en az birinin</w:t>
      </w:r>
      <w:r>
        <w:t xml:space="preserve"> </w:t>
      </w:r>
      <w:r>
        <w:rPr>
          <w:iCs/>
          <w:i/>
        </w:rPr>
        <w:t xml:space="preserve">dolaşım, eşik ya da görüş hattı</w:t>
      </w:r>
      <w:r>
        <w:t xml:space="preserve"> </w:t>
      </w:r>
      <w:r>
        <w:t xml:space="preserve">ile ilgili olması; en az birinin</w:t>
      </w:r>
      <w:r>
        <w:t xml:space="preserve"> </w:t>
      </w:r>
      <w:r>
        <w:rPr>
          <w:iCs/>
          <w:i/>
        </w:rPr>
        <w:t xml:space="preserve">duyusal donatı</w:t>
      </w:r>
      <w:r>
        <w:t xml:space="preserve"> </w:t>
      </w:r>
      <w:r>
        <w:t xml:space="preserve">(koku, ses, dokunma, ısı) içermesi istenir. Bu basit kısıt, bulgularda saptanan iki yapısal açığı doğrudan hedefler.</w:t>
      </w:r>
    </w:p>
    <w:p>
      <w:pPr>
        <w:pStyle w:val="BodyText"/>
      </w:pPr>
      <w:r>
        <w:rPr>
          <w:bCs/>
          <w:b/>
        </w:rPr>
        <w:t xml:space="preserve">3. Adlandırma zorunluluğu getir.</w:t>
      </w:r>
      <w:r>
        <w:t xml:space="preserve"> </w:t>
      </w:r>
      <w:r>
        <w:t xml:space="preserve">Her öğrenciden, her marka için en az bir mekânsal aygıta ad vermesi istenir ve adın markanın kendi sözlüğünden türetilmesi beklenir. Bulgular, bu edimin en yüksek çeviri düzeyiyle tam örtüştüğünü göstermektedir.</w:t>
      </w:r>
    </w:p>
    <w:p>
      <w:pPr>
        <w:pStyle w:val="BodyText"/>
      </w:pPr>
      <w:r>
        <w:rPr>
          <w:bCs/>
          <w:b/>
        </w:rPr>
        <w:t xml:space="preserve">4. Konum sorusunu ekle.</w:t>
      </w:r>
      <w:r>
        <w:t xml:space="preserve"> </w:t>
      </w:r>
      <w:r>
        <w:t xml:space="preserve">Her tasarım öğesi için tek satırlık bir</w:t>
      </w:r>
      <w:r>
        <w:t xml:space="preserve"> </w:t>
      </w:r>
      <w:r>
        <w:t xml:space="preserve">“</w:t>
      </w:r>
      <w:r>
        <w:t xml:space="preserve">nerede?</w:t>
      </w:r>
      <w:r>
        <w:t xml:space="preserve">”</w:t>
      </w:r>
      <w:r>
        <w:t xml:space="preserve"> </w:t>
      </w:r>
      <w:r>
        <w:t xml:space="preserve">alanı açılır: giriş aksında, vitrin arkasında, merkezde, kabin yanında. Bu alan, Düzey 2 ile Düzey 3 arasındaki eşiği doğrudan zorlar.</w:t>
      </w:r>
    </w:p>
    <w:p>
      <w:pPr>
        <w:pStyle w:val="BodyText"/>
      </w:pPr>
      <w:r>
        <w:rPr>
          <w:bCs/>
          <w:b/>
        </w:rPr>
        <w:t xml:space="preserve">5. Brif kısıtını ölçütlendir.</w:t>
      </w:r>
      <w:r>
        <w:t xml:space="preserve"> </w:t>
      </w:r>
      <w:r>
        <w:t xml:space="preserve">“</w:t>
      </w:r>
      <w:r>
        <w:t xml:space="preserve">Az bilinen niş marka</w:t>
      </w:r>
      <w:r>
        <w:t xml:space="preserve">”</w:t>
      </w:r>
      <w:r>
        <w:t xml:space="preserve"> </w:t>
      </w:r>
      <w:r>
        <w:t xml:space="preserve">ifadesi, kontrol edilebilir ölçütlere bağlanır: Türkiye’de fiziksel mağazası bulunmayan; yalnızca çevrim içi ve/veya seçili satış noktaları üzerinden satan; ulusal zincir olmayan.</w:t>
      </w:r>
    </w:p>
    <w:p>
      <w:pPr>
        <w:pStyle w:val="BodyText"/>
      </w:pPr>
      <w:r>
        <w:rPr>
          <w:bCs/>
          <w:b/>
        </w:rPr>
        <w:t xml:space="preserve">6. ÇÖD’yü görünür bir kritik ölçütü yap.</w:t>
      </w:r>
      <w:r>
        <w:t xml:space="preserve"> </w:t>
      </w:r>
      <w:r>
        <w:t xml:space="preserve">Dört basamaklı ölçek, öğrencilerle paylaşılır ve kritikte ortak dil olarak kullanılır. Ölçeğin kendisi bir öğrenme aracıdır: Öğrencinin</w:t>
      </w:r>
      <w:r>
        <w:t xml:space="preserve"> </w:t>
      </w:r>
      <w:r>
        <w:t xml:space="preserve">“</w:t>
      </w:r>
      <w:r>
        <w:t xml:space="preserve">bu karar Düzey 2’de kalmış</w:t>
      </w:r>
      <w:r>
        <w:t xml:space="preserve">”</w:t>
      </w:r>
      <w:r>
        <w:t xml:space="preserve"> </w:t>
      </w:r>
      <w:r>
        <w:t xml:space="preserve">geri bildirimini alması,</w:t>
      </w:r>
      <w:r>
        <w:t xml:space="preserve"> </w:t>
      </w:r>
      <w:r>
        <w:t xml:space="preserve">“</w:t>
      </w:r>
      <w:r>
        <w:t xml:space="preserve">bu karar yeterince gelişmemiş</w:t>
      </w:r>
      <w:r>
        <w:t xml:space="preserve">”</w:t>
      </w:r>
      <w:r>
        <w:t xml:space="preserve"> </w:t>
      </w:r>
      <w:r>
        <w:t xml:space="preserve">geri bildiriminden çok daha işlemseldir.</w:t>
      </w:r>
    </w:p>
    <w:p>
      <w:pPr>
        <w:pStyle w:val="BodyText"/>
      </w:pPr>
      <w:r>
        <w:t xml:space="preserve">Protokolün izlenebilirlik değeri de vardır. ÇÖD, dönem içinde ve dönemler arasında tekrar ölçülebilen bir göstergedir; bu da müfredat müdahalesinin etkisini nicel olarak izlemeye olanak tanır.</w:t>
      </w:r>
    </w:p>
    <w:p>
      <w:r>
        <w:pict>
          <v:rect style="width:0;height:1.5pt" o:hralign="center" o:hrstd="t" o:hr="t"/>
        </w:pict>
      </w:r>
    </w:p>
    <w:bookmarkEnd w:id="48"/>
    <w:bookmarkStart w:id="49" w:name="sınırlılıklar"/>
    <w:p>
      <w:pPr>
        <w:pStyle w:val="Heading2"/>
      </w:pPr>
      <w:r>
        <w:t xml:space="preserve">7. Sınırlılıklar</w:t>
      </w:r>
    </w:p>
    <w:p>
      <w:pPr>
        <w:pStyle w:val="FirstParagraph"/>
      </w:pPr>
      <w:r>
        <w:t xml:space="preserve">Bu çalışmanın sınırlılıkları açıkça belirtilmelidir.</w:t>
      </w:r>
    </w:p>
    <w:p>
      <w:pPr>
        <w:pStyle w:val="BodyText"/>
      </w:pPr>
      <w:r>
        <w:rPr>
          <w:bCs/>
          <w:b/>
        </w:rPr>
        <w:t xml:space="preserve">Kodlayıcı güvenirliği.</w:t>
      </w:r>
      <w:r>
        <w:t xml:space="preserve"> </w:t>
      </w:r>
      <w:r>
        <w:t xml:space="preserve">Kodlama tek araştırmacı tarafından yapılmış, belirsiz durumlarda ikinci yürütücünün görüşü alınmıştır; ancak kodlayıcılar arası güvenirlik katsayısı (ör. Cohen kappa) hesaplanmamıştır. ÇÖD ölçeğinin Düzey 2 ile Düzey 3 arasındaki eşiği yorum gerektirmektedir ve bu eşiğin bağımsız kodlayıcılarla sınanması gerekmektedir.</w:t>
      </w:r>
    </w:p>
    <w:p>
      <w:pPr>
        <w:pStyle w:val="BodyText"/>
      </w:pPr>
      <w:r>
        <w:rPr>
          <w:bCs/>
          <w:b/>
        </w:rPr>
        <w:t xml:space="preserve">Örneklem.</w:t>
      </w:r>
      <w:r>
        <w:t xml:space="preserve"> </w:t>
      </w:r>
      <w:r>
        <w:t xml:space="preserve">Veri, tek bir kurumda, tek bir dönemde ve tek bir öğrenci grubunda (n = 29; teslim n = 25) toplanmıştır. Bulgular, bu bağlam dışına doğrudan genellenemez.</w:t>
      </w:r>
    </w:p>
    <w:p>
      <w:pPr>
        <w:pStyle w:val="BodyText"/>
      </w:pPr>
      <w:r>
        <w:rPr>
          <w:bCs/>
          <w:b/>
        </w:rPr>
        <w:t xml:space="preserve">Eksik veri.</w:t>
      </w:r>
      <w:r>
        <w:t xml:space="preserve"> </w:t>
      </w:r>
      <w:r>
        <w:t xml:space="preserve">Çalışma Kâğıdı 1 (bireysel mekân okuması) teslimleri dijital olarak arşivlenmemiş; yalnızca grup sentezlerine yansıdığı ölçüde incelenebilmiştir. Mekân 5 grubunun sentezi arşivde bulunamamıştır. Dolayısıyla bireysel okumadan grup sentezine geçişteki bilgi kaybı ya da kazancı nicel olarak ölçülememiştir.</w:t>
      </w:r>
    </w:p>
    <w:p>
      <w:pPr>
        <w:pStyle w:val="BodyText"/>
      </w:pPr>
      <w:r>
        <w:rPr>
          <w:bCs/>
          <w:b/>
        </w:rPr>
        <w:t xml:space="preserve">Kesitsel tasarım.</w:t>
      </w:r>
      <w:r>
        <w:t xml:space="preserve"> </w:t>
      </w:r>
      <w:r>
        <w:t xml:space="preserve">Veri tek bir zaman noktasına aittir. Çeviri becerisinin dönem içinde nasıl geliştiği, ancak aynı ölçeğin ara jüri ve final jürisi ürünlerine uygulanmasıyla izlenebilir. Bu, çalışmanın doğrudan devamını oluşturmaktadır.</w:t>
      </w:r>
    </w:p>
    <w:p>
      <w:pPr>
        <w:pStyle w:val="BodyText"/>
      </w:pPr>
      <w:r>
        <w:rPr>
          <w:bCs/>
          <w:b/>
        </w:rPr>
        <w:t xml:space="preserve">Nedensellik.</w:t>
      </w:r>
      <w:r>
        <w:t xml:space="preserve"> </w:t>
      </w:r>
      <w:r>
        <w:t xml:space="preserve">Adlandırma ile yüksek ÇÖD arasındaki tam örtüşme, bir ilişkiyi gösterir; nedenselliği değil. Adlandırmanın çeviriyi iyileştirip iyileştirmediği, ancak adlandırmanın deneysel olarak dayatıldığı bir sonraki uygulamada sınanabilir.</w:t>
      </w:r>
    </w:p>
    <w:p>
      <w:r>
        <w:pict>
          <v:rect style="width:0;height:1.5pt" o:hralign="center" o:hrstd="t" o:hr="t"/>
        </w:pict>
      </w:r>
    </w:p>
    <w:bookmarkEnd w:id="49"/>
    <w:bookmarkStart w:id="50" w:name="sonuç"/>
    <w:p>
      <w:pPr>
        <w:pStyle w:val="Heading2"/>
      </w:pPr>
      <w:r>
        <w:t xml:space="preserve">8. Sonuç</w:t>
      </w:r>
    </w:p>
    <w:p>
      <w:pPr>
        <w:pStyle w:val="FirstParagraph"/>
      </w:pPr>
      <w:r>
        <w:t xml:space="preserve">Bu çalışma, perakende tasarımı stüdyosunda marka kimliğinin mekânsallaşması sorusunu, bitmiş projeden alıp çevirinin kendisine taşımıştır. Yirmi beş teslim, 75 marka önerisi ve 225 çeviri hücresi üzerinde yürütülen içerik analizi, dört temel bulgu üretmiştir.</w:t>
      </w:r>
    </w:p>
    <w:p>
      <w:pPr>
        <w:pStyle w:val="BodyText"/>
      </w:pPr>
      <w:r>
        <w:t xml:space="preserve">Birincisi, çeviri ölçülebilir bir yapıya sahiptir ve dört basamaklı bir ölçekte tutarlı biçimde derecelendirilebilir. Üçüncü sınıf öğrencilerinin önerilerinin %81’i işlemsel bir karara ulaşmakta, ancak yalnızca %34,7’si çizilebilir-ölçülebilir düzeye erişmektedir. En büyük kütle (%46,7), bir nesne</w:t>
      </w:r>
      <w:r>
        <w:t xml:space="preserve"> </w:t>
      </w:r>
      <w:r>
        <w:rPr>
          <w:iCs/>
          <w:i/>
        </w:rPr>
        <w:t xml:space="preserve">türü</w:t>
      </w:r>
      <w:r>
        <w:t xml:space="preserve"> </w:t>
      </w:r>
      <w:r>
        <w:t xml:space="preserve">adlandıran fakat o nesnenin mekânla kurduğu ilişkiyi tanımlamayan Düzey 2’de birikmektedir.</w:t>
      </w:r>
    </w:p>
    <w:p>
      <w:pPr>
        <w:pStyle w:val="BodyText"/>
      </w:pPr>
      <w:r>
        <w:t xml:space="preserve">İkincisi, tasarım aygıtı repertuvarı yapısal olarak dengesizdir. Sergileme birimi (%73) ve malzeme (%60) kararları baskınken, dolaşım ve plan kurgusu (%19) ile duyusal donatı (%9) sistematik olarak eksik kalmaktadır. Bu, bir</w:t>
      </w:r>
      <w:r>
        <w:t xml:space="preserve"> </w:t>
      </w:r>
      <w:r>
        <w:rPr>
          <w:iCs/>
          <w:i/>
        </w:rPr>
        <w:t xml:space="preserve">nesne yanlılığı</w:t>
      </w:r>
      <w:r>
        <w:t xml:space="preserve"> </w:t>
      </w:r>
      <w:r>
        <w:t xml:space="preserve">ve bir</w:t>
      </w:r>
      <w:r>
        <w:t xml:space="preserve"> </w:t>
      </w:r>
      <w:r>
        <w:rPr>
          <w:iCs/>
          <w:i/>
        </w:rPr>
        <w:t xml:space="preserve">göz-merkezlilik</w:t>
      </w:r>
      <w:r>
        <w:t xml:space="preserve"> </w:t>
      </w:r>
      <w:r>
        <w:t xml:space="preserve">olarak adlandırılabilir; her ikisi de araç tasarımıyla doğrudan ilişkilidir.</w:t>
      </w:r>
    </w:p>
    <w:p>
      <w:pPr>
        <w:pStyle w:val="BodyText"/>
      </w:pPr>
      <w:r>
        <w:t xml:space="preserve">Üçüncüsü, anahtar kelime sözlüğü son derece dağınıktır (146 tekil kelime, %73 hapax). Bu dağınıklık markaya özgü düşünmenin işareti olduğu kadar, ortak bir mesleki sözlüğün yokluğunun da göstergesidir.</w:t>
      </w:r>
    </w:p>
    <w:p>
      <w:pPr>
        <w:pStyle w:val="BodyText"/>
      </w:pPr>
      <w:r>
        <w:t xml:space="preserve">Dördüncüsü ve en özgün olarak,</w:t>
      </w:r>
      <w:r>
        <w:t xml:space="preserve"> </w:t>
      </w:r>
      <w:r>
        <w:rPr>
          <w:iCs/>
          <w:i/>
        </w:rPr>
        <w:t xml:space="preserve">adlandırılmış mekânsal aygıt</w:t>
      </w:r>
      <w:r>
        <w:t xml:space="preserve"> </w:t>
      </w:r>
      <w:r>
        <w:t xml:space="preserve">üretimi, yüksek düzeyli çevirinin gözlemlenebilir eşik göstergesidir. Yalnızca 12 öneride (%16) görülen bu edim, bu önerilerin tamamında en yüksek çeviri düzeyiyle örtüşmektedir. Bir mekânsal karara marka sözlüğünden türetilmiş bir ad vermek, kararın tekilliğini, yerini ve anlatısal bağını aynı anda kurmayı gerektirir.</w:t>
      </w:r>
    </w:p>
    <w:p>
      <w:pPr>
        <w:pStyle w:val="BodyText"/>
      </w:pPr>
      <w:r>
        <w:t xml:space="preserve">Bu bulguların toplamı, basit ama sonuçları geniş bir savı desteklemektedir:</w:t>
      </w:r>
      <w:r>
        <w:t xml:space="preserve"> </w:t>
      </w:r>
      <w:r>
        <w:rPr>
          <w:bCs/>
          <w:b/>
        </w:rPr>
        <w:t xml:space="preserve">Marka kimliğinin mekâna çevrilmesi sezgisel bir sıçrama değil, adımları tanımlanabilir bir beceridir; dolayısıyla öğretilebilir, ölçülebilir ve geliştirilebilir.</w:t>
      </w:r>
      <w:r>
        <w:t xml:space="preserve"> </w:t>
      </w:r>
      <w:r>
        <w:t xml:space="preserve">Dönem sonunda</w:t>
      </w:r>
      <w:r>
        <w:t xml:space="preserve"> </w:t>
      </w:r>
      <w:r>
        <w:t xml:space="preserve">“</w:t>
      </w:r>
      <w:r>
        <w:t xml:space="preserve">somutlaştırma yetersizliği</w:t>
      </w:r>
      <w:r>
        <w:t xml:space="preserve">”</w:t>
      </w:r>
      <w:r>
        <w:t xml:space="preserve"> </w:t>
      </w:r>
      <w:r>
        <w:t xml:space="preserve">olarak görünen şey, dönemin ilk haftasında anahtar kelimenin mekânsal karara dönüşmediği anda başlamaktadır. Müdahalenin yeri de burasıdır.</w:t>
      </w:r>
    </w:p>
    <w:p>
      <w:pPr>
        <w:pStyle w:val="BodyText"/>
      </w:pPr>
      <w:r>
        <w:t xml:space="preserve">Çalışmanın önerdiği Anahtar Kelime Protokolü — üç sütunlu çeviri tablosu, aygıt ailesi kotası, adlandırma zorunluluğu, konum sorusu, ölçütlendirilmiş brif kısıtı ve görünür bir ÇÖD ölçeği — mevcut atölye kurgusunu bozmadan uygulanabilir ve etkisi aynı ölçekle izlenebilir. Bir sonraki araştırma adımı, bu protokolün uygulandığı bir sonraki dönemle mevcut taban çizgisinin karşılaştırılması; ve ÇÖD ölçeğinin ara jüri ile final jürisi ürünlerine uygulanarak çeviri becerisinin dönem içi gelişiminin boylamsal olarak izlenmesidir.</w:t>
      </w:r>
    </w:p>
    <w:p>
      <w:r>
        <w:pict>
          <v:rect style="width:0;height:1.5pt" o:hralign="center" o:hrstd="t" o:hr="t"/>
        </w:pict>
      </w:r>
    </w:p>
    <w:bookmarkEnd w:id="50"/>
    <w:bookmarkStart w:id="51" w:name="kaynakça"/>
    <w:p>
      <w:pPr>
        <w:pStyle w:val="Heading2"/>
      </w:pPr>
      <w:r>
        <w:t xml:space="preserve">Kaynakça</w:t>
      </w:r>
    </w:p>
    <w:p>
      <w:pPr>
        <w:pStyle w:val="FirstParagraph"/>
      </w:pPr>
      <w:r>
        <w:t xml:space="preserve">Batat, Wided. 2019.</w:t>
      </w:r>
      <w:r>
        <w:t xml:space="preserve"> </w:t>
      </w:r>
      <w:r>
        <w:rPr>
          <w:iCs/>
          <w:i/>
        </w:rPr>
        <w:t xml:space="preserve">Experiential Marketing</w:t>
      </w:r>
      <w:r>
        <w:t xml:space="preserve">. Londra: Routledge.</w:t>
      </w:r>
    </w:p>
    <w:p>
      <w:pPr>
        <w:pStyle w:val="BodyText"/>
      </w:pPr>
      <w:r>
        <w:t xml:space="preserve">Bitner, Mary Jo. 1992.</w:t>
      </w:r>
      <w:r>
        <w:t xml:space="preserve"> </w:t>
      </w:r>
      <w:r>
        <w:t xml:space="preserve">“</w:t>
      </w:r>
      <w:r>
        <w:t xml:space="preserve">Servicescapes: The Impact of Physical Surroundings on Customers and Employees.</w:t>
      </w:r>
      <w:r>
        <w:t xml:space="preserve">”</w:t>
      </w:r>
      <w:r>
        <w:t xml:space="preserve"> </w:t>
      </w:r>
      <w:r>
        <w:rPr>
          <w:iCs/>
          <w:i/>
        </w:rPr>
        <w:t xml:space="preserve">Journal of Marketing</w:t>
      </w:r>
      <w:r>
        <w:t xml:space="preserve"> </w:t>
      </w:r>
      <w:r>
        <w:t xml:space="preserve">56 (2): 57–71. https://doi.org/10.1177/002224299205600205</w:t>
      </w:r>
    </w:p>
    <w:p>
      <w:pPr>
        <w:pStyle w:val="BodyText"/>
      </w:pPr>
      <w:r>
        <w:t xml:space="preserve">Chasanidou, Dimitra, Andrea A. Gasparini ve Eunji Lee. 2015.</w:t>
      </w:r>
      <w:r>
        <w:t xml:space="preserve"> </w:t>
      </w:r>
      <w:r>
        <w:t xml:space="preserve">“</w:t>
      </w:r>
      <w:r>
        <w:t xml:space="preserve">Design Thinking Methods and Tools for Innovation.</w:t>
      </w:r>
      <w:r>
        <w:t xml:space="preserve">”</w:t>
      </w:r>
      <w:r>
        <w:t xml:space="preserve"> </w:t>
      </w:r>
      <w:r>
        <w:rPr>
          <w:iCs/>
          <w:i/>
        </w:rPr>
        <w:t xml:space="preserve">Design, User Experience, and Usability: Design Discourse</w:t>
      </w:r>
      <w:r>
        <w:t xml:space="preserve"> </w:t>
      </w:r>
      <w:r>
        <w:t xml:space="preserve">içinde, ed. Aaron Marcus. Cham: Springer.</w:t>
      </w:r>
    </w:p>
    <w:p>
      <w:pPr>
        <w:pStyle w:val="BodyText"/>
      </w:pPr>
      <w:r>
        <w:t xml:space="preserve">Cheetham, Graham ve Geoff Chivers. 1996.</w:t>
      </w:r>
      <w:r>
        <w:t xml:space="preserve"> </w:t>
      </w:r>
      <w:r>
        <w:t xml:space="preserve">“</w:t>
      </w:r>
      <w:r>
        <w:t xml:space="preserve">Towards a Holistic Model of Professional Competence.</w:t>
      </w:r>
      <w:r>
        <w:t xml:space="preserve">”</w:t>
      </w:r>
      <w:r>
        <w:t xml:space="preserve"> </w:t>
      </w:r>
      <w:r>
        <w:rPr>
          <w:iCs/>
          <w:i/>
        </w:rPr>
        <w:t xml:space="preserve">Journal of European Industrial Training</w:t>
      </w:r>
      <w:r>
        <w:t xml:space="preserve"> </w:t>
      </w:r>
      <w:r>
        <w:t xml:space="preserve">20 (5): 20–30. https://doi.org/10.1108/03090599610119692</w:t>
      </w:r>
    </w:p>
    <w:p>
      <w:pPr>
        <w:pStyle w:val="BodyText"/>
      </w:pPr>
      <w:r>
        <w:t xml:space="preserve">Cooper, Alan. 1999.</w:t>
      </w:r>
      <w:r>
        <w:t xml:space="preserve"> </w:t>
      </w:r>
      <w:r>
        <w:rPr>
          <w:iCs/>
          <w:i/>
        </w:rPr>
        <w:t xml:space="preserve">The Inmates Are Running the Asylum</w:t>
      </w:r>
      <w:r>
        <w:t xml:space="preserve">. Indianapolis: SAMS/Macmillan.</w:t>
      </w:r>
    </w:p>
    <w:p>
      <w:pPr>
        <w:pStyle w:val="BodyText"/>
      </w:pPr>
      <w:r>
        <w:t xml:space="preserve">De Chiara, Joseph, Julius Panero ve Martin Zelnik, ed. 2001.</w:t>
      </w:r>
      <w:r>
        <w:t xml:space="preserve"> </w:t>
      </w:r>
      <w:r>
        <w:rPr>
          <w:iCs/>
          <w:i/>
        </w:rPr>
        <w:t xml:space="preserve">Time-Saver Standards for Interior Design and Space Planning</w:t>
      </w:r>
      <w:r>
        <w:t xml:space="preserve">. New York: McGraw-Hill.</w:t>
      </w:r>
    </w:p>
    <w:p>
      <w:pPr>
        <w:pStyle w:val="BodyText"/>
      </w:pPr>
      <w:r>
        <w:t xml:space="preserve">Di Iorio, Mariagiovanna ve Alessandra Spagnoli. 2023.</w:t>
      </w:r>
      <w:r>
        <w:t xml:space="preserve"> </w:t>
      </w:r>
      <w:r>
        <w:t xml:space="preserve">“</w:t>
      </w:r>
      <w:r>
        <w:t xml:space="preserve">Retail Design Education: Designing New and Reframed Learning Tools for Experience-Based Learning.</w:t>
      </w:r>
      <w:r>
        <w:t xml:space="preserve">”</w:t>
      </w:r>
      <w:r>
        <w:t xml:space="preserve"> </w:t>
      </w:r>
      <w:r>
        <w:rPr>
          <w:iCs/>
          <w:i/>
        </w:rPr>
        <w:t xml:space="preserve">9th International Conference on Higher Education Advances (HEAd’23)</w:t>
      </w:r>
      <w:r>
        <w:t xml:space="preserve"> </w:t>
      </w:r>
      <w:r>
        <w:t xml:space="preserve">bildiri kitabı. Valencia. https://doi.org/10.4995/HEAd23.2023.16111</w:t>
      </w:r>
    </w:p>
    <w:p>
      <w:pPr>
        <w:pStyle w:val="BodyText"/>
      </w:pPr>
      <w:r>
        <w:t xml:space="preserve">Klanten, Robert, Sven Ehmann ve Sofia Borges, ed. 2013.</w:t>
      </w:r>
      <w:r>
        <w:t xml:space="preserve"> </w:t>
      </w:r>
      <w:r>
        <w:rPr>
          <w:iCs/>
          <w:i/>
        </w:rPr>
        <w:t xml:space="preserve">Brand Spaces: Branded Architecture and the Future of Retail Design</w:t>
      </w:r>
      <w:r>
        <w:t xml:space="preserve">. Berlin: Gestalten.</w:t>
      </w:r>
    </w:p>
    <w:p>
      <w:pPr>
        <w:pStyle w:val="BodyText"/>
      </w:pPr>
      <w:r>
        <w:t xml:space="preserve">Klingmann, Anna. 2010.</w:t>
      </w:r>
      <w:r>
        <w:t xml:space="preserve"> </w:t>
      </w:r>
      <w:r>
        <w:rPr>
          <w:iCs/>
          <w:i/>
        </w:rPr>
        <w:t xml:space="preserve">Brandscapes: Architecture in the Experience Economy</w:t>
      </w:r>
      <w:r>
        <w:t xml:space="preserve">. Cambridge, MA: MIT Press.</w:t>
      </w:r>
    </w:p>
    <w:p>
      <w:pPr>
        <w:pStyle w:val="BodyText"/>
      </w:pPr>
      <w:r>
        <w:t xml:space="preserve">Kotler, Philip. 1973.</w:t>
      </w:r>
      <w:r>
        <w:t xml:space="preserve"> </w:t>
      </w:r>
      <w:r>
        <w:t xml:space="preserve">“</w:t>
      </w:r>
      <w:r>
        <w:t xml:space="preserve">Atmospherics as a Marketing Tool.</w:t>
      </w:r>
      <w:r>
        <w:t xml:space="preserve">”</w:t>
      </w:r>
      <w:r>
        <w:t xml:space="preserve"> </w:t>
      </w:r>
      <w:r>
        <w:rPr>
          <w:iCs/>
          <w:i/>
        </w:rPr>
        <w:t xml:space="preserve">Journal of Retailing</w:t>
      </w:r>
      <w:r>
        <w:t xml:space="preserve"> </w:t>
      </w:r>
      <w:r>
        <w:t xml:space="preserve">49 (4): 48–64.</w:t>
      </w:r>
    </w:p>
    <w:p>
      <w:pPr>
        <w:pStyle w:val="BodyText"/>
      </w:pPr>
      <w:r>
        <w:t xml:space="preserve">Köprülü, Amara ve Yunus E. Boz. 2023.</w:t>
      </w:r>
      <w:r>
        <w:t xml:space="preserve"> </w:t>
      </w:r>
      <w:r>
        <w:t xml:space="preserve">“</w:t>
      </w:r>
      <w:r>
        <w:t xml:space="preserve">Process of Telling the Brand Story Through Space Design in Interior-Brand Interaction: The Case of Decovita Etiler Showroom Store.</w:t>
      </w:r>
      <w:r>
        <w:t xml:space="preserve">”</w:t>
      </w:r>
      <w:r>
        <w:t xml:space="preserve"> </w:t>
      </w:r>
      <w:r>
        <w:rPr>
          <w:iCs/>
          <w:i/>
        </w:rPr>
        <w:t xml:space="preserve">ICCAUA Proceedings</w:t>
      </w:r>
      <w:r>
        <w:t xml:space="preserve"> </w:t>
      </w:r>
      <w:r>
        <w:t xml:space="preserve">6 (1): 169–184. https://doi.org/10.38027/iccaua2023en0282</w:t>
      </w:r>
    </w:p>
    <w:p>
      <w:pPr>
        <w:pStyle w:val="BodyText"/>
      </w:pPr>
      <w:r>
        <w:t xml:space="preserve">Le Deist, Françoise D. ve Jonathan Winterton. 2005.</w:t>
      </w:r>
      <w:r>
        <w:t xml:space="preserve"> </w:t>
      </w:r>
      <w:r>
        <w:t xml:space="preserve">“</w:t>
      </w:r>
      <w:r>
        <w:t xml:space="preserve">What Is Competence?</w:t>
      </w:r>
      <w:r>
        <w:t xml:space="preserve">”</w:t>
      </w:r>
      <w:r>
        <w:t xml:space="preserve"> </w:t>
      </w:r>
      <w:r>
        <w:rPr>
          <w:iCs/>
          <w:i/>
        </w:rPr>
        <w:t xml:space="preserve">Human Resource Development International</w:t>
      </w:r>
      <w:r>
        <w:t xml:space="preserve"> </w:t>
      </w:r>
      <w:r>
        <w:t xml:space="preserve">8 (1): 27–46. https://doi.org/10.1080/1367886042000338227</w:t>
      </w:r>
    </w:p>
    <w:p>
      <w:pPr>
        <w:pStyle w:val="BodyText"/>
      </w:pPr>
      <w:r>
        <w:t xml:space="preserve">Lemon, Katherine N. ve Peter C. Verhoef. 2016.</w:t>
      </w:r>
      <w:r>
        <w:t xml:space="preserve"> </w:t>
      </w:r>
      <w:r>
        <w:t xml:space="preserve">“</w:t>
      </w:r>
      <w:r>
        <w:t xml:space="preserve">Understanding Customer Experience Throughout the Customer Journey.</w:t>
      </w:r>
      <w:r>
        <w:t xml:space="preserve">”</w:t>
      </w:r>
      <w:r>
        <w:t xml:space="preserve"> </w:t>
      </w:r>
      <w:r>
        <w:rPr>
          <w:iCs/>
          <w:i/>
        </w:rPr>
        <w:t xml:space="preserve">Journal of Marketing</w:t>
      </w:r>
      <w:r>
        <w:t xml:space="preserve"> </w:t>
      </w:r>
      <w:r>
        <w:t xml:space="preserve">80 (6): 69–96. https://doi.org/10.1509/jm.15.0420</w:t>
      </w:r>
    </w:p>
    <w:p>
      <w:pPr>
        <w:pStyle w:val="BodyText"/>
      </w:pPr>
      <w:r>
        <w:t xml:space="preserve">Mehrabian, Albert ve James A. Russell. 1974.</w:t>
      </w:r>
      <w:r>
        <w:t xml:space="preserve"> </w:t>
      </w:r>
      <w:r>
        <w:rPr>
          <w:iCs/>
          <w:i/>
        </w:rPr>
        <w:t xml:space="preserve">An Approach to Environmental Psychology</w:t>
      </w:r>
      <w:r>
        <w:t xml:space="preserve">. Cambridge, MA: MIT Press.</w:t>
      </w:r>
    </w:p>
    <w:p>
      <w:pPr>
        <w:pStyle w:val="BodyText"/>
      </w:pPr>
      <w:r>
        <w:t xml:space="preserve">Mesher, Lynne. 2010.</w:t>
      </w:r>
      <w:r>
        <w:t xml:space="preserve"> </w:t>
      </w:r>
      <w:r>
        <w:rPr>
          <w:iCs/>
          <w:i/>
        </w:rPr>
        <w:t xml:space="preserve">Basics Interior Design: Retail Design</w:t>
      </w:r>
      <w:r>
        <w:t xml:space="preserve">. Lozan: AVA Publishing.</w:t>
      </w:r>
    </w:p>
    <w:p>
      <w:pPr>
        <w:pStyle w:val="BodyText"/>
      </w:pPr>
      <w:r>
        <w:t xml:space="preserve">Micheaux, Andrea ve Birgit Bosio. 2019.</w:t>
      </w:r>
      <w:r>
        <w:t xml:space="preserve"> </w:t>
      </w:r>
      <w:r>
        <w:t xml:space="preserve">“</w:t>
      </w:r>
      <w:r>
        <w:t xml:space="preserve">Customer Journey Mapping as a New Way to Teach Data-Driven Marketing as a Service.</w:t>
      </w:r>
      <w:r>
        <w:t xml:space="preserve">”</w:t>
      </w:r>
      <w:r>
        <w:t xml:space="preserve"> </w:t>
      </w:r>
      <w:r>
        <w:rPr>
          <w:iCs/>
          <w:i/>
        </w:rPr>
        <w:t xml:space="preserve">Journal of Marketing Education</w:t>
      </w:r>
      <w:r>
        <w:t xml:space="preserve"> </w:t>
      </w:r>
      <w:r>
        <w:t xml:space="preserve">41 (2): 127–140. https://doi.org/10.1177/0273475318812551</w:t>
      </w:r>
    </w:p>
    <w:p>
      <w:pPr>
        <w:pStyle w:val="BodyText"/>
      </w:pPr>
      <w:r>
        <w:t xml:space="preserve">Pallasmaa, Juhani. 2005.</w:t>
      </w:r>
      <w:r>
        <w:t xml:space="preserve"> </w:t>
      </w:r>
      <w:r>
        <w:rPr>
          <w:iCs/>
          <w:i/>
        </w:rPr>
        <w:t xml:space="preserve">Tenin Gözleri: Mimarlık ve Duyular</w:t>
      </w:r>
      <w:r>
        <w:t xml:space="preserve">. Çev. Aziz Ufuk Kılıç. İstanbul: YEM Yayın.</w:t>
      </w:r>
    </w:p>
    <w:p>
      <w:pPr>
        <w:pStyle w:val="BodyText"/>
      </w:pPr>
      <w:r>
        <w:t xml:space="preserve">Panero, Julius ve Martin Zelnik. 1979.</w:t>
      </w:r>
      <w:r>
        <w:t xml:space="preserve"> </w:t>
      </w:r>
      <w:r>
        <w:rPr>
          <w:iCs/>
          <w:i/>
        </w:rPr>
        <w:t xml:space="preserve">Human Dimension and Interior Space</w:t>
      </w:r>
      <w:r>
        <w:t xml:space="preserve">. New York: Watson-Guptill.</w:t>
      </w:r>
    </w:p>
    <w:p>
      <w:pPr>
        <w:pStyle w:val="BodyText"/>
      </w:pPr>
      <w:r>
        <w:t xml:space="preserve">Petermans, Ann, Wim Janssens ve Koenraad Van Cleempoel. 2013.</w:t>
      </w:r>
      <w:r>
        <w:t xml:space="preserve"> </w:t>
      </w:r>
      <w:r>
        <w:t xml:space="preserve">“</w:t>
      </w:r>
      <w:r>
        <w:t xml:space="preserve">A Holistic Framework for Conceptualizing Customer Experiences in Retail Environments.</w:t>
      </w:r>
      <w:r>
        <w:t xml:space="preserve">”</w:t>
      </w:r>
      <w:r>
        <w:t xml:space="preserve"> </w:t>
      </w:r>
      <w:r>
        <w:rPr>
          <w:iCs/>
          <w:i/>
        </w:rPr>
        <w:t xml:space="preserve">International Journal of Design</w:t>
      </w:r>
      <w:r>
        <w:t xml:space="preserve"> </w:t>
      </w:r>
      <w:r>
        <w:t xml:space="preserve">7 (2): 1–18.</w:t>
      </w:r>
    </w:p>
    <w:p>
      <w:pPr>
        <w:pStyle w:val="BodyText"/>
      </w:pPr>
      <w:r>
        <w:t xml:space="preserve">Petermans, Ann ve Koenraad Van Cleempoel. 2009.</w:t>
      </w:r>
      <w:r>
        <w:t xml:space="preserve"> </w:t>
      </w:r>
      <w:r>
        <w:t xml:space="preserve">“</w:t>
      </w:r>
      <w:r>
        <w:t xml:space="preserve">Retail Design and the Experience Economy: Where Are We (Going)?</w:t>
      </w:r>
      <w:r>
        <w:t xml:space="preserve">”</w:t>
      </w:r>
      <w:r>
        <w:t xml:space="preserve"> </w:t>
      </w:r>
      <w:r>
        <w:rPr>
          <w:iCs/>
          <w:i/>
        </w:rPr>
        <w:t xml:space="preserve">Design Principles and Practices</w:t>
      </w:r>
      <w:r>
        <w:t xml:space="preserve"> </w:t>
      </w:r>
      <w:r>
        <w:t xml:space="preserve">3 (1): 171–182. https://doi.org/10.18848/1833-1874/cgp/v03i01/37604</w:t>
      </w:r>
    </w:p>
    <w:p>
      <w:pPr>
        <w:pStyle w:val="BodyText"/>
      </w:pPr>
      <w:r>
        <w:t xml:space="preserve">Pine, B. Joseph ve James H. Gilmore. 1999.</w:t>
      </w:r>
      <w:r>
        <w:t xml:space="preserve"> </w:t>
      </w:r>
      <w:r>
        <w:rPr>
          <w:iCs/>
          <w:i/>
        </w:rPr>
        <w:t xml:space="preserve">The Experience Economy: Work Is Theatre and Every Business a Stage</w:t>
      </w:r>
      <w:r>
        <w:t xml:space="preserve">. Boston: Harvard Business School Press.</w:t>
      </w:r>
    </w:p>
    <w:p>
      <w:pPr>
        <w:pStyle w:val="BodyText"/>
      </w:pPr>
      <w:r>
        <w:t xml:space="preserve">Quartier, Katelijn. 2023.</w:t>
      </w:r>
      <w:r>
        <w:t xml:space="preserve"> </w:t>
      </w:r>
      <w:r>
        <w:rPr>
          <w:iCs/>
          <w:i/>
        </w:rPr>
        <w:t xml:space="preserve">The Big Book of Retail Design</w:t>
      </w:r>
      <w:r>
        <w:t xml:space="preserve">. Tielt: Lannoo Campus.</w:t>
      </w:r>
    </w:p>
    <w:p>
      <w:pPr>
        <w:pStyle w:val="BodyText"/>
      </w:pPr>
      <w:r>
        <w:t xml:space="preserve">Quartier, Katelijn, Stephanie Claes ve Jan Vanrie. 2017.</w:t>
      </w:r>
      <w:r>
        <w:t xml:space="preserve"> </w:t>
      </w:r>
      <w:r>
        <w:t xml:space="preserve">“</w:t>
      </w:r>
      <w:r>
        <w:t xml:space="preserve">Rethinking the Education of Retail Design: What Are the Competences a Retail Designer Needs in This Fast Evolving Discipline?</w:t>
      </w:r>
      <w:r>
        <w:t xml:space="preserve">”</w:t>
      </w:r>
      <w:r>
        <w:t xml:space="preserve"> </w:t>
      </w:r>
      <w:r>
        <w:rPr>
          <w:iCs/>
          <w:i/>
        </w:rPr>
        <w:t xml:space="preserve">The Design Journal</w:t>
      </w:r>
      <w:r>
        <w:t xml:space="preserve"> </w:t>
      </w:r>
      <w:r>
        <w:t xml:space="preserve">20 (sup1): 1285–1292. https://doi.org/10.1080/14606925.2017.1352657</w:t>
      </w:r>
    </w:p>
    <w:p>
      <w:pPr>
        <w:pStyle w:val="BodyText"/>
      </w:pPr>
      <w:r>
        <w:t xml:space="preserve">Quartier, Katelijn, Stephanie Claes ve Jan Vanrie. 2020.</w:t>
      </w:r>
      <w:r>
        <w:t xml:space="preserve"> </w:t>
      </w:r>
      <w:r>
        <w:t xml:space="preserve">“</w:t>
      </w:r>
      <w:r>
        <w:t xml:space="preserve">A Holistic Competence Framework for (Future) Retail Design and Retail Design Education.</w:t>
      </w:r>
      <w:r>
        <w:t xml:space="preserve">”</w:t>
      </w:r>
      <w:r>
        <w:t xml:space="preserve"> </w:t>
      </w:r>
      <w:r>
        <w:rPr>
          <w:iCs/>
          <w:i/>
        </w:rPr>
        <w:t xml:space="preserve">Journal of Retailing and Consumer Services</w:t>
      </w:r>
      <w:r>
        <w:t xml:space="preserve"> </w:t>
      </w:r>
      <w:r>
        <w:t xml:space="preserve">55: 101914. https://doi.org/10.1016/j.jretconser.2019.101914</w:t>
      </w:r>
    </w:p>
    <w:p>
      <w:pPr>
        <w:pStyle w:val="BodyText"/>
      </w:pPr>
      <w:r>
        <w:t xml:space="preserve">Rolla, Silvia, Deniz Hasırcı, Yücel Selin Anal ve Zeynep Edes. 2021.</w:t>
      </w:r>
      <w:r>
        <w:t xml:space="preserve"> </w:t>
      </w:r>
      <w:r>
        <w:t xml:space="preserve">“</w:t>
      </w:r>
      <w:r>
        <w:t xml:space="preserve">Designing a Concept Store: An Interdisciplinary Design Process.</w:t>
      </w:r>
      <w:r>
        <w:t xml:space="preserve">”</w:t>
      </w:r>
      <w:r>
        <w:t xml:space="preserve"> </w:t>
      </w:r>
      <w:r>
        <w:rPr>
          <w:iCs/>
          <w:i/>
        </w:rPr>
        <w:t xml:space="preserve">GRID – Architecture, Planning and Design Journal</w:t>
      </w:r>
      <w:r>
        <w:t xml:space="preserve"> </w:t>
      </w:r>
      <w:r>
        <w:t xml:space="preserve">4 (2): 101–145. https://doi.org/10.37246/grid.889515</w:t>
      </w:r>
    </w:p>
    <w:p>
      <w:pPr>
        <w:pStyle w:val="BodyText"/>
      </w:pPr>
      <w:r>
        <w:t xml:space="preserve">Schittich, Christian, ed. 2002.</w:t>
      </w:r>
      <w:r>
        <w:t xml:space="preserve"> </w:t>
      </w:r>
      <w:r>
        <w:rPr>
          <w:iCs/>
          <w:i/>
        </w:rPr>
        <w:t xml:space="preserve">Interior Spaces: Space, Light, Material</w:t>
      </w:r>
      <w:r>
        <w:t xml:space="preserve">. Münih: Edition Detail / Birkhäuser.</w:t>
      </w:r>
    </w:p>
    <w:p>
      <w:pPr>
        <w:pStyle w:val="BodyText"/>
      </w:pPr>
      <w:r>
        <w:t xml:space="preserve">Schmitt, Bernd. 1999.</w:t>
      </w:r>
      <w:r>
        <w:t xml:space="preserve"> </w:t>
      </w:r>
      <w:r>
        <w:t xml:space="preserve">“</w:t>
      </w:r>
      <w:r>
        <w:t xml:space="preserve">Experiential Marketing.</w:t>
      </w:r>
      <w:r>
        <w:t xml:space="preserve">”</w:t>
      </w:r>
      <w:r>
        <w:t xml:space="preserve"> </w:t>
      </w:r>
      <w:r>
        <w:rPr>
          <w:iCs/>
          <w:i/>
        </w:rPr>
        <w:t xml:space="preserve">Journal of Marketing Management</w:t>
      </w:r>
      <w:r>
        <w:t xml:space="preserve"> </w:t>
      </w:r>
      <w:r>
        <w:t xml:space="preserve">15 (1–3): 53–67. https://doi.org/10.1362/026725799784870496</w:t>
      </w:r>
    </w:p>
    <w:p>
      <w:pPr>
        <w:pStyle w:val="BodyText"/>
      </w:pPr>
      <w:r>
        <w:t xml:space="preserve">Spence, Charles, Nancy M. Puccinelli, Dhruv Grewal ve Anne L. Roggeveen. 2014.</w:t>
      </w:r>
      <w:r>
        <w:t xml:space="preserve"> </w:t>
      </w:r>
      <w:r>
        <w:t xml:space="preserve">“</w:t>
      </w:r>
      <w:r>
        <w:t xml:space="preserve">Store Atmospherics: A Multisensory Perspective.</w:t>
      </w:r>
      <w:r>
        <w:t xml:space="preserve">”</w:t>
      </w:r>
      <w:r>
        <w:t xml:space="preserve"> </w:t>
      </w:r>
      <w:r>
        <w:rPr>
          <w:iCs/>
          <w:i/>
        </w:rPr>
        <w:t xml:space="preserve">Psychology &amp; Marketing</w:t>
      </w:r>
      <w:r>
        <w:t xml:space="preserve"> </w:t>
      </w:r>
      <w:r>
        <w:t xml:space="preserve">31 (7): 472–488. https://doi.org/10.1002/mar.20709</w:t>
      </w:r>
    </w:p>
    <w:p>
      <w:pPr>
        <w:pStyle w:val="BodyText"/>
      </w:pPr>
      <w:r>
        <w:t xml:space="preserve">Stein, Alisha ve B. Ramaseshan. 2016.</w:t>
      </w:r>
      <w:r>
        <w:t xml:space="preserve"> </w:t>
      </w:r>
      <w:r>
        <w:t xml:space="preserve">“</w:t>
      </w:r>
      <w:r>
        <w:t xml:space="preserve">Towards the Identification of Customer Experience Touch Point Elements.</w:t>
      </w:r>
      <w:r>
        <w:t xml:space="preserve">”</w:t>
      </w:r>
      <w:r>
        <w:t xml:space="preserve"> </w:t>
      </w:r>
      <w:r>
        <w:rPr>
          <w:iCs/>
          <w:i/>
        </w:rPr>
        <w:t xml:space="preserve">Journal of Retailing and Consumer Services</w:t>
      </w:r>
      <w:r>
        <w:t xml:space="preserve"> </w:t>
      </w:r>
      <w:r>
        <w:t xml:space="preserve">30: 8–19. https://doi.org/10.1016/j.jretconser.2015.12.001</w:t>
      </w:r>
    </w:p>
    <w:p>
      <w:pPr>
        <w:pStyle w:val="BodyText"/>
      </w:pPr>
      <w:r>
        <w:t xml:space="preserve">Stickdorn, Marc, Markus E. Hormess, Adam Lawrence ve Jakob Schneider. 2018.</w:t>
      </w:r>
      <w:r>
        <w:t xml:space="preserve"> </w:t>
      </w:r>
      <w:r>
        <w:rPr>
          <w:iCs/>
          <w:i/>
        </w:rPr>
        <w:t xml:space="preserve">This Is Service Design Doing</w:t>
      </w:r>
      <w:r>
        <w:t xml:space="preserve">. Sebastopol, CA: O’Reilly.</w:t>
      </w:r>
    </w:p>
    <w:p>
      <w:pPr>
        <w:pStyle w:val="BodyText"/>
      </w:pPr>
      <w:r>
        <w:t xml:space="preserve">Sunar Bükülmez, Pınar, Suzan Girginkaya Akdağ ve Gamze Ekin. 2025.</w:t>
      </w:r>
      <w:r>
        <w:t xml:space="preserve"> </w:t>
      </w:r>
      <w:r>
        <w:t xml:space="preserve">“</w:t>
      </w:r>
      <w:r>
        <w:t xml:space="preserve">Retail Design Competencies and Customer Journey Mapping Tools: A Holistic Interior Design Studio Perspective.</w:t>
      </w:r>
      <w:r>
        <w:t xml:space="preserve">”</w:t>
      </w:r>
      <w:r>
        <w:t xml:space="preserve"> </w:t>
      </w:r>
      <w:r>
        <w:rPr>
          <w:iCs/>
          <w:i/>
        </w:rPr>
        <w:t xml:space="preserve">The International Journal of Design Education</w:t>
      </w:r>
      <w:r>
        <w:t xml:space="preserve"> </w:t>
      </w:r>
      <w:r>
        <w:t xml:space="preserve">19 (2): 25–50. https://doi.org/10.18848/2325-128X/CGP/v19i02/25-50</w:t>
      </w:r>
    </w:p>
    <w:p>
      <w:pPr>
        <w:pStyle w:val="BodyText"/>
      </w:pPr>
      <w:r>
        <w:t xml:space="preserve">Underhill, Paco. 2008.</w:t>
      </w:r>
      <w:r>
        <w:t xml:space="preserve"> </w:t>
      </w:r>
      <w:r>
        <w:rPr>
          <w:iCs/>
          <w:i/>
        </w:rPr>
        <w:t xml:space="preserve">Why We Buy: The Science of Shopping</w:t>
      </w:r>
      <w:r>
        <w:t xml:space="preserve">. New York: Simon &amp; Schuster.</w:t>
      </w:r>
    </w:p>
    <w:p>
      <w:pPr>
        <w:pStyle w:val="BodyText"/>
      </w:pPr>
      <w:r>
        <w:t xml:space="preserve">Wheeler, Alina. 2017.</w:t>
      </w:r>
      <w:r>
        <w:t xml:space="preserve"> </w:t>
      </w:r>
      <w:r>
        <w:rPr>
          <w:iCs/>
          <w:i/>
        </w:rPr>
        <w:t xml:space="preserve">Designing Brand Identity: An Essential Guide for the Whole Branding Team</w:t>
      </w:r>
      <w:r>
        <w:t xml:space="preserve">. 5. baskı. Hoboken, NJ: Wiley.</w:t>
      </w:r>
    </w:p>
    <w:p>
      <w:pPr>
        <w:pStyle w:val="BodyText"/>
      </w:pPr>
      <w:r>
        <w:t xml:space="preserve">Zomerdijk, Leonieke G. ve Christopher A. Voss. 2010.</w:t>
      </w:r>
      <w:r>
        <w:t xml:space="preserve"> </w:t>
      </w:r>
      <w:r>
        <w:t xml:space="preserve">“</w:t>
      </w:r>
      <w:r>
        <w:t xml:space="preserve">Service Design for Experience-Centric Services.</w:t>
      </w:r>
      <w:r>
        <w:t xml:space="preserve">”</w:t>
      </w:r>
      <w:r>
        <w:t xml:space="preserve"> </w:t>
      </w:r>
      <w:r>
        <w:rPr>
          <w:iCs/>
          <w:i/>
        </w:rPr>
        <w:t xml:space="preserve">Journal of Service Research</w:t>
      </w:r>
      <w:r>
        <w:t xml:space="preserve"> </w:t>
      </w:r>
      <w:r>
        <w:t xml:space="preserve">13 (1): 67–82. https://doi.org/10.1177/1094670509351960</w:t>
      </w:r>
    </w:p>
    <w:p>
      <w:r>
        <w:pict>
          <v:rect style="width:0;height:1.5pt" o:hralign="center" o:hrstd="t" o:hr="t"/>
        </w:pict>
      </w:r>
    </w:p>
    <w:bookmarkEnd w:id="51"/>
    <w:bookmarkStart w:id="52" w:name="ek-a-marka-önerileri-listesi"/>
    <w:p>
      <w:pPr>
        <w:pStyle w:val="Heading2"/>
      </w:pPr>
      <w:r>
        <w:t xml:space="preserve">Ek A — Marka Önerileri Listesi</w:t>
      </w:r>
    </w:p>
    <w:p>
      <w:pPr>
        <w:pStyle w:val="FirstParagraph"/>
      </w:pPr>
      <w:r>
        <w:t xml:space="preserve">Yirmi beş teslimde önerilen 75 marka, kategori ve anahtar kelime setleriyle birlikte</w:t>
      </w:r>
      <w:r>
        <w:t xml:space="preserve"> </w:t>
      </w:r>
      <w:r>
        <w:rPr>
          <w:rStyle w:val="VerbatimChar"/>
        </w:rPr>
        <w:t xml:space="preserve">makale/veri/marka-onerileri.md</w:t>
      </w:r>
      <w:r>
        <w:t xml:space="preserve"> </w:t>
      </w:r>
      <w:r>
        <w:t xml:space="preserve">dosyasında listelenmiştir.</w:t>
      </w:r>
    </w:p>
    <w:bookmarkEnd w:id="52"/>
    <w:bookmarkStart w:id="53" w:name="ek-b-kodlama-verisi"/>
    <w:p>
      <w:pPr>
        <w:pStyle w:val="Heading2"/>
      </w:pPr>
      <w:r>
        <w:t xml:space="preserve">Ek B — Kodlama Verisi</w:t>
      </w:r>
    </w:p>
    <w:p>
      <w:pPr>
        <w:pStyle w:val="FirstParagraph"/>
      </w:pPr>
      <w:r>
        <w:t xml:space="preserve">Çeviri Özgüllüğü Düzeyi ve tasarım aygıtı kodları</w:t>
      </w:r>
      <w:r>
        <w:t xml:space="preserve"> </w:t>
      </w:r>
      <w:r>
        <w:rPr>
          <w:rStyle w:val="VerbatimChar"/>
        </w:rPr>
        <w:t xml:space="preserve">makale/veri/kodlama.csv</w:t>
      </w:r>
      <w:r>
        <w:t xml:space="preserve"> </w:t>
      </w:r>
      <w:r>
        <w:t xml:space="preserve">dosyasında; analiz betiği</w:t>
      </w:r>
      <w:r>
        <w:t xml:space="preserve"> </w:t>
      </w:r>
      <w:r>
        <w:rPr>
          <w:rStyle w:val="VerbatimChar"/>
        </w:rPr>
        <w:t xml:space="preserve">makale/veri/analiz.py</w:t>
      </w:r>
      <w:r>
        <w:t xml:space="preserve"> </w:t>
      </w:r>
      <w:r>
        <w:t xml:space="preserve">dosyasında yer almaktadır.</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2026-10-26T06:49:34Z</dcterms:created>
  <dcterms:modified xsi:type="dcterms:W3CDTF">2026-10-26T06:49:34Z</dcterms:modified>
</cp:coreProperties>
</file>

<file path=docProps/custom.xml><?xml version="1.0" encoding="utf-8"?>
<Properties xmlns="http://schemas.openxmlformats.org/officeDocument/2006/custom-properties" xmlns:vt="http://schemas.openxmlformats.org/officeDocument/2006/docPropsVTypes"/>
</file>