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8A34" w14:textId="13751121" w:rsidR="00DD6C4E" w:rsidRDefault="00415CAA" w:rsidP="00415CAA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Data Sources</w:t>
      </w:r>
    </w:p>
    <w:p w14:paraId="757F4E3D" w14:textId="7B5EEA6F" w:rsidR="00415CAA" w:rsidRPr="00415CAA" w:rsidRDefault="00415CAA" w:rsidP="00415CA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EV Charging Infrastructure</w:t>
      </w:r>
    </w:p>
    <w:p w14:paraId="62639357" w14:textId="4BBC40DF" w:rsidR="00415CAA" w:rsidRDefault="00415CAA" w:rsidP="00415CAA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NREL/AFDC Alternative Fueling Station data: </w:t>
      </w:r>
      <w:hyperlink r:id="rId5" w:history="1">
        <w:r>
          <w:rPr>
            <w:rStyle w:val="Hyperlink"/>
            <w:sz w:val="26"/>
            <w:szCs w:val="26"/>
          </w:rPr>
          <w:t>https://developer.nlr.gov/docs/transportation/alt-fuel-stations-v1/</w:t>
        </w:r>
      </w:hyperlink>
    </w:p>
    <w:p w14:paraId="1DC803B6" w14:textId="5FEACCA8" w:rsidR="00415CAA" w:rsidRDefault="00415CAA" w:rsidP="00415CAA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NEVI Corridor GIS Layer: </w:t>
      </w:r>
      <w:hyperlink r:id="rId6" w:history="1">
        <w:r>
          <w:rPr>
            <w:rStyle w:val="Hyperlink"/>
            <w:sz w:val="26"/>
            <w:szCs w:val="26"/>
          </w:rPr>
          <w:t>https://cecgis-caenergy.opendata.arcgis.com/datasets/CAEnergy::nevi-2-corridor-groups-october-28-2025/explore?location=37.277589%2C-119.373870%2C6</w:t>
        </w:r>
      </w:hyperlink>
    </w:p>
    <w:p w14:paraId="5C49D0AD" w14:textId="0E4D66A0" w:rsidR="00415CAA" w:rsidRPr="00415CAA" w:rsidRDefault="00415CAA" w:rsidP="00415CA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Air Quality</w:t>
      </w:r>
    </w:p>
    <w:p w14:paraId="65BB8C23" w14:textId="54C2FFDC" w:rsidR="00415CAA" w:rsidRDefault="00A82827" w:rsidP="00415CAA">
      <w:pPr>
        <w:ind w:left="360"/>
        <w:rPr>
          <w:sz w:val="26"/>
          <w:szCs w:val="26"/>
        </w:rPr>
      </w:pPr>
      <w:hyperlink r:id="rId7" w:history="1">
        <w:r>
          <w:rPr>
            <w:rStyle w:val="Hyperlink"/>
            <w:sz w:val="26"/>
            <w:szCs w:val="26"/>
          </w:rPr>
          <w:t>https://aqs.epa.gov/aqsweb/airdata/download_files.html</w:t>
        </w:r>
      </w:hyperlink>
    </w:p>
    <w:p w14:paraId="7E3E96B6" w14:textId="631B5334" w:rsidR="00A82827" w:rsidRPr="00A82827" w:rsidRDefault="00A82827" w:rsidP="00A8282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Gasoline Consumption</w:t>
      </w:r>
    </w:p>
    <w:p w14:paraId="6C2E916E" w14:textId="4F4D269D" w:rsidR="00A82827" w:rsidRDefault="00A82827" w:rsidP="00A82827">
      <w:pPr>
        <w:ind w:left="360"/>
        <w:rPr>
          <w:sz w:val="26"/>
          <w:szCs w:val="26"/>
        </w:rPr>
      </w:pPr>
      <w:r>
        <w:rPr>
          <w:sz w:val="26"/>
          <w:szCs w:val="26"/>
        </w:rPr>
        <w:t>California CDTFA – Fuel Tax Stats:</w:t>
      </w:r>
    </w:p>
    <w:p w14:paraId="70883612" w14:textId="10FF0AE9" w:rsidR="00A82827" w:rsidRDefault="00A82827" w:rsidP="00A82827">
      <w:pPr>
        <w:ind w:left="360"/>
        <w:rPr>
          <w:sz w:val="26"/>
          <w:szCs w:val="26"/>
        </w:rPr>
      </w:pPr>
      <w:hyperlink r:id="rId8" w:history="1">
        <w:r>
          <w:rPr>
            <w:rStyle w:val="Hyperlink"/>
            <w:sz w:val="26"/>
            <w:szCs w:val="26"/>
          </w:rPr>
          <w:t>https://cdtfa.ca.gov/dataportal/dataset.htm?url=FuelGasJetStats</w:t>
        </w:r>
      </w:hyperlink>
    </w:p>
    <w:p w14:paraId="79C11663" w14:textId="02253271" w:rsidR="00A82827" w:rsidRDefault="00A82827" w:rsidP="00A82827">
      <w:pPr>
        <w:ind w:left="360"/>
        <w:rPr>
          <w:sz w:val="26"/>
          <w:szCs w:val="26"/>
        </w:rPr>
      </w:pPr>
      <w:r>
        <w:rPr>
          <w:sz w:val="26"/>
          <w:szCs w:val="26"/>
        </w:rPr>
        <w:t>EIA State Energy Data System – State-Level Benchmark:</w:t>
      </w:r>
    </w:p>
    <w:p w14:paraId="4E29078D" w14:textId="72CB135E" w:rsidR="00802024" w:rsidRPr="000240F9" w:rsidRDefault="00802024" w:rsidP="00802024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ZEV Registrations and Fleet Composition</w:t>
      </w:r>
    </w:p>
    <w:p w14:paraId="35B3CBC0" w14:textId="73B4AA97" w:rsidR="000240F9" w:rsidRDefault="000240F9" w:rsidP="000240F9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Vehicle Fuel Type Count: </w:t>
      </w:r>
    </w:p>
    <w:p w14:paraId="223AED51" w14:textId="36601385" w:rsidR="000240F9" w:rsidRDefault="000240F9" w:rsidP="000240F9">
      <w:pPr>
        <w:ind w:left="360"/>
        <w:rPr>
          <w:sz w:val="26"/>
          <w:szCs w:val="26"/>
        </w:rPr>
      </w:pPr>
      <w:hyperlink r:id="rId9" w:history="1">
        <w:r>
          <w:rPr>
            <w:rStyle w:val="Hyperlink"/>
            <w:sz w:val="26"/>
            <w:szCs w:val="26"/>
          </w:rPr>
          <w:t>https://data.ca.gov/dataset/vehicle-fuel-type-count-by-zip-code</w:t>
        </w:r>
      </w:hyperlink>
    </w:p>
    <w:p w14:paraId="59DE13EA" w14:textId="168CEDF6" w:rsidR="000240F9" w:rsidRDefault="000240F9" w:rsidP="000240F9">
      <w:pPr>
        <w:ind w:left="360"/>
        <w:rPr>
          <w:sz w:val="26"/>
          <w:szCs w:val="26"/>
        </w:rPr>
      </w:pPr>
      <w:r>
        <w:rPr>
          <w:sz w:val="26"/>
          <w:szCs w:val="26"/>
        </w:rPr>
        <w:t>New ZEV Sales:</w:t>
      </w:r>
    </w:p>
    <w:p w14:paraId="6919A18E" w14:textId="677B7A36" w:rsidR="000240F9" w:rsidRDefault="000240F9" w:rsidP="000240F9">
      <w:pPr>
        <w:ind w:left="360"/>
        <w:rPr>
          <w:sz w:val="26"/>
          <w:szCs w:val="26"/>
        </w:rPr>
      </w:pPr>
      <w:hyperlink r:id="rId10" w:history="1">
        <w:r>
          <w:rPr>
            <w:rStyle w:val="Hyperlink"/>
            <w:sz w:val="26"/>
            <w:szCs w:val="26"/>
          </w:rPr>
          <w:t>https://www.energy.ca.gov/files/zev-and-infrastructure-stats-data</w:t>
        </w:r>
      </w:hyperlink>
    </w:p>
    <w:p w14:paraId="2B90477E" w14:textId="42CE6137" w:rsidR="000240F9" w:rsidRDefault="000240F9" w:rsidP="000240F9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Sociodemographic Covariates (Last update: 2024)</w:t>
      </w:r>
    </w:p>
    <w:p w14:paraId="6159978D" w14:textId="7A7A61F1" w:rsidR="009B7297" w:rsidRPr="009B7297" w:rsidRDefault="009B7297" w:rsidP="009B7297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U.S. Census Bureau. (2024). </w:t>
      </w:r>
      <w:r>
        <w:rPr>
          <w:i/>
          <w:iCs/>
          <w:sz w:val="26"/>
          <w:szCs w:val="26"/>
        </w:rPr>
        <w:t>Selected socioeconomic characteristics: American Community Survey 5-year estimates</w:t>
      </w:r>
      <w:r>
        <w:rPr>
          <w:sz w:val="26"/>
          <w:szCs w:val="26"/>
        </w:rPr>
        <w:t xml:space="preserve"> (Table B19013, B01003, B03002, B25003, B08301, B19001) [Data set]</w:t>
      </w:r>
    </w:p>
    <w:p w14:paraId="0E7A7729" w14:textId="49946566" w:rsidR="000240F9" w:rsidRDefault="008D42E7" w:rsidP="000240F9">
      <w:pPr>
        <w:ind w:left="360"/>
        <w:rPr>
          <w:sz w:val="26"/>
          <w:szCs w:val="26"/>
        </w:rPr>
      </w:pPr>
      <w:hyperlink r:id="rId11" w:history="1">
        <w:r>
          <w:rPr>
            <w:rStyle w:val="Hyperlink"/>
            <w:sz w:val="26"/>
            <w:szCs w:val="26"/>
          </w:rPr>
          <w:t>https://api.census.gov/data/2024/acs/acs5</w:t>
        </w:r>
      </w:hyperlink>
    </w:p>
    <w:p w14:paraId="2358B291" w14:textId="2C10F184" w:rsidR="008D42E7" w:rsidRPr="008D42E7" w:rsidRDefault="008D42E7" w:rsidP="008D42E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Rurality Classification</w:t>
      </w:r>
    </w:p>
    <w:p w14:paraId="34E458EC" w14:textId="651DB55B" w:rsidR="008D42E7" w:rsidRDefault="009B7297" w:rsidP="008D42E7">
      <w:pPr>
        <w:ind w:left="360"/>
        <w:rPr>
          <w:sz w:val="26"/>
          <w:szCs w:val="26"/>
        </w:rPr>
      </w:pPr>
      <w:hyperlink r:id="rId12" w:history="1">
        <w:r>
          <w:rPr>
            <w:rStyle w:val="Hyperlink"/>
            <w:sz w:val="26"/>
            <w:szCs w:val="26"/>
          </w:rPr>
          <w:t>https://www.ers.usda.gov/data-products/rural-urban-continuum-codes</w:t>
        </w:r>
      </w:hyperlink>
    </w:p>
    <w:p w14:paraId="64CC7783" w14:textId="3F34F09F" w:rsidR="009B7297" w:rsidRDefault="009B7297" w:rsidP="009B729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County Shapefiles/Spatial Infrastructure</w:t>
      </w:r>
    </w:p>
    <w:p w14:paraId="74B93BA1" w14:textId="50B773B6" w:rsidR="00CE766B" w:rsidRPr="00CE766B" w:rsidRDefault="009B7297" w:rsidP="00C036C0">
      <w:pPr>
        <w:ind w:left="360"/>
        <w:rPr>
          <w:sz w:val="26"/>
          <w:szCs w:val="26"/>
        </w:rPr>
      </w:pPr>
      <w:hyperlink r:id="rId13" w:history="1">
        <w:r>
          <w:rPr>
            <w:rStyle w:val="Hyperlink"/>
            <w:sz w:val="26"/>
            <w:szCs w:val="26"/>
          </w:rPr>
          <w:t>https://www2.census.gov/geo/tiger/TIGER2023/COUNTY/</w:t>
        </w:r>
      </w:hyperlink>
    </w:p>
    <w:p w14:paraId="0ADE4110" w14:textId="77777777" w:rsidR="009B7297" w:rsidRPr="009B7297" w:rsidRDefault="009B7297" w:rsidP="009B7297">
      <w:pPr>
        <w:ind w:left="360"/>
        <w:rPr>
          <w:sz w:val="26"/>
          <w:szCs w:val="26"/>
        </w:rPr>
      </w:pPr>
    </w:p>
    <w:p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Derived &amp; Imputed Data Fields (cleaning pipeline)</w:t>
      </w:r>
    </w:p>
    <w:p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The cleaned panel (ca_county_year_panel.csv) adds fields derived from the sources above so that all 58 California counties have complete outcome data. Each derived field carries a provenance flag, and observed values are never overwritten by imputed ones.</w:t>
      </w:r>
    </w:p>
    <w:p>
      <w:pPr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Gasoline (flag: gasoline_source). </w:t>
      </w:r>
      <w:r>
        <w:rPr>
          <w:sz w:val="26"/>
          <w:szCs w:val="26"/>
        </w:rPr>
        <w:t xml:space="preserve">Observed CEC county values, 2010–2024 (observed); the aggregated “Other Counties*” row split across Alpine, Modoc, and Sierra by ACS population share (cec_other_split); and 2025 estimated by scaling each county’s 2024 value by the statewide CDTFA fuel-tax distribution ratio FY2024→FY2025 (est_2025_fueltax_scaled).</w:t>
      </w:r>
    </w:p>
    <w:p>
      <w:pPr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PM2.5 and ozone (fields: pm25_filled, o3_filled; flags: pm25_source, o3_source). </w:t>
      </w:r>
      <w:r>
        <w:rPr>
          <w:sz w:val="26"/>
          <w:szCs w:val="26"/>
        </w:rPr>
        <w:t xml:space="preserve">The raw EPA AQS monitor columns (pm25, o3) are retained unchanged. County-years with no monitor receive a leave-one-out inverse-distance-weighted estimate (power 2, county centroid) built from that year’s monitored counties (idw_interpolated; see data/air_quality/airq_idw_fill.csv). This geographic interpolation is flagged so it can be excluded in observed-only robustness checks.</w:t>
      </w:r>
    </w:p>
    <w:p>
      <w:pPr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How pm25_filled and o3_filled are derived (inverse-distance weighting). </w:t>
      </w:r>
    </w:p>
    <w:p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Step 1 — Monitored inputs. For each county and year, PM2.5 is the mean arithmetic-mean concentration of EPA AQS parameter 88101, taking the best available sample type per monitor (24-hour FRM with completeness “Y” preferred, then 24-hour, then continuous-BAM “24-HR BLK AVG”). Ozone is the county mean of the monitor annual 4th-highest daily maximum 8-hour value (parameter 44201). These are the same definitions used for the raw pm25 and o3 columns.</w:t>
      </w:r>
    </w:p>
    <w:p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Step 2 — Spatial estimate for unmonitored cells. For every county-year that has no monitor that year, the value is estimated as an inverse-distance-weighted average of the counties that DO have a monitored value that same year, using each county’s geographic centroid (INTPTLAT/INTPTLON from the TIGER county file). The weight on a source county is 1 / d², where d is the straight-line distance between the target and source centroids (power 2). The target county is excluded from its own estimate (leave-one-out).</w:t>
      </w:r>
    </w:p>
    <w:p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Formula: estimate = Σ(w_i × value_i) / Σ(w_i), with w_i = 1 / d_i², summed over all counties i monitored in that year. Each year is interpolated independently, so estimates move over time with the monitor network.</w:t>
      </w:r>
    </w:p>
    <w:p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Step 3 — Combine without overwriting. pm25_filled = the observed monitor value where one exists, otherwise the IDW estimate; likewise o3_filled. The companion flags pm25_source / o3_source record “monitor” vs “idw_interpolated”. Observed values are never altered. The intermediate estimates are written to data/air_quality/airq_idw_fill.csv by 00b_prepare_fills.ipynb.</w:t>
      </w:r>
    </w:p>
    <w:p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Caveat: IDW is purely geographic and does not account for elevation, terrain, prevailing winds, or local emission sources, so estimates for remote rural counties carry more uncertainty than monitored observations. A physically fused alternative (e.g., the CDC/EPA Environmental Public Health Tracking “Downscaler” surfaces) is recommended if external data can be added later.</w:t>
      </w:r>
    </w:p>
    <w:sectPr w:rsidR="009B7297" w:rsidRPr="009B7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5F3"/>
    <w:multiLevelType w:val="hybridMultilevel"/>
    <w:tmpl w:val="0E2AE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30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AA"/>
    <w:rsid w:val="000240F9"/>
    <w:rsid w:val="00415CAA"/>
    <w:rsid w:val="00466A3A"/>
    <w:rsid w:val="00585C50"/>
    <w:rsid w:val="005B1F88"/>
    <w:rsid w:val="005E704B"/>
    <w:rsid w:val="00802024"/>
    <w:rsid w:val="008D42E7"/>
    <w:rsid w:val="00976B1F"/>
    <w:rsid w:val="009B7297"/>
    <w:rsid w:val="00A82827"/>
    <w:rsid w:val="00B01825"/>
    <w:rsid w:val="00BB6501"/>
    <w:rsid w:val="00C036C0"/>
    <w:rsid w:val="00CE766B"/>
    <w:rsid w:val="00D9689F"/>
    <w:rsid w:val="00D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FFC2"/>
  <w15:chartTrackingRefBased/>
  <w15:docId w15:val="{05D9CCA7-57ED-44E3-874C-31D8E3A2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C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36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cdtfa.ca.gov/dataportal/dataset.htm?url=FuelGasJetStats" TargetMode="External"/><Relationship Id="rId13" Type="http://schemas.openxmlformats.org/officeDocument/2006/relationships/hyperlink" Target="https://www2.census.gov/geo/tiger/TIGER2023/COUN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qs.epa.gov/aqsweb/airdata/download_files.html" TargetMode="External"/><Relationship Id="rId12" Type="http://schemas.openxmlformats.org/officeDocument/2006/relationships/hyperlink" Target="https://www.ers.usda.gov/data-products/rural-urban-continuum-co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cgis-caenergy.opendata.arcgis.com/datasets/CAEnergy::nevi-2-corridor-groups-october-28-2025/explore?location=37.277589%2C-119.373870%2C6" TargetMode="External"/><Relationship Id="rId11" Type="http://schemas.openxmlformats.org/officeDocument/2006/relationships/hyperlink" Target="https://api.census.gov/data/2024/acs/acs5" TargetMode="External"/><Relationship Id="rId5" Type="http://schemas.openxmlformats.org/officeDocument/2006/relationships/hyperlink" Target="https://developer.nlr.gov/docs/transportation/alt-fuel-stations-v1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nergy.ca.gov/files/zev-and-infrastructure-stats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ca.gov/dataset/vehicle-fuel-type-count-by-zip-co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Van</dc:creator>
  <cp:keywords/>
  <dc:description/>
  <cp:lastModifiedBy>Khoi Van</cp:lastModifiedBy>
  <cp:revision>3</cp:revision>
  <dcterms:created xsi:type="dcterms:W3CDTF">2026-05-27T17:29:00Z</dcterms:created>
  <dcterms:modified xsi:type="dcterms:W3CDTF">2026-05-28T23:36:00Z</dcterms:modified>
</cp:coreProperties>
</file>