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F8A02" w14:textId="77777777" w:rsidR="00182C06" w:rsidRPr="00182C06" w:rsidRDefault="00182C06" w:rsidP="00182C06">
      <w:pPr>
        <w:rPr>
          <w:b/>
          <w:bCs/>
        </w:rPr>
      </w:pPr>
      <w:r w:rsidRPr="00182C06">
        <w:rPr>
          <w:b/>
          <w:bCs/>
        </w:rPr>
        <w:t>Literature Review</w:t>
      </w:r>
    </w:p>
    <w:p w14:paraId="395E64BD" w14:textId="77777777" w:rsidR="00182C06" w:rsidRPr="00182C06" w:rsidRDefault="00182C06" w:rsidP="00182C06">
      <w:pPr>
        <w:rPr>
          <w:b/>
          <w:bCs/>
        </w:rPr>
      </w:pPr>
      <w:r w:rsidRPr="00182C06">
        <w:rPr>
          <w:b/>
          <w:bCs/>
        </w:rPr>
        <w:t>1. Theoretical Framework</w:t>
      </w:r>
    </w:p>
    <w:p w14:paraId="754B83CB" w14:textId="77777777" w:rsidR="00182C06" w:rsidRPr="00182C06" w:rsidRDefault="00182C06" w:rsidP="00182C06">
      <w:r w:rsidRPr="00182C06">
        <w:t>The foundational architecture governing the relationship between electric vehicle (EV) infrastructure deployment, federal consumer incentives, fossil fuel displacement, and localized environmental co-benefits is rooted in microeconomic consumer choice theory, public economics, and the economics of infrastructure reliability.</w:t>
      </w:r>
    </w:p>
    <w:p w14:paraId="6D0BFA7B" w14:textId="77777777" w:rsidR="00182C06" w:rsidRPr="00182C06" w:rsidRDefault="00182C06" w:rsidP="00182C06">
      <w:pPr>
        <w:rPr>
          <w:b/>
          <w:bCs/>
        </w:rPr>
      </w:pPr>
      <w:r w:rsidRPr="00182C06">
        <w:rPr>
          <w:b/>
          <w:bCs/>
        </w:rPr>
        <w:t>Consumer Choice Theory and Discrete Utility Models</w:t>
      </w:r>
    </w:p>
    <w:p w14:paraId="7F9524B6" w14:textId="77777777" w:rsidR="00182C06" w:rsidRPr="00182C06" w:rsidRDefault="00182C06" w:rsidP="00182C06">
      <w:r w:rsidRPr="00182C06">
        <w:t>Transportation economics traditionally conceptualizes vehicle adoption and fuel substitution through the lens of McFadden’s random utility framework (McFadden, 1973, 1974). Consumers choose between internal combustion engine (ICE) vehicles and alternative fuel vehicles (AFVs) by maximizing a multi-attribute utility function where total utility is partitioned into deterministic and stochastic components. Within this discrete choice framework, consumer adoption is driven by an ongoing tension between upfront capital acquisition costs and operational shadow costs.</w:t>
      </w:r>
    </w:p>
    <w:p w14:paraId="17AE46D7" w14:textId="77777777" w:rsidR="00182C06" w:rsidRPr="00182C06" w:rsidRDefault="00182C06" w:rsidP="00182C06">
      <w:r w:rsidRPr="00182C06">
        <w:t xml:space="preserve">Financial subsidies—such as the federal IRC § 30D and § 25E clean vehicle tax credits—directly augment systemic utility by lowering the nominal purchase price. Conversely, public charging infrastructure serves as a vital complementary good that reduces the long-term operational shadow cost of EV ownership by mitigating "range anxiety" and minimizing refueling search costs. When demand-side monetary incentives are exogenously removed, the systematic utility of choosing an EV falls across the population baseline. In such un-subsidized environments, the presence and spatial density of reliable charging infrastructure </w:t>
      </w:r>
      <w:proofErr w:type="gramStart"/>
      <w:r w:rsidRPr="00182C06">
        <w:t>ceases</w:t>
      </w:r>
      <w:proofErr w:type="gramEnd"/>
      <w:r w:rsidRPr="00182C06">
        <w:t xml:space="preserve"> to be merely a complementary attribute and becomes the primary structural variable required to offset the sudden spike in the relative price of zero-emission vehicles (ZEVs). Expanding the spatial density of charging ports shifts the observable systematic utility, altering choice probabilities to sustain a structural substitution effect away from retail gasoline consumption.</w:t>
      </w:r>
    </w:p>
    <w:p w14:paraId="13E06F2A" w14:textId="77777777" w:rsidR="00182C06" w:rsidRPr="00182C06" w:rsidRDefault="00182C06" w:rsidP="00182C06">
      <w:pPr>
        <w:rPr>
          <w:b/>
          <w:bCs/>
        </w:rPr>
      </w:pPr>
      <w:r w:rsidRPr="00182C06">
        <w:rPr>
          <w:b/>
          <w:bCs/>
        </w:rPr>
        <w:t>The Theory of Public Goods and Negative Externalities</w:t>
      </w:r>
    </w:p>
    <w:p w14:paraId="2415558F" w14:textId="77777777" w:rsidR="00182C06" w:rsidRPr="00182C06" w:rsidRDefault="00182C06" w:rsidP="00182C06">
      <w:r w:rsidRPr="00182C06">
        <w:t>In public economics, the tailpipe emissions of ICE vehicles represent a classic negative production and consumption externality. Private vehicle operation generates localized social harms through the release of criteria air pollutants—specifically fine particulate matter ($\</w:t>
      </w:r>
      <w:proofErr w:type="gramStart"/>
      <w:r w:rsidRPr="00182C06">
        <w:t>text{</w:t>
      </w:r>
      <w:proofErr w:type="gramEnd"/>
      <w:r w:rsidRPr="00182C06">
        <w:t>PM}</w:t>
      </w:r>
      <w:proofErr w:type="gramStart"/>
      <w:r w:rsidRPr="00182C06">
        <w:t>_{2.5}$</w:t>
      </w:r>
      <w:proofErr w:type="gramEnd"/>
      <w:r w:rsidRPr="00182C06">
        <w:t xml:space="preserve">) and tropospheric ozone precursors—which impose significant public health costs that are unpriced by the market. Widespread transportation electrification provides a mechanism to internalize these external costs by shifting the emissions profile from decentralized urban tailpipes to centralized, regulated electricity grids. The environmental utility of this shift depends heavily on the carbon and criteria pollutant intensity of the regional </w:t>
      </w:r>
      <w:r w:rsidRPr="00182C06">
        <w:lastRenderedPageBreak/>
        <w:t>electrical grid, establishing a structural link between public grid decarbonization and localized environmental remediation.</w:t>
      </w:r>
    </w:p>
    <w:p w14:paraId="6180045F" w14:textId="77777777" w:rsidR="00182C06" w:rsidRPr="00182C06" w:rsidRDefault="00182C06" w:rsidP="00182C06">
      <w:pPr>
        <w:rPr>
          <w:b/>
          <w:bCs/>
        </w:rPr>
      </w:pPr>
      <w:r w:rsidRPr="00182C06">
        <w:rPr>
          <w:b/>
          <w:bCs/>
        </w:rPr>
        <w:t>Economic Theory of Infrastructure Reliability and Supply-Side Constraints</w:t>
      </w:r>
    </w:p>
    <w:p w14:paraId="07349DE9" w14:textId="77777777" w:rsidR="00182C06" w:rsidRPr="00182C06" w:rsidRDefault="00182C06" w:rsidP="00182C06">
      <w:r w:rsidRPr="00182C06">
        <w:t>Traditional infrastructure economic models often treat public goods as binary or nominal assets, assuming that nominal access equates to perfect operational utility. However, service reliability economics demonstrates that nominal availability is an insufficient metric when product performance is stochastic. If public charging connectors suffer from high operational failure rates, the effective cost of EV consumption increases due to search friction, unexpected wait times, and travel disruptions. This operational unreliability introduces a supply-side constraint that dampens the expected substitution effect, as risk-averse consumers revert to or maintain ICE options to ensure transit certainty. Thus, the theoretical framework must integrate operational uptime as a first-order modifier of infrastructure density to accurately capture causal impacts on fuel demand and ambient air quality.</w:t>
      </w:r>
    </w:p>
    <w:p w14:paraId="089AAE9E" w14:textId="77777777" w:rsidR="00182C06" w:rsidRPr="00182C06" w:rsidRDefault="00182C06" w:rsidP="00182C06">
      <w:pPr>
        <w:rPr>
          <w:b/>
          <w:bCs/>
        </w:rPr>
      </w:pPr>
      <w:r w:rsidRPr="00182C06">
        <w:rPr>
          <w:b/>
          <w:bCs/>
        </w:rPr>
        <w:t>2. Methodological Review</w:t>
      </w:r>
    </w:p>
    <w:p w14:paraId="31299501" w14:textId="77777777" w:rsidR="00182C06" w:rsidRPr="00182C06" w:rsidRDefault="00182C06" w:rsidP="00182C06">
      <w:r w:rsidRPr="00182C06">
        <w:t>Evaluating the causal impacts of regional infrastructure policies requires panel data configurations capable of controlling for unobserved spatial and temporal confounding. Researchers evaluating alternative fuel rollouts have historically transitioned from classical econometric specifications to modern, robust quasi-experimental designs and causal machine learning architectures.</w:t>
      </w:r>
    </w:p>
    <w:p w14:paraId="23460448" w14:textId="77777777" w:rsidR="00182C06" w:rsidRPr="00182C06" w:rsidRDefault="00182C06" w:rsidP="00182C06">
      <w:pPr>
        <w:rPr>
          <w:b/>
          <w:bCs/>
        </w:rPr>
      </w:pPr>
      <w:r w:rsidRPr="00182C06">
        <w:rPr>
          <w:b/>
          <w:bCs/>
        </w:rPr>
        <w:t>Two-Way Fixed Effects (TWFE) with Continuous Treatments</w:t>
      </w:r>
    </w:p>
    <w:p w14:paraId="501F0B7B" w14:textId="77777777" w:rsidR="00182C06" w:rsidRPr="00182C06" w:rsidRDefault="00182C06" w:rsidP="00182C06">
      <w:r w:rsidRPr="00182C06">
        <w:t>Historically, the workhorse empirical method for evaluating continuous policy rollouts—such as regional variations in charger installation or funding allocations—has been the linear Two-Way Fixed Effects (TWFE) model with a continuous treatment intensity or "dose" metric. A standard representation of this specification is formulated as:</w:t>
      </w:r>
    </w:p>
    <w:p w14:paraId="520858E8" w14:textId="77777777" w:rsidR="00182C06" w:rsidRPr="00182C06" w:rsidRDefault="00182C06" w:rsidP="00182C06">
      <w:r w:rsidRPr="00182C06">
        <w:t>$$Y_{</w:t>
      </w:r>
      <w:proofErr w:type="spellStart"/>
      <w:r w:rsidRPr="00182C06">
        <w:t>ct</w:t>
      </w:r>
      <w:proofErr w:type="spellEnd"/>
      <w:r w:rsidRPr="00182C06">
        <w:t>} = \</w:t>
      </w:r>
      <w:proofErr w:type="spellStart"/>
      <w:r w:rsidRPr="00182C06">
        <w:t>gamma_c</w:t>
      </w:r>
      <w:proofErr w:type="spellEnd"/>
      <w:r w:rsidRPr="00182C06">
        <w:t xml:space="preserve"> + \</w:t>
      </w:r>
      <w:proofErr w:type="spellStart"/>
      <w:r w:rsidRPr="00182C06">
        <w:t>delta_t</w:t>
      </w:r>
      <w:proofErr w:type="spellEnd"/>
      <w:r w:rsidRPr="00182C06">
        <w:t xml:space="preserve"> + \beta_{\</w:t>
      </w:r>
      <w:proofErr w:type="gramStart"/>
      <w:r w:rsidRPr="00182C06">
        <w:t>text{</w:t>
      </w:r>
      <w:proofErr w:type="gramEnd"/>
      <w:r w:rsidRPr="00182C06">
        <w:t>TWFE}} (</w:t>
      </w:r>
      <w:proofErr w:type="spellStart"/>
      <w:r w:rsidRPr="00182C06">
        <w:t>D_c</w:t>
      </w:r>
      <w:proofErr w:type="spellEnd"/>
      <w:r w:rsidRPr="00182C06">
        <w:t xml:space="preserve"> \times </w:t>
      </w:r>
      <w:proofErr w:type="spellStart"/>
      <w:r w:rsidRPr="00182C06">
        <w:t>Post_t</w:t>
      </w:r>
      <w:proofErr w:type="spellEnd"/>
      <w:r w:rsidRPr="00182C06">
        <w:t>) + X_{</w:t>
      </w:r>
      <w:proofErr w:type="spellStart"/>
      <w:r w:rsidRPr="00182C06">
        <w:t>ct</w:t>
      </w:r>
      <w:proofErr w:type="spellEnd"/>
      <w:r w:rsidRPr="00182C06">
        <w:t>}'\Gamma + \</w:t>
      </w:r>
      <w:proofErr w:type="spellStart"/>
      <w:r w:rsidRPr="00182C06">
        <w:t>varepsilon</w:t>
      </w:r>
      <w:proofErr w:type="spellEnd"/>
      <w:r w:rsidRPr="00182C06">
        <w:t>_{</w:t>
      </w:r>
      <w:proofErr w:type="spellStart"/>
      <w:r w:rsidRPr="00182C06">
        <w:t>ct</w:t>
      </w:r>
      <w:proofErr w:type="spellEnd"/>
      <w:r w:rsidRPr="00182C06">
        <w:t>}$$</w:t>
      </w:r>
    </w:p>
    <w:p w14:paraId="2547935A" w14:textId="77777777" w:rsidR="00182C06" w:rsidRPr="00182C06" w:rsidRDefault="00182C06" w:rsidP="00182C06">
      <w:r w:rsidRPr="00182C06">
        <w:t>where $Y_{</w:t>
      </w:r>
      <w:proofErr w:type="spellStart"/>
      <w:r w:rsidRPr="00182C06">
        <w:t>ct</w:t>
      </w:r>
      <w:proofErr w:type="spellEnd"/>
      <w:r w:rsidRPr="00182C06">
        <w:t>}$ is the outcome of interest (e.g., county-level gasoline consumption or ambient pollutant concentrations) in county $c$ at time $t$; $\</w:t>
      </w:r>
      <w:proofErr w:type="spellStart"/>
      <w:r w:rsidRPr="00182C06">
        <w:t>gamma_c</w:t>
      </w:r>
      <w:proofErr w:type="spellEnd"/>
      <w:r w:rsidRPr="00182C06">
        <w:t>$ represents county fixed effects; $\</w:t>
      </w:r>
      <w:proofErr w:type="spellStart"/>
      <w:r w:rsidRPr="00182C06">
        <w:t>delta_t</w:t>
      </w:r>
      <w:proofErr w:type="spellEnd"/>
      <w:r w:rsidRPr="00182C06">
        <w:t>$ denotes time fixed effects; $</w:t>
      </w:r>
      <w:proofErr w:type="spellStart"/>
      <w:r w:rsidRPr="00182C06">
        <w:t>D_c</w:t>
      </w:r>
      <w:proofErr w:type="spellEnd"/>
      <w:r w:rsidRPr="00182C06">
        <w:t>$ is a continuous measure of treatment intensity; $</w:t>
      </w:r>
      <w:proofErr w:type="spellStart"/>
      <w:r w:rsidRPr="00182C06">
        <w:t>Post_t</w:t>
      </w:r>
      <w:proofErr w:type="spellEnd"/>
      <w:r w:rsidRPr="00182C06">
        <w:t>$ is a binary post-policy indicator; and $X_{</w:t>
      </w:r>
      <w:proofErr w:type="spellStart"/>
      <w:r w:rsidRPr="00182C06">
        <w:t>ct</w:t>
      </w:r>
      <w:proofErr w:type="spellEnd"/>
      <w:r w:rsidRPr="00182C06">
        <w:t>}$ is a vector of time-varying covariates.</w:t>
      </w:r>
    </w:p>
    <w:p w14:paraId="45EC99B8" w14:textId="77777777" w:rsidR="00182C06" w:rsidRPr="00182C06" w:rsidRDefault="00182C06" w:rsidP="00182C06">
      <w:r w:rsidRPr="00182C06">
        <w:t>While widely implemented due to its ease of interpretation, an extensive body of econometric literature has demonstrated that the standard $\beta_{\</w:t>
      </w:r>
      <w:proofErr w:type="gramStart"/>
      <w:r w:rsidRPr="00182C06">
        <w:t>text{</w:t>
      </w:r>
      <w:proofErr w:type="gramEnd"/>
      <w:r w:rsidRPr="00182C06">
        <w:t>TWFE</w:t>
      </w:r>
      <w:proofErr w:type="gramStart"/>
      <w:r w:rsidRPr="00182C06">
        <w:t>}}$</w:t>
      </w:r>
      <w:proofErr w:type="gramEnd"/>
      <w:r w:rsidRPr="00182C06">
        <w:t xml:space="preserve"> coefficient is vulnerable to severe bias when treatment timing is staggered or when treatment effects are </w:t>
      </w:r>
      <w:r w:rsidRPr="00182C06">
        <w:lastRenderedPageBreak/>
        <w:t>heterogeneous across space and time (Baker et al., 2022; Goodman-Bacon, 2021; Roth et al., 2023). Under heterogeneous or dynamic treatment effects, the linear TWFE estimator introduces "forbidden comparisons," wherein previously treated units act as effective control groups for later-treated units (Baker et al., 2022). If the causal effect varies over time, the subtraction of the changing trends of early-treated units can distort the parallel trends baseline, leading to severely biased estimates that can even flip the sign of the true average treatment effect on the treated (ATT).</w:t>
      </w:r>
    </w:p>
    <w:p w14:paraId="20D20043" w14:textId="77777777" w:rsidR="00182C06" w:rsidRPr="00182C06" w:rsidRDefault="00182C06" w:rsidP="00182C06">
      <w:r w:rsidRPr="00182C06">
        <w:t>Furthermore, when the treatment variable is continuous rather than binary, Callaway, Goodman-Bacon, and Sant'Anna (2024) demonstrated a distinct identification challenge. Even in a simple two-period setup, comparing parameters across different dose intensities can be contaminated by selection bias. This bias arises because the parallel trends assumption alone does not guarantee that units selecting into a high-intensity dose would have evolved similarly to units selecting into a low-intensity dose in the absence of treatment. Additionally, linear TWFE imposes strict, often unrealistic functional form assumptions on the dose-response curve, applying negative weights to below-average dose units and positive weights to above-average dose units during the estimation process (Callaway et al., 2024).</w:t>
      </w:r>
    </w:p>
    <w:p w14:paraId="3360CAB4" w14:textId="77777777" w:rsidR="00182C06" w:rsidRPr="00182C06" w:rsidRDefault="00182C06" w:rsidP="00182C06">
      <w:pPr>
        <w:rPr>
          <w:b/>
          <w:bCs/>
        </w:rPr>
      </w:pPr>
      <w:r w:rsidRPr="00182C06">
        <w:rPr>
          <w:b/>
          <w:bCs/>
        </w:rPr>
        <w:t>Modern Staggered Difference-in-Differences (</w:t>
      </w:r>
      <w:proofErr w:type="spellStart"/>
      <w:r w:rsidRPr="00182C06">
        <w:rPr>
          <w:b/>
          <w:bCs/>
        </w:rPr>
        <w:t>DiD</w:t>
      </w:r>
      <w:proofErr w:type="spellEnd"/>
      <w:r w:rsidRPr="00182C06">
        <w:rPr>
          <w:b/>
          <w:bCs/>
        </w:rPr>
        <w:t>) Frameworks</w:t>
      </w:r>
    </w:p>
    <w:p w14:paraId="234D365B" w14:textId="77777777" w:rsidR="00182C06" w:rsidRPr="00182C06" w:rsidRDefault="00182C06" w:rsidP="00182C06">
      <w:r w:rsidRPr="00182C06">
        <w:t>To resolve the structural vulnerabilities of TWFE, recent methodological innovations have introduced robust estimators that explicitly isolate clean $2 \times 2$ comparisons. The framework developed by Callaway and Sant'Anna (2021) decomposes panel data with staggered treatment timing into group-time average treatment effects ($ATT(</w:t>
      </w:r>
      <w:proofErr w:type="spellStart"/>
      <w:proofErr w:type="gramStart"/>
      <w:r w:rsidRPr="00182C06">
        <w:t>g,t</w:t>
      </w:r>
      <w:proofErr w:type="spellEnd"/>
      <w:proofErr w:type="gramEnd"/>
      <w:r w:rsidRPr="00182C06">
        <w:t>)$), where cohorts are strictly compared against never-treated or not-yet-treated units, eliminating the contamination from forbidden comparisons. Similarly, Sun and Abraham (2021) provided an alternative cohort-specific event-study estimator that prevents dynamic treatment effect heterogeneity from leaking into adjacent relative-time periods.</w:t>
      </w:r>
    </w:p>
    <w:p w14:paraId="642B082A" w14:textId="77777777" w:rsidR="00182C06" w:rsidRPr="00182C06" w:rsidRDefault="00182C06" w:rsidP="00182C06">
      <w:r w:rsidRPr="00182C06">
        <w:t xml:space="preserve">For continuous settings, Callaway, Goodman-Bacon, and Sant'Anna (2024) expanded these concepts by defining average level treatment effects and average causal responses as non-parametric functions of the continuous dose. By utilizing data-driven sieve estimators, this continuous </w:t>
      </w:r>
      <w:proofErr w:type="spellStart"/>
      <w:r w:rsidRPr="00182C06">
        <w:t>DiD</w:t>
      </w:r>
      <w:proofErr w:type="spellEnd"/>
      <w:r w:rsidRPr="00182C06">
        <w:t xml:space="preserve"> framework avoids restrictive linear assumptions and allows researchers to map flexible dose-response curves while transparently isolating and correcting for dose-related selection bias.</w:t>
      </w:r>
    </w:p>
    <w:p w14:paraId="61E51B8E" w14:textId="77777777" w:rsidR="00182C06" w:rsidRPr="00182C06" w:rsidRDefault="00182C06" w:rsidP="00182C06">
      <w:pPr>
        <w:rPr>
          <w:b/>
          <w:bCs/>
        </w:rPr>
      </w:pPr>
      <w:r w:rsidRPr="00182C06">
        <w:rPr>
          <w:b/>
          <w:bCs/>
        </w:rPr>
        <w:t>Causal Machine Learning and High-Dimensional Heterogeneity</w:t>
      </w:r>
    </w:p>
    <w:p w14:paraId="2D5F10CC" w14:textId="77777777" w:rsidR="00182C06" w:rsidRPr="00182C06" w:rsidRDefault="00182C06" w:rsidP="00182C06">
      <w:r w:rsidRPr="00182C06">
        <w:t xml:space="preserve">While modern staggered difference-in-differences designs isolate clean average treatment effects, they remain constrained when evaluating multi-dimensional, non-linear heterogeneity across socio-demographic features. Traditional econometrics relies on sub-group analyses or </w:t>
      </w:r>
      <w:r w:rsidRPr="00182C06">
        <w:lastRenderedPageBreak/>
        <w:t>multi-way interaction terms (e.g., interacting a policy indicator with income or urbanization). However, this approach rapidly succumbs to the curse of dimensionality, increases the risk of overfitting, and requires the researcher to pre-specify rigid, linear functional forms.</w:t>
      </w:r>
    </w:p>
    <w:p w14:paraId="33141F67" w14:textId="77777777" w:rsidR="00182C06" w:rsidRPr="00182C06" w:rsidRDefault="00182C06" w:rsidP="00182C06">
      <w:r w:rsidRPr="00182C06">
        <w:t xml:space="preserve">To overcome these constraints, an emerging paradigm at the intersection of econometrics and computer science integrates supervised machine learning with formal causal identification. </w:t>
      </w:r>
      <w:proofErr w:type="spellStart"/>
      <w:r w:rsidRPr="00182C06">
        <w:t>Chernozhukov</w:t>
      </w:r>
      <w:proofErr w:type="spellEnd"/>
      <w:r w:rsidRPr="00182C06">
        <w:t xml:space="preserve"> et al. (2018) developed the Double/Debiased Machine Learning (DML) framework to conduct valid structural inference on a low-dimensional parameter—such as an infrastructure dose response—while utilizing flexible machine learning architectures to partial out high-dimensional nuisance parameters. By utilizing Neyman-orthogonal scores and cross-fitting sample splits, DML removes the regularization and pre-test biases inherent to naive machine learning applications, allowing for $\sqrt{N}$-consistent parameter estimation.</w:t>
      </w:r>
    </w:p>
    <w:p w14:paraId="26057C39" w14:textId="77777777" w:rsidR="00182C06" w:rsidRPr="00182C06" w:rsidRDefault="00182C06" w:rsidP="00182C06">
      <w:r w:rsidRPr="00182C06">
        <w:t>Furthermore, Wager and Athey (2018) expanded these concepts into the non-parametric estimation of heterogeneous treatment effects via causal random forests. This framework allows researchers to uncover data-driven Conditional Average Treatment Effects ($CATE$) across continuous, non-linear interactions of socio-demographic covariates, making it highly robust for evaluating environmental justice and distributional equity without relying on arbitrary categorical thresholds.</w:t>
      </w:r>
    </w:p>
    <w:p w14:paraId="3B7B6D53" w14:textId="77777777" w:rsidR="00182C06" w:rsidRPr="00182C06" w:rsidRDefault="00182C06" w:rsidP="00182C06">
      <w:pPr>
        <w:rPr>
          <w:b/>
          <w:bCs/>
        </w:rPr>
      </w:pPr>
      <w:r w:rsidRPr="00182C06">
        <w:rPr>
          <w:b/>
          <w:bCs/>
        </w:rPr>
        <w:t>Variables, Specifications, and Policy Shocks in the Current Project</w:t>
      </w:r>
    </w:p>
    <w:p w14:paraId="091DE219" w14:textId="77777777" w:rsidR="00182C06" w:rsidRPr="00182C06" w:rsidRDefault="00182C06" w:rsidP="00182C06">
      <w:r w:rsidRPr="00182C06">
        <w:t>The proposed empirical strategy incorporates these econometric and machine learning advancements to analyze county-level data across California. The primary dependent variables are continuous metrics reflecting fuel displacement and air quality: gasoline consumption per capita (gallons per person), annual county-level $\</w:t>
      </w:r>
      <w:proofErr w:type="gramStart"/>
      <w:r w:rsidRPr="00182C06">
        <w:t>text{</w:t>
      </w:r>
      <w:proofErr w:type="gramEnd"/>
      <w:r w:rsidRPr="00182C06">
        <w:t>PM}</w:t>
      </w:r>
      <w:proofErr w:type="gramStart"/>
      <w:r w:rsidRPr="00182C06">
        <w:t>_{2.5}$</w:t>
      </w:r>
      <w:proofErr w:type="gramEnd"/>
      <w:r w:rsidRPr="00182C06">
        <w:t xml:space="preserve"> concentration ($\mu\text{g/</w:t>
      </w:r>
      <w:proofErr w:type="gramStart"/>
      <w:r w:rsidRPr="00182C06">
        <w:t>m}^</w:t>
      </w:r>
      <w:proofErr w:type="gramEnd"/>
      <w:r w:rsidRPr="00182C06">
        <w:t>3$), and annual county-level tropospheric ozone concentration (ppm). The core independent variable is structured as a continuous "dose" representing the deployment intensity of National Electric Vehicle Infrastructure (NEVI) corridor DC fast-charging additions, evaluated alongside general public charging port density and the share of fast-charging options within a county.</w:t>
      </w:r>
    </w:p>
    <w:p w14:paraId="5A777D7F" w14:textId="77777777" w:rsidR="00182C06" w:rsidRPr="00182C06" w:rsidRDefault="00182C06" w:rsidP="00182C06">
      <w:r w:rsidRPr="00182C06">
        <w:t xml:space="preserve">Rather than relying on static, pre-aggregated administrative panel files, the variables in this project are constructed dynamically from point-level geospatial layers and millions of rows of daily sensor records. By building a relational SQL and </w:t>
      </w:r>
      <w:proofErr w:type="spellStart"/>
      <w:r w:rsidRPr="00182C06">
        <w:t>PostGIS</w:t>
      </w:r>
      <w:proofErr w:type="spellEnd"/>
      <w:r w:rsidRPr="00182C06">
        <w:t xml:space="preserve"> data engineering framework, raw observations are programmatically cleaned and aggregated using spatial distance metrics and optimized window functions, drastically mitigating the aggregation and measurement errors common in macro-level county studies.</w:t>
      </w:r>
    </w:p>
    <w:p w14:paraId="3516559E" w14:textId="77777777" w:rsidR="00182C06" w:rsidRPr="00182C06" w:rsidRDefault="00182C06" w:rsidP="00182C06">
      <w:r w:rsidRPr="00182C06">
        <w:t>A preliminary evaluation of California county-year data utilizing baseline fixed effects models revealed a high cross-sectional correlation ($R^2 \</w:t>
      </w:r>
      <w:proofErr w:type="spellStart"/>
      <w:r w:rsidRPr="00182C06">
        <w:t>approx</w:t>
      </w:r>
      <w:proofErr w:type="spellEnd"/>
      <w:r w:rsidRPr="00182C06">
        <w:t xml:space="preserve"> 0.89$), yet yielded a low within-</w:t>
      </w:r>
      <w:r w:rsidRPr="00182C06">
        <w:lastRenderedPageBreak/>
        <w:t xml:space="preserve">county $R^2$. This divergence underscores a key methodological limitation of naive panel models: raw counts of Level 2 chargers frequently exhibit strong negative correlations with gasoline demand, whereas raw counts of DC fast chargers can display counterintuitive positive correlations if they are preferentially installed in high-traffic, high-emissions highway corridors. This highlights the necessity of using continuous staggered DML and </w:t>
      </w:r>
      <w:proofErr w:type="spellStart"/>
      <w:r w:rsidRPr="00182C06">
        <w:t>DiD</w:t>
      </w:r>
      <w:proofErr w:type="spellEnd"/>
      <w:r w:rsidRPr="00182C06">
        <w:t xml:space="preserve"> frameworks to isolate the true causal dose-response relationship, separating genuine policy-driven infrastructure shocks from endogenous, pre-existing economic trends and cross-sectional spatial sorting.</w:t>
      </w:r>
    </w:p>
    <w:p w14:paraId="34DF5821" w14:textId="77777777" w:rsidR="00182C06" w:rsidRPr="00182C06" w:rsidRDefault="00182C06" w:rsidP="00182C06">
      <w:r w:rsidRPr="00182C06">
        <w:t xml:space="preserve">Crucially, the empirical design incorporates a major, sudden structural break: the enactment of the </w:t>
      </w:r>
      <w:r w:rsidRPr="00182C06">
        <w:rPr>
          <w:b/>
          <w:bCs/>
        </w:rPr>
        <w:t>One Big Beautiful Bill Act (OBBBA) of 2025</w:t>
      </w:r>
      <w:r w:rsidRPr="00182C06">
        <w:t xml:space="preserve">, which abruptly terminated federal consumer clean vehicle tax credits ($7,500 new / $4,000 used) on September 30, 2025. This uniform macroeconomic shock can be exploited inside the DML framework as an effect modifier to test whether the marginal return of public infrastructure density significantly increases when upfront consumer subsidies disappear. Furthermore, because federal incentives were bound by strict household income caps ($150k single / $300k married for new vehicles), this policy reversal acts as an uneven shock across space. By constructing an ex-ante exposure intensity metric (the proportion of a county's households falling below the federal income thresholds), the sunset of these tax credits can be integrated into a continuous demographic </w:t>
      </w:r>
      <w:proofErr w:type="spellStart"/>
      <w:r w:rsidRPr="00182C06">
        <w:t>DiD</w:t>
      </w:r>
      <w:proofErr w:type="spellEnd"/>
      <w:r w:rsidRPr="00182C06">
        <w:t xml:space="preserve"> design to isolate how affordability cliffs interact with infrastructure elasticities.</w:t>
      </w:r>
    </w:p>
    <w:p w14:paraId="7744B9A2" w14:textId="77777777" w:rsidR="00182C06" w:rsidRPr="00182C06" w:rsidRDefault="00182C06" w:rsidP="00182C06">
      <w:pPr>
        <w:rPr>
          <w:b/>
          <w:bCs/>
        </w:rPr>
      </w:pPr>
      <w:r w:rsidRPr="00182C06">
        <w:rPr>
          <w:b/>
          <w:bCs/>
        </w:rPr>
        <w:t>3. Current Empirical Findings</w:t>
      </w:r>
    </w:p>
    <w:p w14:paraId="22927F47" w14:textId="77777777" w:rsidR="00182C06" w:rsidRPr="00182C06" w:rsidRDefault="00182C06" w:rsidP="00182C06">
      <w:r w:rsidRPr="00182C06">
        <w:t>The empirical literature intersecting transportation economics and environmental quality over the last decade has focused heavily on the mechanics of EV adoption, the operational constraints of charging networks, and the resulting public health and environmental impacts.</w:t>
      </w:r>
    </w:p>
    <w:p w14:paraId="69299158" w14:textId="77777777" w:rsidR="00182C06" w:rsidRPr="00182C06" w:rsidRDefault="00182C06" w:rsidP="00182C06">
      <w:pPr>
        <w:rPr>
          <w:b/>
          <w:bCs/>
        </w:rPr>
      </w:pPr>
      <w:r w:rsidRPr="00182C06">
        <w:rPr>
          <w:b/>
          <w:bCs/>
        </w:rPr>
        <w:t>Price Elasticities and Fuel Substitution Mechanics</w:t>
      </w:r>
    </w:p>
    <w:p w14:paraId="7AB9D2E7" w14:textId="77777777" w:rsidR="00182C06" w:rsidRPr="00182C06" w:rsidRDefault="00182C06" w:rsidP="00182C06">
      <w:r w:rsidRPr="00182C06">
        <w:t>A critical driver of the substitution effect between fossil fuels and electric mobility is the relative economic value of the competing energy sources. Empirical evidence indicates a pronounced asymmetry in consumer behavioral sensitivity to fuel pricing. Research demonstrates that EV adoption rates are four to six times more responsive to variations in retail gasoline prices than to corresponding shifts in electricity tariffs (Bushnell et al., 2022). Consequently, sustained periods of high gasoline prices function as a significant demand-side catalyst that drives vehicle purchasers toward electric alternatives. Once these vehicles enter the regional fleet, they alter the aggregate fuel consumption trajectory by directly displacing petroleum demand.</w:t>
      </w:r>
    </w:p>
    <w:p w14:paraId="45DCE460" w14:textId="77777777" w:rsidR="00182C06" w:rsidRPr="00182C06" w:rsidRDefault="00182C06" w:rsidP="00182C06">
      <w:r w:rsidRPr="00182C06">
        <w:t xml:space="preserve">However, these vehicle pricing dynamics are fundamentally shaped by federal fiscal interventions. Historically, demand-side subsidies—such as the consumer clean vehicle tax credits expanded under the 2022 Inflation Reduction Act—served as critical cost-reduction mechanisms that accelerated EV adoption across diverse financial brackets. The sudden </w:t>
      </w:r>
      <w:r w:rsidRPr="00182C06">
        <w:lastRenderedPageBreak/>
        <w:t>legislative termination of these federal incentives on September 30, 2025, via the One Big Beautiful Bill Act (OBBBA), created a profound, instantaneous pricing shock in retail automotive markets, ending standard credits for major automakers. By abruptly removing point-of-sale financial support without a gradual phase-out window, this policy reversal generated a clear structural contraction in vehicle-acquisition trajectories. This regulatory cliff provides a powerful, unexploited quasi-experimental environment to evaluate behavioral adaptation and test whether localized infrastructure networks can sustain fuel substitution patterns in the complete absence of federal purchasing incentives.</w:t>
      </w:r>
    </w:p>
    <w:p w14:paraId="4632057A" w14:textId="77777777" w:rsidR="00182C06" w:rsidRPr="00182C06" w:rsidRDefault="00182C06" w:rsidP="00182C06">
      <w:pPr>
        <w:rPr>
          <w:b/>
          <w:bCs/>
        </w:rPr>
      </w:pPr>
      <w:r w:rsidRPr="00182C06">
        <w:rPr>
          <w:b/>
          <w:bCs/>
        </w:rPr>
        <w:t>The Infrastructure Reliability Bottleneck</w:t>
      </w:r>
    </w:p>
    <w:p w14:paraId="0808E18E" w14:textId="77777777" w:rsidR="00182C06" w:rsidRPr="00182C06" w:rsidRDefault="00182C06" w:rsidP="00182C06">
      <w:r w:rsidRPr="00182C06">
        <w:t>Despite the accelerating pace of public charging installations, nominal infrastructure deployment metrics often diverge from actual operational access. Maintaining network uptime has emerged as a primary challenge for infrastructure reliability. A comprehensive empirical audit of public charging infrastructure within the San Francisco Bay Area conducted by Rempel et al. (2024) revealed that approximately 73% of evaluated direct current fast-charging (DCFC) connectors were fully operational. The remaining 27% suffered from diverse hardware, software, or payment connectivity failures. This finding highlights a substantial gap in the literature: evaluating policy success purely through nominal charger counts overstates effective public access, as network unreliability introduces severe operational friction that can suppress the realized rate of gasoline displacement.</w:t>
      </w:r>
    </w:p>
    <w:p w14:paraId="57C1BBF5" w14:textId="77777777" w:rsidR="00182C06" w:rsidRPr="00182C06" w:rsidRDefault="00182C06" w:rsidP="00182C06">
      <w:pPr>
        <w:rPr>
          <w:b/>
          <w:bCs/>
        </w:rPr>
      </w:pPr>
      <w:r w:rsidRPr="00182C06">
        <w:rPr>
          <w:b/>
          <w:bCs/>
        </w:rPr>
        <w:t>Ambient Air Quality Co-Benefits and Spatial Heterogeneity</w:t>
      </w:r>
    </w:p>
    <w:p w14:paraId="3E5488C3" w14:textId="77777777" w:rsidR="00182C06" w:rsidRPr="00182C06" w:rsidRDefault="00182C06" w:rsidP="00182C06">
      <w:r w:rsidRPr="00182C06">
        <w:t>The environmental benefits of substituting internal combustion engines with electric drivetrains are well-documented but highly dependent on local geographic and atmospheric conditions. Widespread vehicle electrification has been shown to significantly reduce localized tailpipe criteria pollutants, particularly nitrogen dioxide ($\</w:t>
      </w:r>
      <w:proofErr w:type="gramStart"/>
      <w:r w:rsidRPr="00182C06">
        <w:t>text{</w:t>
      </w:r>
      <w:proofErr w:type="gramEnd"/>
      <w:r w:rsidRPr="00182C06">
        <w:t>NO}_2$) and fine particulate matter ($\</w:t>
      </w:r>
      <w:proofErr w:type="gramStart"/>
      <w:r w:rsidRPr="00182C06">
        <w:t>text{</w:t>
      </w:r>
      <w:proofErr w:type="gramEnd"/>
      <w:r w:rsidRPr="00182C06">
        <w:t>PM}</w:t>
      </w:r>
      <w:proofErr w:type="gramStart"/>
      <w:r w:rsidRPr="00182C06">
        <w:t>_{2.5}$</w:t>
      </w:r>
      <w:proofErr w:type="gramEnd"/>
      <w:r w:rsidRPr="00182C06">
        <w:t>), leading to measurable improvements in pediatric health outcomes, including reductions in asthma-related emergency room admissions (Baran et al., 2025). Furthermore, atmospheric modeling indicates that during severe winter inversion events—when stagnant air traps pollutants close to the ground—high rates of vehicle electrification can prevent severe spikes in criteria pollutants, improving the regional Air Quality Index (AQI) by 30 to 50 points and offering substantial protection to vulnerable populations (Christensen &amp; Salmon, 2021).</w:t>
      </w:r>
    </w:p>
    <w:p w14:paraId="4C0F63C0" w14:textId="77777777" w:rsidR="00182C06" w:rsidRPr="00182C06" w:rsidRDefault="00182C06" w:rsidP="00182C06">
      <w:r w:rsidRPr="00182C06">
        <w:t xml:space="preserve">However, these environmental co-benefits exhibit deep spatial and socio-demographic heterogeneity. Studies focusing on the distributional equity of green infrastructure show that public charging infrastructure is asymmetric in its deployment; areas characterized by below-median household incomes and higher concentrations of racial minorities experience </w:t>
      </w:r>
      <w:r w:rsidRPr="00182C06">
        <w:lastRenderedPageBreak/>
        <w:t>significantly lower spatial access to public charging networks than wealthier, predominantly white neighborhoods (Hsu &amp; Fingerman, 2021; Lou et al., 2024). While the adoption of zero-emission vehicles has been empirically shown to narrow historical disparities in macro-level ambient $\</w:t>
      </w:r>
      <w:proofErr w:type="gramStart"/>
      <w:r w:rsidRPr="00182C06">
        <w:t>text{</w:t>
      </w:r>
      <w:proofErr w:type="gramEnd"/>
      <w:r w:rsidRPr="00182C06">
        <w:t>PM}</w:t>
      </w:r>
      <w:proofErr w:type="gramStart"/>
      <w:r w:rsidRPr="00182C06">
        <w:t>_{2.5}$</w:t>
      </w:r>
      <w:proofErr w:type="gramEnd"/>
      <w:r w:rsidRPr="00182C06">
        <w:t xml:space="preserve"> exposure (Skipper et al., 2023; Yu et al., 2023), localized disparities in physical infrastructure access persist, potentially locking low-income urban and rural communities out of the long-term economic and environmental returns of the transition (Lau, 2024).</w:t>
      </w:r>
    </w:p>
    <w:p w14:paraId="05729E76" w14:textId="77777777" w:rsidR="00182C06" w:rsidRPr="00182C06" w:rsidRDefault="00182C06" w:rsidP="00182C06">
      <w:pPr>
        <w:rPr>
          <w:b/>
          <w:bCs/>
        </w:rPr>
      </w:pPr>
      <w:r w:rsidRPr="00182C06">
        <w:rPr>
          <w:b/>
          <w:bCs/>
        </w:rPr>
        <w:t>4. Identification of the Research Gap</w:t>
      </w:r>
    </w:p>
    <w:p w14:paraId="1935C2F3" w14:textId="77777777" w:rsidR="00182C06" w:rsidRPr="00182C06" w:rsidRDefault="00182C06" w:rsidP="00182C06">
      <w:r w:rsidRPr="00182C06">
        <w:t>Despite the depth of the existing literature on electric mobility, several critical gaps remain at the intersection of infrastructure economics, environmental justice, and causal data science.</w:t>
      </w:r>
    </w:p>
    <w:p w14:paraId="3E84B2F4" w14:textId="77777777" w:rsidR="00182C06" w:rsidRPr="00182C06" w:rsidRDefault="00182C06" w:rsidP="00182C06">
      <w:r w:rsidRPr="00182C06">
        <w:t xml:space="preserve">First, there is a persistent </w:t>
      </w:r>
      <w:r w:rsidRPr="00182C06">
        <w:rPr>
          <w:b/>
          <w:bCs/>
        </w:rPr>
        <w:t>"nominal versus operational access" dichotomy</w:t>
      </w:r>
      <w:r w:rsidRPr="00182C06">
        <w:t xml:space="preserve"> in empirical research. Most prior studies treat EV charging infrastructure as a static, aggregate count variable (e.g., the raw number of registered plugs per county) or as a simple binary indicator of localized presence. By failing to account for operational reliability, the current literature overlooks the functional utility of the infrastructure. A county may exhibit a high nominal charger count on paper, but if a substantial portion of those stations suffer from the ~27% downtime rates documented in the wild (Rempel et al., 2024), the true causal pressure on gasoline displacement and tailpipe emissions reductions will be over-estimated or misattributed.</w:t>
      </w:r>
    </w:p>
    <w:p w14:paraId="03D209D8" w14:textId="77777777" w:rsidR="00182C06" w:rsidRPr="00182C06" w:rsidRDefault="00182C06" w:rsidP="00182C06">
      <w:r w:rsidRPr="00182C06">
        <w:t xml:space="preserve">Second, previous literature has rarely applied the latest </w:t>
      </w:r>
      <w:r w:rsidRPr="00182C06">
        <w:rPr>
          <w:b/>
          <w:bCs/>
        </w:rPr>
        <w:t>continuous staggered difference-in-differences econometric frameworks</w:t>
      </w:r>
      <w:r w:rsidRPr="00182C06">
        <w:t xml:space="preserve"> to infrastructure rollouts. While applied economists have rapidly integrated binary staggered </w:t>
      </w:r>
      <w:proofErr w:type="spellStart"/>
      <w:r w:rsidRPr="00182C06">
        <w:t>DiD</w:t>
      </w:r>
      <w:proofErr w:type="spellEnd"/>
      <w:r w:rsidRPr="00182C06">
        <w:t xml:space="preserve"> adjustments (e.g., Callaway &amp; Sant'Anna, 2021) to evaluate discrete policy changes, evaluations of continuous infrastructure "doses" have historically relied on linear TWFE models, leaving them exposed to the negative weighting and selection biases formalized by Callaway, Goodman-Bacon, and Sant'Anna (2024).</w:t>
      </w:r>
    </w:p>
    <w:p w14:paraId="2BD056B9" w14:textId="77777777" w:rsidR="00182C06" w:rsidRPr="00182C06" w:rsidRDefault="00182C06" w:rsidP="00182C06">
      <w:r w:rsidRPr="00182C06">
        <w:t xml:space="preserve">Third, there is a distinct </w:t>
      </w:r>
      <w:r w:rsidRPr="00182C06">
        <w:rPr>
          <w:b/>
          <w:bCs/>
        </w:rPr>
        <w:t>methodological and prescriptive gap</w:t>
      </w:r>
      <w:r w:rsidRPr="00182C06">
        <w:t xml:space="preserve"> regarding how infrastructure heterogeneity is discovered and acted upon. Traditional econometrics operates almost exclusively at a macro-level of aggregation (e.g., county or state) and restricts the analysis of equity to rigid, pre-determined binary interactions. The existing literature fails to capture how continuous socioeconomic parameters non-linearly modulate the causal elasticity of fuel substitution. Furthermore, a profound </w:t>
      </w:r>
      <w:r w:rsidRPr="00182C06">
        <w:rPr>
          <w:b/>
          <w:bCs/>
        </w:rPr>
        <w:t>macro-micro disconnect</w:t>
      </w:r>
      <w:r w:rsidRPr="00182C06">
        <w:t xml:space="preserve"> persists: while causal inference models can demonstrate </w:t>
      </w:r>
      <w:r w:rsidRPr="00182C06">
        <w:rPr>
          <w:i/>
          <w:iCs/>
        </w:rPr>
        <w:t>whether</w:t>
      </w:r>
      <w:r w:rsidRPr="00182C06">
        <w:t xml:space="preserve"> an infrastructure rollout yields aggregate carbon and criteria pollutant reductions, they lack the prescriptive granularity to guide localized, coordinate-level site optimization. Prior studies leave an operational vacuum between macro causal identification and micro-level public capital deployment.</w:t>
      </w:r>
    </w:p>
    <w:p w14:paraId="729BB3F9" w14:textId="77777777" w:rsidR="00182C06" w:rsidRPr="00182C06" w:rsidRDefault="00182C06" w:rsidP="00182C06">
      <w:r w:rsidRPr="00182C06">
        <w:lastRenderedPageBreak/>
        <w:t xml:space="preserve">Fourth, a critical </w:t>
      </w:r>
      <w:r w:rsidRPr="00182C06">
        <w:rPr>
          <w:b/>
          <w:bCs/>
        </w:rPr>
        <w:t>policy interaction gap</w:t>
      </w:r>
      <w:r w:rsidRPr="00182C06">
        <w:t xml:space="preserve"> exists regarding how supply-side network characteristics interact with demand-side fiscal shocks. Existing research predominantly isolates charging infrastructure expansion from broader shifts in monetary incentives, treating them as independent policy pathways. Consequently, the literature lacks empirical evidence demonstrating how the marginal return of infrastructure density and operational reliability evolves when foundational consumer subsidies are abruptly terminated.</w:t>
      </w:r>
    </w:p>
    <w:p w14:paraId="5A543D35" w14:textId="77777777" w:rsidR="00182C06" w:rsidRPr="00182C06" w:rsidRDefault="00182C06" w:rsidP="00182C06">
      <w:r w:rsidRPr="00182C06">
        <w:t>The proposed research project directly addresses these interconnected gaps by exploiting a unique, unexploited quasi-experimental policy environment in California. By leveraging the implementation of the National Electric Vehicle Infrastructure (NEVI) formula program—which mandates a strict 97% average annual uptime requirement under 23 CFR 680.116—alongside the rigorous state-level reliability reporting requirements established by California Assembly Bill (AB) 2061, this study shifts the analytical focus from nominal availability to guaranteed operational reliability.</w:t>
      </w:r>
    </w:p>
    <w:p w14:paraId="6CBD0DDE" w14:textId="77777777" w:rsidR="00182C06" w:rsidRPr="00182C06" w:rsidRDefault="00182C06" w:rsidP="00182C06">
      <w:r w:rsidRPr="00182C06">
        <w:t xml:space="preserve">Methodologically, this project transitions beyond the structural rigidities of classical panel estimation. By utilizing a relational SQL and </w:t>
      </w:r>
      <w:proofErr w:type="spellStart"/>
      <w:r w:rsidRPr="00182C06">
        <w:t>PostGIS</w:t>
      </w:r>
      <w:proofErr w:type="spellEnd"/>
      <w:r w:rsidRPr="00182C06">
        <w:t xml:space="preserve"> data layer to process granular point-level configurations, this study implements a </w:t>
      </w:r>
      <w:r w:rsidRPr="00182C06">
        <w:rPr>
          <w:b/>
          <w:bCs/>
        </w:rPr>
        <w:t>Double Machine Learning (DML)</w:t>
      </w:r>
      <w:r w:rsidRPr="00182C06">
        <w:t xml:space="preserve"> and </w:t>
      </w:r>
      <w:r w:rsidRPr="00182C06">
        <w:rPr>
          <w:b/>
          <w:bCs/>
        </w:rPr>
        <w:t>Causal Forest</w:t>
      </w:r>
      <w:r w:rsidRPr="00182C06">
        <w:t xml:space="preserve"> framework to map non-parametric, high-dimensional dose-response curves across continuous socioeconomic spectrums.</w:t>
      </w:r>
    </w:p>
    <w:p w14:paraId="2BC9E1E7" w14:textId="77777777" w:rsidR="00182C06" w:rsidRPr="00182C06" w:rsidRDefault="00182C06" w:rsidP="00182C06">
      <w:r w:rsidRPr="00182C06">
        <w:t xml:space="preserve">Crucially, by exploiting the sudden sunsetting of the federal clean vehicle tax credits on September 30, 2025, via the One Big Beautiful Bill Act (OBBBA), this research evaluates how this massive demand-side pricing cliff alters the structural elasticity of infrastructure-driven fuel substitution. Finally, by integrating unsupervised </w:t>
      </w:r>
      <w:r w:rsidRPr="00182C06">
        <w:rPr>
          <w:b/>
          <w:bCs/>
        </w:rPr>
        <w:t>DBSCAN spatial clustering</w:t>
      </w:r>
      <w:r w:rsidRPr="00182C06">
        <w:t xml:space="preserve"> with predictive tree-based optimization algorithms, this project bridges the macro-micro divide—translating causally identified regional elasticities into a granular, coordinate-level prescriptive engine designed to optimize future infrastructure siting for localized environmental remediation and socioeconomic equity.</w:t>
      </w:r>
    </w:p>
    <w:p w14:paraId="7AEC3641" w14:textId="77777777" w:rsidR="00182C06" w:rsidRPr="00182C06" w:rsidRDefault="00182C06" w:rsidP="00182C06">
      <w:pPr>
        <w:rPr>
          <w:b/>
          <w:bCs/>
        </w:rPr>
      </w:pPr>
      <w:r w:rsidRPr="00182C06">
        <w:rPr>
          <w:b/>
          <w:bCs/>
        </w:rPr>
        <w:t>References</w:t>
      </w:r>
    </w:p>
    <w:p w14:paraId="52EA4590" w14:textId="77777777" w:rsidR="00182C06" w:rsidRPr="00182C06" w:rsidRDefault="00182C06" w:rsidP="00182C06">
      <w:r w:rsidRPr="00182C06">
        <w:t xml:space="preserve">Baker, A. C., Larcker, D. F., &amp; Wang, C. C. Y. (2022). How much should we trust staggered difference-in-differences estimates? </w:t>
      </w:r>
      <w:r w:rsidRPr="00182C06">
        <w:rPr>
          <w:i/>
          <w:iCs/>
        </w:rPr>
        <w:t>Journal of Financial Economics</w:t>
      </w:r>
      <w:r w:rsidRPr="00182C06">
        <w:t xml:space="preserve">, </w:t>
      </w:r>
      <w:r w:rsidRPr="00182C06">
        <w:rPr>
          <w:i/>
          <w:iCs/>
        </w:rPr>
        <w:t>144</w:t>
      </w:r>
      <w:r w:rsidRPr="00182C06">
        <w:t xml:space="preserve">(2), 370–395. </w:t>
      </w:r>
      <w:hyperlink r:id="rId5" w:tgtFrame="_blank" w:history="1">
        <w:r w:rsidRPr="00182C06">
          <w:rPr>
            <w:rStyle w:val="Hyperlink"/>
          </w:rPr>
          <w:t>https://doi.org/10.1016/j.jfineco.2022.01.004</w:t>
        </w:r>
      </w:hyperlink>
    </w:p>
    <w:p w14:paraId="007B7929" w14:textId="77777777" w:rsidR="00182C06" w:rsidRPr="00182C06" w:rsidRDefault="00182C06" w:rsidP="00182C06">
      <w:r w:rsidRPr="00182C06">
        <w:t xml:space="preserve">Baran, C., Currie, J., Dursun, B., &amp; Tekin, E. (2025). Clean rides, healthy lives: The impact of electric vehicle adoption on air quality and infant health (NBER Working Paper No. 34278). </w:t>
      </w:r>
      <w:r w:rsidRPr="00182C06">
        <w:rPr>
          <w:i/>
          <w:iCs/>
        </w:rPr>
        <w:t>National Bureau of Economic Research</w:t>
      </w:r>
      <w:r w:rsidRPr="00182C06">
        <w:t>.</w:t>
      </w:r>
    </w:p>
    <w:p w14:paraId="1BE3D730" w14:textId="77777777" w:rsidR="00182C06" w:rsidRPr="00182C06" w:rsidRDefault="00182C06" w:rsidP="00182C06">
      <w:r w:rsidRPr="00182C06">
        <w:lastRenderedPageBreak/>
        <w:t xml:space="preserve">Bushnell, J. B., </w:t>
      </w:r>
      <w:proofErr w:type="spellStart"/>
      <w:r w:rsidRPr="00182C06">
        <w:t>Muehlegger</w:t>
      </w:r>
      <w:proofErr w:type="spellEnd"/>
      <w:r w:rsidRPr="00182C06">
        <w:t xml:space="preserve">, E., &amp; Rapson, D. S. (2022). Energy prices and electric vehicle adoption (NBER Working Paper No. 29842). </w:t>
      </w:r>
      <w:r w:rsidRPr="00182C06">
        <w:rPr>
          <w:i/>
          <w:iCs/>
        </w:rPr>
        <w:t>National Bureau of Economic Research</w:t>
      </w:r>
      <w:r w:rsidRPr="00182C06">
        <w:t xml:space="preserve">. </w:t>
      </w:r>
      <w:hyperlink r:id="rId6" w:tgtFrame="_blank" w:history="1">
        <w:r w:rsidRPr="00182C06">
          <w:rPr>
            <w:rStyle w:val="Hyperlink"/>
          </w:rPr>
          <w:t>https://www.nber.org/papers/w29842</w:t>
        </w:r>
      </w:hyperlink>
    </w:p>
    <w:p w14:paraId="0EC3163F" w14:textId="77777777" w:rsidR="00182C06" w:rsidRPr="00182C06" w:rsidRDefault="00182C06" w:rsidP="00182C06">
      <w:r w:rsidRPr="00182C06">
        <w:t xml:space="preserve">California Air Resources Board. (2022). Advanced Clean Cars II (ACC II): Rulemaking materials and environmental analysis. </w:t>
      </w:r>
      <w:hyperlink r:id="rId7" w:tgtFrame="_blank" w:history="1">
        <w:r w:rsidRPr="00182C06">
          <w:rPr>
            <w:rStyle w:val="Hyperlink"/>
          </w:rPr>
          <w:t>https://ww2.arb.ca.gov/sites/default/files/barcu/regact/2022/accii/acciirtc1.pdf</w:t>
        </w:r>
      </w:hyperlink>
    </w:p>
    <w:p w14:paraId="6D392AA4" w14:textId="77777777" w:rsidR="00182C06" w:rsidRPr="00182C06" w:rsidRDefault="00182C06" w:rsidP="00182C06">
      <w:r w:rsidRPr="00182C06">
        <w:t xml:space="preserve">California Energy Commission. (2024). Assembly Bill 2061 EV charging reliability reporting regulations. </w:t>
      </w:r>
      <w:r w:rsidRPr="00182C06">
        <w:rPr>
          <w:i/>
          <w:iCs/>
        </w:rPr>
        <w:t>CEC-200-2024-002</w:t>
      </w:r>
      <w:r w:rsidRPr="00182C06">
        <w:t>.</w:t>
      </w:r>
    </w:p>
    <w:p w14:paraId="4525BD2B" w14:textId="77777777" w:rsidR="00182C06" w:rsidRPr="00182C06" w:rsidRDefault="00182C06" w:rsidP="00182C06">
      <w:r w:rsidRPr="00182C06">
        <w:t xml:space="preserve">California Energy Commission. (2025, September 24). California exceeds 200,000 electric vehicle chargers [Press release]. </w:t>
      </w:r>
      <w:hyperlink r:id="rId8" w:tgtFrame="_blank" w:history="1">
        <w:r w:rsidRPr="00182C06">
          <w:rPr>
            <w:rStyle w:val="Hyperlink"/>
          </w:rPr>
          <w:t>https://www.energy.ca.gov/news/2025-09/california-exceeds-200000-electric-vehicle-chargers</w:t>
        </w:r>
      </w:hyperlink>
    </w:p>
    <w:p w14:paraId="53D6E5EC" w14:textId="77777777" w:rsidR="00182C06" w:rsidRPr="00182C06" w:rsidRDefault="00182C06" w:rsidP="00182C06">
      <w:r w:rsidRPr="00182C06">
        <w:t xml:space="preserve">California Energy Commission. (2025, December 9). NEVI 2 corridor groups (GIS layer). </w:t>
      </w:r>
      <w:hyperlink r:id="rId9" w:tgtFrame="_blank" w:history="1">
        <w:r w:rsidRPr="00182C06">
          <w:rPr>
            <w:rStyle w:val="Hyperlink"/>
          </w:rPr>
          <w:t>https://cecgis-caenergy.opendata.arcgis.com/datasets/nevi-2-corridor-groups-december-9-2024/about</w:t>
        </w:r>
      </w:hyperlink>
    </w:p>
    <w:p w14:paraId="763F7DA0" w14:textId="77777777" w:rsidR="00182C06" w:rsidRPr="00182C06" w:rsidRDefault="00182C06" w:rsidP="00182C06">
      <w:r w:rsidRPr="00182C06">
        <w:t xml:space="preserve">Callaway, B., Goodman-Bacon, A., &amp; Sant'Anna, P. H. C. (2024). Difference-in-differences with a continuous treatment. </w:t>
      </w:r>
      <w:r w:rsidRPr="00182C06">
        <w:rPr>
          <w:i/>
          <w:iCs/>
        </w:rPr>
        <w:t>SSRN Electronic Journal</w:t>
      </w:r>
      <w:r w:rsidRPr="00182C06">
        <w:t xml:space="preserve">. </w:t>
      </w:r>
      <w:hyperlink r:id="rId10" w:tgtFrame="_blank" w:history="1">
        <w:r w:rsidRPr="00182C06">
          <w:rPr>
            <w:rStyle w:val="Hyperlink"/>
          </w:rPr>
          <w:t>https://doi.org/10.2139/ssrn.4716682</w:t>
        </w:r>
      </w:hyperlink>
    </w:p>
    <w:p w14:paraId="7CC35CBB" w14:textId="77777777" w:rsidR="00182C06" w:rsidRPr="00182C06" w:rsidRDefault="00182C06" w:rsidP="00182C06">
      <w:r w:rsidRPr="00182C06">
        <w:t xml:space="preserve">Callaway, B., &amp; Sant'Anna, P. H. C. (2021). Difference-in-differences with multiple time periods. </w:t>
      </w:r>
      <w:r w:rsidRPr="00182C06">
        <w:rPr>
          <w:i/>
          <w:iCs/>
        </w:rPr>
        <w:t>Journal of Econometrics</w:t>
      </w:r>
      <w:r w:rsidRPr="00182C06">
        <w:t xml:space="preserve">, </w:t>
      </w:r>
      <w:r w:rsidRPr="00182C06">
        <w:rPr>
          <w:i/>
          <w:iCs/>
        </w:rPr>
        <w:t>225</w:t>
      </w:r>
      <w:r w:rsidRPr="00182C06">
        <w:t xml:space="preserve">(2), 200–230. </w:t>
      </w:r>
      <w:hyperlink r:id="rId11" w:tgtFrame="_blank" w:history="1">
        <w:r w:rsidRPr="00182C06">
          <w:rPr>
            <w:rStyle w:val="Hyperlink"/>
          </w:rPr>
          <w:t>https://doi.org/10.1016/j.jeconom.2020.12.001</w:t>
        </w:r>
      </w:hyperlink>
    </w:p>
    <w:p w14:paraId="6DC96AA4" w14:textId="77777777" w:rsidR="00182C06" w:rsidRPr="00182C06" w:rsidRDefault="00182C06" w:rsidP="00182C06">
      <w:r w:rsidRPr="00182C06">
        <w:t xml:space="preserve">Chernozhukov, V., Chetverikov, D., Demirer, M., Duflo, E., Hansen, C., Newey, W., &amp; Robins, J. (2018). Double/debiased machine learning for treatment and structural parameters. </w:t>
      </w:r>
      <w:r w:rsidRPr="00182C06">
        <w:rPr>
          <w:i/>
          <w:iCs/>
        </w:rPr>
        <w:t>The Econometrics Journal</w:t>
      </w:r>
      <w:r w:rsidRPr="00182C06">
        <w:t xml:space="preserve">, </w:t>
      </w:r>
      <w:r w:rsidRPr="00182C06">
        <w:rPr>
          <w:i/>
          <w:iCs/>
        </w:rPr>
        <w:t>21</w:t>
      </w:r>
      <w:r w:rsidRPr="00182C06">
        <w:t xml:space="preserve">(1), C1–C68. </w:t>
      </w:r>
      <w:hyperlink r:id="rId12" w:tgtFrame="_blank" w:history="1">
        <w:r w:rsidRPr="00182C06">
          <w:rPr>
            <w:rStyle w:val="Hyperlink"/>
          </w:rPr>
          <w:t>https://doi.org/10.1111/ectj.12097</w:t>
        </w:r>
      </w:hyperlink>
    </w:p>
    <w:p w14:paraId="630D0764" w14:textId="77777777" w:rsidR="00182C06" w:rsidRPr="00182C06" w:rsidRDefault="00182C06" w:rsidP="00182C06">
      <w:r w:rsidRPr="00182C06">
        <w:t xml:space="preserve">Christensen, C., &amp; Salmon, J. (2021). EV adoption influence on air quality and associated infrastructure costs. </w:t>
      </w:r>
      <w:r w:rsidRPr="00182C06">
        <w:rPr>
          <w:i/>
          <w:iCs/>
        </w:rPr>
        <w:t>World Electric Vehicle Journal</w:t>
      </w:r>
      <w:r w:rsidRPr="00182C06">
        <w:t xml:space="preserve">, </w:t>
      </w:r>
      <w:r w:rsidRPr="00182C06">
        <w:rPr>
          <w:i/>
          <w:iCs/>
        </w:rPr>
        <w:t>12</w:t>
      </w:r>
      <w:r w:rsidRPr="00182C06">
        <w:t xml:space="preserve">(4), 207. </w:t>
      </w:r>
      <w:hyperlink r:id="rId13" w:tgtFrame="_blank" w:history="1">
        <w:r w:rsidRPr="00182C06">
          <w:rPr>
            <w:rStyle w:val="Hyperlink"/>
          </w:rPr>
          <w:t>https://doi.org/10.3390/wevj12040207</w:t>
        </w:r>
      </w:hyperlink>
    </w:p>
    <w:p w14:paraId="05E1843D" w14:textId="77777777" w:rsidR="00182C06" w:rsidRPr="00182C06" w:rsidRDefault="00182C06" w:rsidP="00182C06">
      <w:r w:rsidRPr="00182C06">
        <w:t xml:space="preserve">Federal Highway Administration. (2023). National Electric Vehicle Infrastructure Formula Program Final Rule. </w:t>
      </w:r>
      <w:r w:rsidRPr="00182C06">
        <w:rPr>
          <w:i/>
          <w:iCs/>
        </w:rPr>
        <w:t>23 CFR Part 680</w:t>
      </w:r>
      <w:r w:rsidRPr="00182C06">
        <w:t>. Federal Register, 88(39), 12724-12759.</w:t>
      </w:r>
    </w:p>
    <w:p w14:paraId="379AC3C5" w14:textId="77777777" w:rsidR="00182C06" w:rsidRPr="00182C06" w:rsidRDefault="00182C06" w:rsidP="00182C06">
      <w:r w:rsidRPr="00182C06">
        <w:t xml:space="preserve">Goodman-Bacon, A. (2021). Difference-in-differences with variation in treatment timing. </w:t>
      </w:r>
      <w:r w:rsidRPr="00182C06">
        <w:rPr>
          <w:i/>
          <w:iCs/>
        </w:rPr>
        <w:t>Journal of Econometrics</w:t>
      </w:r>
      <w:r w:rsidRPr="00182C06">
        <w:t xml:space="preserve">, </w:t>
      </w:r>
      <w:r w:rsidRPr="00182C06">
        <w:rPr>
          <w:i/>
          <w:iCs/>
        </w:rPr>
        <w:t>225</w:t>
      </w:r>
      <w:r w:rsidRPr="00182C06">
        <w:t xml:space="preserve">(2), 254–277. </w:t>
      </w:r>
      <w:hyperlink r:id="rId14" w:tgtFrame="_blank" w:history="1">
        <w:r w:rsidRPr="00182C06">
          <w:rPr>
            <w:rStyle w:val="Hyperlink"/>
          </w:rPr>
          <w:t>https://doi.org/10.1016/j.jeconom.2021.03.014</w:t>
        </w:r>
      </w:hyperlink>
    </w:p>
    <w:p w14:paraId="47552B77" w14:textId="77777777" w:rsidR="00182C06" w:rsidRPr="00182C06" w:rsidRDefault="00182C06" w:rsidP="00182C06">
      <w:r w:rsidRPr="00182C06">
        <w:t xml:space="preserve">Hsu, C.-W., &amp; Fingerman, K. (2021). Public electric vehicle charging infrastructure equity in California. </w:t>
      </w:r>
      <w:r w:rsidRPr="00182C06">
        <w:rPr>
          <w:i/>
          <w:iCs/>
        </w:rPr>
        <w:t>Transportation Research Part D: Transport and Environment</w:t>
      </w:r>
      <w:r w:rsidRPr="00182C06">
        <w:t xml:space="preserve">, </w:t>
      </w:r>
      <w:r w:rsidRPr="00182C06">
        <w:rPr>
          <w:i/>
          <w:iCs/>
        </w:rPr>
        <w:t>99</w:t>
      </w:r>
      <w:r w:rsidRPr="00182C06">
        <w:t xml:space="preserve">, 102991. </w:t>
      </w:r>
      <w:hyperlink r:id="rId15" w:tgtFrame="_blank" w:history="1">
        <w:r w:rsidRPr="00182C06">
          <w:rPr>
            <w:rStyle w:val="Hyperlink"/>
          </w:rPr>
          <w:t>https://doi.org/10.1016/j.trd.2021.102991</w:t>
        </w:r>
      </w:hyperlink>
    </w:p>
    <w:p w14:paraId="29715856" w14:textId="77777777" w:rsidR="00182C06" w:rsidRPr="00182C06" w:rsidRDefault="00182C06" w:rsidP="00182C06">
      <w:r w:rsidRPr="00182C06">
        <w:lastRenderedPageBreak/>
        <w:t xml:space="preserve">Lau, Y. H. (2024). Comparative analysis of gasoline and electric vehicles: Economic, environmental, and consumer perspectives. </w:t>
      </w:r>
      <w:r w:rsidRPr="00182C06">
        <w:rPr>
          <w:i/>
          <w:iCs/>
        </w:rPr>
        <w:t>Finance &amp; Economics</w:t>
      </w:r>
      <w:r w:rsidRPr="00182C06">
        <w:t xml:space="preserve">, </w:t>
      </w:r>
      <w:r w:rsidRPr="00182C06">
        <w:rPr>
          <w:i/>
          <w:iCs/>
        </w:rPr>
        <w:t>1</w:t>
      </w:r>
      <w:r w:rsidRPr="00182C06">
        <w:t xml:space="preserve">, 1–15. </w:t>
      </w:r>
      <w:hyperlink r:id="rId16" w:tgtFrame="_blank" w:history="1">
        <w:r w:rsidRPr="00182C06">
          <w:rPr>
            <w:rStyle w:val="Hyperlink"/>
          </w:rPr>
          <w:t>https://doi.org/10.61173/psdxq366</w:t>
        </w:r>
      </w:hyperlink>
    </w:p>
    <w:p w14:paraId="7C56A87D" w14:textId="77777777" w:rsidR="00182C06" w:rsidRPr="00182C06" w:rsidRDefault="00182C06" w:rsidP="00182C06">
      <w:r w:rsidRPr="00182C06">
        <w:t xml:space="preserve">Lou, X., et al. (2024). Spatial heterogeneity and equity considerations in national public electric vehicle charging infrastructure. </w:t>
      </w:r>
      <w:r w:rsidRPr="00182C06">
        <w:rPr>
          <w:i/>
          <w:iCs/>
        </w:rPr>
        <w:t>Working Paper</w:t>
      </w:r>
      <w:r w:rsidRPr="00182C06">
        <w:t>.</w:t>
      </w:r>
    </w:p>
    <w:p w14:paraId="238ACE08" w14:textId="77777777" w:rsidR="00182C06" w:rsidRPr="00182C06" w:rsidRDefault="00182C06" w:rsidP="00182C06">
      <w:r w:rsidRPr="00182C06">
        <w:t xml:space="preserve">McFadden, D. (1973). Conditional logit analysis of qualitative choice behavior. In P. </w:t>
      </w:r>
      <w:proofErr w:type="spellStart"/>
      <w:r w:rsidRPr="00182C06">
        <w:t>Zarembka</w:t>
      </w:r>
      <w:proofErr w:type="spellEnd"/>
      <w:r w:rsidRPr="00182C06">
        <w:t xml:space="preserve"> (Ed.), </w:t>
      </w:r>
      <w:r w:rsidRPr="00182C06">
        <w:rPr>
          <w:i/>
          <w:iCs/>
        </w:rPr>
        <w:t>Frontiers in Econometrics</w:t>
      </w:r>
      <w:r w:rsidRPr="00182C06">
        <w:t xml:space="preserve"> (pp. 105–142). Academic Press.</w:t>
      </w:r>
    </w:p>
    <w:p w14:paraId="1F0EBDE2" w14:textId="77777777" w:rsidR="00182C06" w:rsidRPr="00182C06" w:rsidRDefault="00182C06" w:rsidP="00182C06">
      <w:r w:rsidRPr="00182C06">
        <w:t xml:space="preserve">McFadden, D. (1974). The measurement of urban travel demand. </w:t>
      </w:r>
      <w:r w:rsidRPr="00182C06">
        <w:rPr>
          <w:i/>
          <w:iCs/>
        </w:rPr>
        <w:t>Journal of Public Economics</w:t>
      </w:r>
      <w:r w:rsidRPr="00182C06">
        <w:t xml:space="preserve">, </w:t>
      </w:r>
      <w:r w:rsidRPr="00182C06">
        <w:rPr>
          <w:i/>
          <w:iCs/>
        </w:rPr>
        <w:t>3</w:t>
      </w:r>
      <w:r w:rsidRPr="00182C06">
        <w:t xml:space="preserve">(4), 303–328. </w:t>
      </w:r>
      <w:hyperlink r:id="rId17" w:tgtFrame="_blank" w:history="1">
        <w:r w:rsidRPr="00182C06">
          <w:rPr>
            <w:rStyle w:val="Hyperlink"/>
          </w:rPr>
          <w:t>https://doi.org/10.1016/0047-2727(74)90003-6</w:t>
        </w:r>
      </w:hyperlink>
    </w:p>
    <w:p w14:paraId="13974AB1" w14:textId="77777777" w:rsidR="00182C06" w:rsidRPr="00182C06" w:rsidRDefault="00182C06" w:rsidP="00182C06">
      <w:r w:rsidRPr="00182C06">
        <w:t>One Big Beautiful Bill Act (OBBBA) of 2025, Pub. L. No. 119-21, 139 Stat. 44 (2025).</w:t>
      </w:r>
    </w:p>
    <w:p w14:paraId="2E1915A2" w14:textId="77777777" w:rsidR="00182C06" w:rsidRPr="00182C06" w:rsidRDefault="00182C06" w:rsidP="00182C06">
      <w:r w:rsidRPr="00182C06">
        <w:t xml:space="preserve">Rempel, D., Cullen, C., Matteson Bryan, M., &amp; Vianna Cezar, G. (2024). Reliability of open public electric-vehicle direct-current fast chargers. </w:t>
      </w:r>
      <w:r w:rsidRPr="00182C06">
        <w:rPr>
          <w:i/>
          <w:iCs/>
        </w:rPr>
        <w:t>Human Factors</w:t>
      </w:r>
      <w:r w:rsidRPr="00182C06">
        <w:t xml:space="preserve">, </w:t>
      </w:r>
      <w:r w:rsidRPr="00182C06">
        <w:rPr>
          <w:i/>
          <w:iCs/>
        </w:rPr>
        <w:t>66</w:t>
      </w:r>
      <w:r w:rsidRPr="00182C06">
        <w:t xml:space="preserve">(11), 2528–2538. </w:t>
      </w:r>
      <w:hyperlink r:id="rId18" w:tgtFrame="_blank" w:history="1">
        <w:r w:rsidRPr="00182C06">
          <w:rPr>
            <w:rStyle w:val="Hyperlink"/>
          </w:rPr>
          <w:t>https://doi.org/10.1177/00187208231217034</w:t>
        </w:r>
      </w:hyperlink>
    </w:p>
    <w:p w14:paraId="135FBD93" w14:textId="77777777" w:rsidR="00182C06" w:rsidRPr="00182C06" w:rsidRDefault="00182C06" w:rsidP="00182C06">
      <w:r w:rsidRPr="00182C06">
        <w:t xml:space="preserve">Roth, J., Sant’Anna, P. H. C., Bilinski, A., &amp; Poe, J. (2023). What’s trending in difference-in-differences? A synthesis of the recent </w:t>
      </w:r>
      <w:proofErr w:type="gramStart"/>
      <w:r w:rsidRPr="00182C06">
        <w:t>econometrics</w:t>
      </w:r>
      <w:proofErr w:type="gramEnd"/>
      <w:r w:rsidRPr="00182C06">
        <w:t xml:space="preserve"> literature. </w:t>
      </w:r>
      <w:r w:rsidRPr="00182C06">
        <w:rPr>
          <w:i/>
          <w:iCs/>
        </w:rPr>
        <w:t>Journal of Econometrics</w:t>
      </w:r>
      <w:r w:rsidRPr="00182C06">
        <w:t xml:space="preserve">, </w:t>
      </w:r>
      <w:r w:rsidRPr="00182C06">
        <w:rPr>
          <w:i/>
          <w:iCs/>
        </w:rPr>
        <w:t>235</w:t>
      </w:r>
      <w:r w:rsidRPr="00182C06">
        <w:t xml:space="preserve">(1), 2218–2244. </w:t>
      </w:r>
      <w:hyperlink r:id="rId19" w:tgtFrame="_blank" w:history="1">
        <w:r w:rsidRPr="00182C06">
          <w:rPr>
            <w:rStyle w:val="Hyperlink"/>
          </w:rPr>
          <w:t>https://doi.org/10.1016/j.jeconom.2023.03.008</w:t>
        </w:r>
      </w:hyperlink>
    </w:p>
    <w:p w14:paraId="5AF85C16" w14:textId="77777777" w:rsidR="00182C06" w:rsidRPr="00182C06" w:rsidRDefault="00182C06" w:rsidP="00182C06">
      <w:r w:rsidRPr="00182C06">
        <w:t xml:space="preserve">Skipper, A., et al. (2023). Air quality impacts of electric vehicle adoption in California. </w:t>
      </w:r>
      <w:r w:rsidRPr="00182C06">
        <w:rPr>
          <w:i/>
          <w:iCs/>
        </w:rPr>
        <w:t>Working Paper</w:t>
      </w:r>
      <w:r w:rsidRPr="00182C06">
        <w:t>.</w:t>
      </w:r>
    </w:p>
    <w:p w14:paraId="04F18DDD" w14:textId="77777777" w:rsidR="00182C06" w:rsidRPr="00182C06" w:rsidRDefault="00182C06" w:rsidP="00182C06">
      <w:r w:rsidRPr="00182C06">
        <w:t xml:space="preserve">Sun, L., &amp; Abraham, S. (2021). Estimating dynamic treatment effects in event studies with heterogeneous treatment effects. </w:t>
      </w:r>
      <w:r w:rsidRPr="00182C06">
        <w:rPr>
          <w:i/>
          <w:iCs/>
        </w:rPr>
        <w:t>Journal of Econometrics</w:t>
      </w:r>
      <w:r w:rsidRPr="00182C06">
        <w:t xml:space="preserve">, </w:t>
      </w:r>
      <w:r w:rsidRPr="00182C06">
        <w:rPr>
          <w:i/>
          <w:iCs/>
        </w:rPr>
        <w:t>225</w:t>
      </w:r>
      <w:r w:rsidRPr="00182C06">
        <w:t xml:space="preserve">(2), 175–199. </w:t>
      </w:r>
      <w:hyperlink r:id="rId20" w:tgtFrame="_blank" w:history="1">
        <w:r w:rsidRPr="00182C06">
          <w:rPr>
            <w:rStyle w:val="Hyperlink"/>
          </w:rPr>
          <w:t>https://doi.org/10.1016/j.jeconom.2020.09.006</w:t>
        </w:r>
      </w:hyperlink>
    </w:p>
    <w:p w14:paraId="41DC10E8" w14:textId="77777777" w:rsidR="00182C06" w:rsidRPr="00182C06" w:rsidRDefault="00182C06" w:rsidP="00182C06">
      <w:r w:rsidRPr="00182C06">
        <w:t>U.S. Department of the Treasury, Internal Revenue Service. (2025). Clean vehicle credit termination guidance under the One Big Beautiful Bill Act of 2025 (IRS Notice 2025-54).</w:t>
      </w:r>
    </w:p>
    <w:p w14:paraId="328161E8" w14:textId="77777777" w:rsidR="00182C06" w:rsidRPr="00182C06" w:rsidRDefault="00182C06" w:rsidP="00182C06">
      <w:r w:rsidRPr="00182C06">
        <w:t xml:space="preserve">U.S. Environmental Protection Agency. (2024). California State Motor Vehicle Pollution Control Standards; Advanced Clean Cars II Regulations; Request for Waiver of Clean Air Act Preemption. </w:t>
      </w:r>
      <w:r w:rsidRPr="00182C06">
        <w:rPr>
          <w:i/>
          <w:iCs/>
        </w:rPr>
        <w:t>EPA-HQ-OAR-2023-0292</w:t>
      </w:r>
      <w:r w:rsidRPr="00182C06">
        <w:t>.</w:t>
      </w:r>
    </w:p>
    <w:p w14:paraId="2895E204" w14:textId="77777777" w:rsidR="00182C06" w:rsidRPr="00182C06" w:rsidRDefault="00182C06" w:rsidP="00182C06">
      <w:r w:rsidRPr="00182C06">
        <w:t xml:space="preserve">U.S. Environmental Protection Agency. (2025). Download daily data (AQS daily summaries). </w:t>
      </w:r>
      <w:hyperlink r:id="rId21" w:tgtFrame="_blank" w:history="1">
        <w:r w:rsidRPr="00182C06">
          <w:rPr>
            <w:rStyle w:val="Hyperlink"/>
          </w:rPr>
          <w:t>https://www.epa.gov/outdoor-air-quality-data/download-daily-data</w:t>
        </w:r>
      </w:hyperlink>
    </w:p>
    <w:p w14:paraId="190C7A0A" w14:textId="77777777" w:rsidR="00182C06" w:rsidRPr="00182C06" w:rsidRDefault="00182C06" w:rsidP="00182C06">
      <w:r w:rsidRPr="00182C06">
        <w:t xml:space="preserve">U.S. Department of Transportation, Bureau of Transportation Statistics. (n.d.). Alternative Fueling Stations (national dataset mirror, updated from NREL/AFDC). </w:t>
      </w:r>
      <w:hyperlink r:id="rId22" w:tgtFrame="_blank" w:history="1">
        <w:r w:rsidRPr="00182C06">
          <w:rPr>
            <w:rStyle w:val="Hyperlink"/>
          </w:rPr>
          <w:t>https://data-usdot.opendata.arcgis.com/datasets/usdot::alternative-fueling-stations/about</w:t>
        </w:r>
      </w:hyperlink>
    </w:p>
    <w:p w14:paraId="0EB28928" w14:textId="77777777" w:rsidR="00182C06" w:rsidRPr="00182C06" w:rsidRDefault="00182C06" w:rsidP="00182C06">
      <w:r w:rsidRPr="00182C06">
        <w:lastRenderedPageBreak/>
        <w:t xml:space="preserve">USDA Economic Research Service. (2025). Rural-Urban Continuum Codes: Documentation and data (2023 classification). </w:t>
      </w:r>
      <w:hyperlink r:id="rId23" w:tgtFrame="_blank" w:history="1">
        <w:r w:rsidRPr="00182C06">
          <w:rPr>
            <w:rStyle w:val="Hyperlink"/>
          </w:rPr>
          <w:t>https://www.ers.usda.gov/data-products/rural-urban-continuum-codes/documentation</w:t>
        </w:r>
      </w:hyperlink>
    </w:p>
    <w:p w14:paraId="72448DDB" w14:textId="77777777" w:rsidR="00182C06" w:rsidRPr="00182C06" w:rsidRDefault="00182C06" w:rsidP="00182C06">
      <w:r w:rsidRPr="00182C06">
        <w:t xml:space="preserve">Van, K. (2025). Driving change: Assessing the impact of electric vehicle charging infrastructure on gasoline consumption across California counties (Summer </w:t>
      </w:r>
      <w:proofErr w:type="spellStart"/>
      <w:r w:rsidRPr="00182C06">
        <w:t>Lisska</w:t>
      </w:r>
      <w:proofErr w:type="spellEnd"/>
      <w:r w:rsidRPr="00182C06">
        <w:t xml:space="preserve"> Scholar Research Paper). </w:t>
      </w:r>
      <w:r w:rsidRPr="00182C06">
        <w:rPr>
          <w:i/>
          <w:iCs/>
        </w:rPr>
        <w:t>Denison University</w:t>
      </w:r>
      <w:r w:rsidRPr="00182C06">
        <w:t>. (Unpublished manuscript)</w:t>
      </w:r>
    </w:p>
    <w:p w14:paraId="4B0311F4" w14:textId="77777777" w:rsidR="00182C06" w:rsidRPr="00182C06" w:rsidRDefault="00182C06" w:rsidP="00182C06">
      <w:r w:rsidRPr="00182C06">
        <w:t xml:space="preserve">Wager, S., &amp; Athey, S. (2018). Estimation and inference of heterogeneous treatment effects using random forests. </w:t>
      </w:r>
      <w:r w:rsidRPr="00182C06">
        <w:rPr>
          <w:i/>
          <w:iCs/>
        </w:rPr>
        <w:t>Journal of the American Statistical Association</w:t>
      </w:r>
      <w:r w:rsidRPr="00182C06">
        <w:t xml:space="preserve">, </w:t>
      </w:r>
      <w:r w:rsidRPr="00182C06">
        <w:rPr>
          <w:i/>
          <w:iCs/>
        </w:rPr>
        <w:t>113</w:t>
      </w:r>
      <w:r w:rsidRPr="00182C06">
        <w:t xml:space="preserve">(523), 1228–1242. </w:t>
      </w:r>
      <w:hyperlink r:id="rId24" w:tgtFrame="_blank" w:history="1">
        <w:r w:rsidRPr="00182C06">
          <w:rPr>
            <w:rStyle w:val="Hyperlink"/>
          </w:rPr>
          <w:t>https://doi.org/10.1080/01621459.2017.1319839</w:t>
        </w:r>
      </w:hyperlink>
    </w:p>
    <w:p w14:paraId="1006C93A" w14:textId="732E5135" w:rsidR="00DD6C4E" w:rsidRDefault="00182C06" w:rsidP="00EF46BF">
      <w:r w:rsidRPr="00182C06">
        <w:t xml:space="preserve">Yu, Z., et al. (2023). Zero-emission vehicle adoption narrows PM2.5 exposure disparities in California. </w:t>
      </w:r>
      <w:r w:rsidRPr="00182C06">
        <w:rPr>
          <w:i/>
          <w:iCs/>
        </w:rPr>
        <w:t>Nature Communications</w:t>
      </w:r>
      <w:r w:rsidRPr="00182C06">
        <w:t xml:space="preserve">, </w:t>
      </w:r>
      <w:r w:rsidRPr="00182C06">
        <w:rPr>
          <w:i/>
          <w:iCs/>
        </w:rPr>
        <w:t>14</w:t>
      </w:r>
      <w:r w:rsidRPr="00182C06">
        <w:t xml:space="preserve">, 6712. </w:t>
      </w:r>
      <w:hyperlink r:id="rId25" w:tgtFrame="_blank" w:history="1">
        <w:r w:rsidRPr="00182C06">
          <w:rPr>
            <w:rStyle w:val="Hyperlink"/>
          </w:rPr>
          <w:t>https://doi.org/10.1038/s41467-023-42435-y</w:t>
        </w:r>
      </w:hyperlink>
    </w:p>
    <w:sectPr w:rsidR="00DD6C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21922"/>
    <w:multiLevelType w:val="multilevel"/>
    <w:tmpl w:val="D4043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0E380A"/>
    <w:multiLevelType w:val="multilevel"/>
    <w:tmpl w:val="15FE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911C2D"/>
    <w:multiLevelType w:val="multilevel"/>
    <w:tmpl w:val="2010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B72BEA"/>
    <w:multiLevelType w:val="multilevel"/>
    <w:tmpl w:val="EA66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869736">
    <w:abstractNumId w:val="1"/>
  </w:num>
  <w:num w:numId="2" w16cid:durableId="2013559778">
    <w:abstractNumId w:val="0"/>
  </w:num>
  <w:num w:numId="3" w16cid:durableId="1390960186">
    <w:abstractNumId w:val="2"/>
  </w:num>
  <w:num w:numId="4" w16cid:durableId="8948520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425"/>
    <w:rsid w:val="00182C06"/>
    <w:rsid w:val="001C47B6"/>
    <w:rsid w:val="005B1F88"/>
    <w:rsid w:val="005E704B"/>
    <w:rsid w:val="00976B1F"/>
    <w:rsid w:val="00AD3BD9"/>
    <w:rsid w:val="00BB6501"/>
    <w:rsid w:val="00BC11AF"/>
    <w:rsid w:val="00CD7425"/>
    <w:rsid w:val="00D9689F"/>
    <w:rsid w:val="00DC68AD"/>
    <w:rsid w:val="00DD6C4E"/>
    <w:rsid w:val="00EF46BF"/>
    <w:rsid w:val="00F01EA3"/>
    <w:rsid w:val="00FA2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AECB4"/>
  <w15:chartTrackingRefBased/>
  <w15:docId w15:val="{EE9E7F66-E8F0-4202-8D7C-EE78FDEE2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4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74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74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4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4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4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74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74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4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4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425"/>
    <w:rPr>
      <w:rFonts w:eastAsiaTheme="majorEastAsia" w:cstheme="majorBidi"/>
      <w:color w:val="272727" w:themeColor="text1" w:themeTint="D8"/>
    </w:rPr>
  </w:style>
  <w:style w:type="paragraph" w:styleId="Title">
    <w:name w:val="Title"/>
    <w:basedOn w:val="Normal"/>
    <w:next w:val="Normal"/>
    <w:link w:val="TitleChar"/>
    <w:uiPriority w:val="10"/>
    <w:qFormat/>
    <w:rsid w:val="00CD7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425"/>
    <w:pPr>
      <w:spacing w:before="160"/>
      <w:jc w:val="center"/>
    </w:pPr>
    <w:rPr>
      <w:i/>
      <w:iCs/>
      <w:color w:val="404040" w:themeColor="text1" w:themeTint="BF"/>
    </w:rPr>
  </w:style>
  <w:style w:type="character" w:customStyle="1" w:styleId="QuoteChar">
    <w:name w:val="Quote Char"/>
    <w:basedOn w:val="DefaultParagraphFont"/>
    <w:link w:val="Quote"/>
    <w:uiPriority w:val="29"/>
    <w:rsid w:val="00CD7425"/>
    <w:rPr>
      <w:i/>
      <w:iCs/>
      <w:color w:val="404040" w:themeColor="text1" w:themeTint="BF"/>
    </w:rPr>
  </w:style>
  <w:style w:type="paragraph" w:styleId="ListParagraph">
    <w:name w:val="List Paragraph"/>
    <w:basedOn w:val="Normal"/>
    <w:uiPriority w:val="34"/>
    <w:qFormat/>
    <w:rsid w:val="00CD7425"/>
    <w:pPr>
      <w:ind w:left="720"/>
      <w:contextualSpacing/>
    </w:pPr>
  </w:style>
  <w:style w:type="character" w:styleId="IntenseEmphasis">
    <w:name w:val="Intense Emphasis"/>
    <w:basedOn w:val="DefaultParagraphFont"/>
    <w:uiPriority w:val="21"/>
    <w:qFormat/>
    <w:rsid w:val="00CD7425"/>
    <w:rPr>
      <w:i/>
      <w:iCs/>
      <w:color w:val="2F5496" w:themeColor="accent1" w:themeShade="BF"/>
    </w:rPr>
  </w:style>
  <w:style w:type="paragraph" w:styleId="IntenseQuote">
    <w:name w:val="Intense Quote"/>
    <w:basedOn w:val="Normal"/>
    <w:next w:val="Normal"/>
    <w:link w:val="IntenseQuoteChar"/>
    <w:uiPriority w:val="30"/>
    <w:qFormat/>
    <w:rsid w:val="00CD74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425"/>
    <w:rPr>
      <w:i/>
      <w:iCs/>
      <w:color w:val="2F5496" w:themeColor="accent1" w:themeShade="BF"/>
    </w:rPr>
  </w:style>
  <w:style w:type="character" w:styleId="IntenseReference">
    <w:name w:val="Intense Reference"/>
    <w:basedOn w:val="DefaultParagraphFont"/>
    <w:uiPriority w:val="32"/>
    <w:qFormat/>
    <w:rsid w:val="00CD7425"/>
    <w:rPr>
      <w:b/>
      <w:bCs/>
      <w:smallCaps/>
      <w:color w:val="2F5496" w:themeColor="accent1" w:themeShade="BF"/>
      <w:spacing w:val="5"/>
    </w:rPr>
  </w:style>
  <w:style w:type="character" w:styleId="Hyperlink">
    <w:name w:val="Hyperlink"/>
    <w:basedOn w:val="DefaultParagraphFont"/>
    <w:uiPriority w:val="99"/>
    <w:unhideWhenUsed/>
    <w:rsid w:val="00BC11AF"/>
    <w:rPr>
      <w:color w:val="0563C1" w:themeColor="hyperlink"/>
      <w:u w:val="single"/>
    </w:rPr>
  </w:style>
  <w:style w:type="character" w:styleId="UnresolvedMention">
    <w:name w:val="Unresolved Mention"/>
    <w:basedOn w:val="DefaultParagraphFont"/>
    <w:uiPriority w:val="99"/>
    <w:semiHidden/>
    <w:unhideWhenUsed/>
    <w:rsid w:val="00BC11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ergy.ca.gov/news/2025-09/california-exceeds-200000-electric-vehicle-chargers" TargetMode="External"/><Relationship Id="rId13" Type="http://schemas.openxmlformats.org/officeDocument/2006/relationships/hyperlink" Target="https://doi.org/10.3390/wevj12040207" TargetMode="External"/><Relationship Id="rId18" Type="http://schemas.openxmlformats.org/officeDocument/2006/relationships/hyperlink" Target="https://www.google.com/search?q=https://doi.org/10.1177/00187208231217034"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epa.gov/outdoor-air-quality-data/download-daily-data" TargetMode="External"/><Relationship Id="rId7" Type="http://schemas.openxmlformats.org/officeDocument/2006/relationships/hyperlink" Target="https://ww2.arb.ca.gov/sites/default/files/barcu/regact/2022/accii/acciirtc1.pdf" TargetMode="External"/><Relationship Id="rId12" Type="http://schemas.openxmlformats.org/officeDocument/2006/relationships/hyperlink" Target="https://doi.org/10.1111/ectj.12097" TargetMode="External"/><Relationship Id="rId17" Type="http://schemas.openxmlformats.org/officeDocument/2006/relationships/hyperlink" Target="https://www.google.com/search?q=https://doi.org/10.1016/0047-2727(74)90003-6" TargetMode="External"/><Relationship Id="rId25" Type="http://schemas.openxmlformats.org/officeDocument/2006/relationships/hyperlink" Target="https://www.google.com/search?q=https://doi.org/10.1038/s41467-023-42435-y" TargetMode="External"/><Relationship Id="rId2" Type="http://schemas.openxmlformats.org/officeDocument/2006/relationships/styles" Target="styles.xml"/><Relationship Id="rId16" Type="http://schemas.openxmlformats.org/officeDocument/2006/relationships/hyperlink" Target="https://doi.org/10.61173/psdxq366" TargetMode="External"/><Relationship Id="rId20" Type="http://schemas.openxmlformats.org/officeDocument/2006/relationships/hyperlink" Target="https://doi.org/10.1016/j.jeconom.2020.09.006" TargetMode="External"/><Relationship Id="rId1" Type="http://schemas.openxmlformats.org/officeDocument/2006/relationships/numbering" Target="numbering.xml"/><Relationship Id="rId6" Type="http://schemas.openxmlformats.org/officeDocument/2006/relationships/hyperlink" Target="https://www.nber.org/papers/w29842" TargetMode="External"/><Relationship Id="rId11" Type="http://schemas.openxmlformats.org/officeDocument/2006/relationships/hyperlink" Target="https://doi.org/10.1016/j.jeconom.2020.12.001" TargetMode="External"/><Relationship Id="rId24" Type="http://schemas.openxmlformats.org/officeDocument/2006/relationships/hyperlink" Target="https://www.google.com/search?q=https://doi.org/10.1080/01621459.2017.1319839" TargetMode="External"/><Relationship Id="rId5" Type="http://schemas.openxmlformats.org/officeDocument/2006/relationships/hyperlink" Target="https://doi.org/10.1016/j.jfineco.2022.01.004" TargetMode="External"/><Relationship Id="rId15" Type="http://schemas.openxmlformats.org/officeDocument/2006/relationships/hyperlink" Target="https://www.google.com/search?q=https://doi.org/10.1016/j.trd.2021.102991" TargetMode="External"/><Relationship Id="rId23" Type="http://schemas.openxmlformats.org/officeDocument/2006/relationships/hyperlink" Target="https://www.ers.usda.gov/data-products/rural-urban-continuum-codes/documentation" TargetMode="External"/><Relationship Id="rId10" Type="http://schemas.openxmlformats.org/officeDocument/2006/relationships/hyperlink" Target="https://doi.org/10.2139/ssrn.4716682" TargetMode="External"/><Relationship Id="rId19" Type="http://schemas.openxmlformats.org/officeDocument/2006/relationships/hyperlink" Target="https://doi.org/10.1016/j.jeconom.2023.03.008" TargetMode="External"/><Relationship Id="rId4" Type="http://schemas.openxmlformats.org/officeDocument/2006/relationships/webSettings" Target="webSettings.xml"/><Relationship Id="rId9" Type="http://schemas.openxmlformats.org/officeDocument/2006/relationships/hyperlink" Target="https://cecgis-caenergy.opendata.arcgis.com/datasets/nevi-2-corridor-groups-december-9-2024/about" TargetMode="External"/><Relationship Id="rId14" Type="http://schemas.openxmlformats.org/officeDocument/2006/relationships/hyperlink" Target="https://www.google.com/search?q=https://doi.org/10.1016/j.jeconom.2021.03.014" TargetMode="External"/><Relationship Id="rId22" Type="http://schemas.openxmlformats.org/officeDocument/2006/relationships/hyperlink" Target="https://data-usdot.opendata.arcgis.com/datasets/usdot::alternative-fueling-stations/abou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652</TotalTime>
  <Pages>11</Pages>
  <Words>4533</Words>
  <Characters>25839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Van</dc:creator>
  <cp:keywords/>
  <dc:description/>
  <cp:lastModifiedBy>Khoi Van</cp:lastModifiedBy>
  <cp:revision>2</cp:revision>
  <dcterms:created xsi:type="dcterms:W3CDTF">2026-05-21T17:26:00Z</dcterms:created>
  <dcterms:modified xsi:type="dcterms:W3CDTF">2026-05-26T22:13:00Z</dcterms:modified>
</cp:coreProperties>
</file>