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Methodology Implementation Plan</w:t>
      </w:r>
    </w:p>
    <w:p>
      <w:pPr>
        <w:spacing w:after="8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TWFE with Continuous Treatments, Continuous Staggered DiD, and Machine-Learning Extensions</w:t>
      </w:r>
    </w:p>
    <w:p>
      <w:pPr>
        <w:spacing w:after="32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California EV Charging Infrastructure and Gasoline Displacement Project  ·  Summer 2026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This document operationalizes the econometric and machine-learning architecture motivated in Sections 2 and 4 of the Literature Review. It maps the abstract identification strategies to the concrete California county-year panel currently assembled in the project's data layer (AFDC / NEVI charging stations, EPA AQS annual AQI and concentration files, CDTFA fuel-tax statistics, EIA SEDS gasoline benchmarks, ACS 5-year demographics, DMV ZEV registrations, and USDA rural-urban continuum codes). All three sections share a common unit of analysis: county c ∈ {1,…,58} in California, observed annually over t ∈ {2010,…,2025}.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Building the TWFE Model with a Continuous Treatment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Two-Way Fixed Effects (TWFE) specification serves as the baseline workhorse model. Following the literature review, the canonical estimating equation is: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Y_ct = γ_c + δ_t + β_TWFE · (D_c × Post_t) + X_ct' Γ + ε_ct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where the continuous dose D_c captures cumulative infrastructure intensity and Post_t indicates the policy regime. The TWFE results are reported primarily as a benchmark; they are then explicitly diagnosed for the negative-weighting and selection biases formalized by Callaway, Goodman-Bacon, and Sant'Anna (2024). The build is therefore engineered so that the TWFE coefficients are directly comparable, dose-for-dose, with the modern estimators in Section 2.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1.1 Pipeline overview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Outputs: a county-year panel (~ 58 × 16 = 928 rows per outcome) with one row per (county, year), columns for the outcome, dose, post indicator, interaction, covariates, and FE identifiers.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Software: Python (pandas, geopandas, linearmodels.PanelOLS) for assembly and estimation; R (fixest::feols) for cross-validation of the point estimates and cluster-robust SEs.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Storage: a parquet file data/panel/ca_county_year_panel.parquet rebuilt by a single make build_panel command, so all estimators consume an identical, version-controlled panel.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1.2 Step-by-step build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1.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Build the balanced county-year panel skeleton.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Use spatial_data/ca_counties.csv to enumerate the 58 California FIPS codes; cross-join with a year vector 2010–2025 to create the (county, year) grid.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Persist the grid as panel/skeleton.parquet. Every subsequent variable is left-joined onto this skeleton so that missingness is explicit rather than silent.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2.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Construct the three outcome variables Y_ct.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Gasoline consumption per capita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gasoline_pc_ct</w:t>
      </w:r>
      <w:r>
        <w:rPr>
          <w:rFonts w:ascii="Calibri" w:cs="Calibri" w:eastAsia="Calibri" w:hAnsi="Calibri"/>
          <w:sz w:val="22"/>
          <w:szCs w:val="22"/>
        </w:rPr>
        <w:t xml:space="preserve">): aggregate CDTFA fuel-tax statistics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fuel_tax_stats.csv</w:t>
      </w:r>
      <w:r>
        <w:rPr>
          <w:rFonts w:ascii="Calibri" w:cs="Calibri" w:eastAsia="Calibri" w:hAnsi="Calibri"/>
          <w:sz w:val="22"/>
          <w:szCs w:val="22"/>
        </w:rPr>
        <w:t xml:space="preserve">) to the county-year level (taxable gasoline gallons), then divide by ACS total_population. Cross-validate the state aggregate against EIA SEDS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eia_seds_gasoline_ca.csv</w:t>
      </w:r>
      <w:r>
        <w:rPr>
          <w:rFonts w:ascii="Calibri" w:cs="Calibri" w:eastAsia="Calibri" w:hAnsi="Calibri"/>
          <w:sz w:val="22"/>
          <w:szCs w:val="22"/>
        </w:rPr>
        <w:t xml:space="preserve"> and reconcile any &gt; 2% discrepancy before proceeding.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Annual PM₂.₅ concentration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pm25_ct</w:t>
      </w:r>
      <w:r>
        <w:rPr>
          <w:rFonts w:ascii="Calibri" w:cs="Calibri" w:eastAsia="Calibri" w:hAnsi="Calibri"/>
          <w:sz w:val="22"/>
          <w:szCs w:val="22"/>
        </w:rPr>
        <w:t xml:space="preserve">): use the EPA AQS file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annual_conc_by_monitor_&lt;year&gt;.csv</w:t>
      </w:r>
      <w:r>
        <w:rPr>
          <w:rFonts w:ascii="Calibri" w:cs="Calibri" w:eastAsia="Calibri" w:hAnsi="Calibri"/>
          <w:sz w:val="22"/>
          <w:szCs w:val="22"/>
        </w:rPr>
        <w:t xml:space="preserve"> filtered to Parameter Code 88101, sample duration = 24-HR, then take the county-level population-weighted mean across monitors using ACS block-group populations for the weights.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Annual tropospheric ozone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o3_ct</w:t>
      </w:r>
      <w:r>
        <w:rPr>
          <w:rFonts w:ascii="Calibri" w:cs="Calibri" w:eastAsia="Calibri" w:hAnsi="Calibri"/>
          <w:sz w:val="22"/>
          <w:szCs w:val="22"/>
        </w:rPr>
        <w:t xml:space="preserve">): same AQS file, Parameter Code 44201, statistic = 4th-highest daily max 8-hour average (the NAAQS-aligned design-value statistic).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For each outcome, log-transform with ln(Y+1) and also retain the level. Report both in the appendix; primary specifications use the log form for the demand outcome (gasoline) and the level for the air-quality outcomes.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3.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Construct the continuous dose D_c.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Primary dose — DCFC port density at the start of the policy window: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D_c = (#DCFC ports in c as of Dec 31, 2021) / (population_c / 10,000)</w:t>
      </w:r>
      <w:r>
        <w:rPr>
          <w:rFonts w:ascii="Calibri" w:cs="Calibri" w:eastAsia="Calibri" w:hAnsi="Calibri"/>
          <w:sz w:val="22"/>
          <w:szCs w:val="22"/>
        </w:rPr>
        <w:t xml:space="preserve">. Build from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ev_charging_stations_ca.csv</w:t>
      </w:r>
      <w:r>
        <w:rPr>
          <w:rFonts w:ascii="Calibri" w:cs="Calibri" w:eastAsia="Calibri" w:hAnsi="Calibri"/>
          <w:sz w:val="22"/>
          <w:szCs w:val="22"/>
        </w:rPr>
        <w:t xml:space="preserve"> by summing ev_dc_fast_num for stations whose open_date ≤ 2021-12-31 and grouping by county (spatial join of lat/lon to ca_counties).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Secondary dose — NEVI corridor exposure: km of NEVI 2 corridor inside county c, computed via PostGIS ST_Length(ST_Intersection(corridor, county_polygon)) on the CEC NEVI 2 layer; normalize by county land area (ALAND from ca_counties.csv).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Tertiary dose — share of fast-charging in county c: share_dcfc_c = #DCFC / (#L2 + #DCFC). Used in robustness only.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Important: the dose must be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pre-treatment and time-invariant within the standard TWFE estimating equation</w:t>
      </w:r>
      <w:r>
        <w:rPr>
          <w:rFonts w:ascii="Calibri" w:cs="Calibri" w:eastAsia="Calibri" w:hAnsi="Calibri"/>
          <w:sz w:val="22"/>
          <w:szCs w:val="22"/>
        </w:rPr>
        <w:t xml:space="preserve">, so it is constructed only from stations that opened before the policy window. A separate, time-varying "running dose" D_ct is built for the event-study extension in Section 1.5.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Winsorize D_c at the 1st and 99th percentiles; this is mainly to limit the influence of the few extremely sparse rural counties (e.g., Alpine, Sierra) that have a near-zero population denominator.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4.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Define the Post_t indicator(s).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Primary regime shift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Post_NEVI</w:t>
      </w:r>
      <w:r>
        <w:rPr>
          <w:rFonts w:ascii="Calibri" w:cs="Calibri" w:eastAsia="Calibri" w:hAnsi="Calibri"/>
          <w:sz w:val="22"/>
          <w:szCs w:val="22"/>
        </w:rPr>
        <w:t xml:space="preserve"> = 1{t ≥ 2022}. Anchored on the FHWA NEVI Final Rule (Feb 2022) and the first round of California NEVI corridor obligations.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Secondary regime shift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Post_OBBBA</w:t>
      </w:r>
      <w:r>
        <w:rPr>
          <w:rFonts w:ascii="Calibri" w:cs="Calibri" w:eastAsia="Calibri" w:hAnsi="Calibri"/>
          <w:sz w:val="22"/>
          <w:szCs w:val="22"/>
        </w:rPr>
        <w:t xml:space="preserve"> = 1{t ≥ 2026}. Anchored on the OBBBA termination of the §30D / §25E clean-vehicle tax credits effective Sep 30, 2025. With annual data, the first fully treated year is 2026; for the 2025 fiscal year, run a robustness specification weighting 2025 by 92/365 (Oct 1 – Dec 31).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Each Post variable is estimated in a separate TWFE model so the β_TWFE coefficients are interpretable as the average dose × regime interaction for one policy at a time. A stacked specification with both Post variables and a Post_NEVI × Post_OBBBA interaction is run as a fifth, secondary model.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5.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Assemble the time-varying covariate vector X_ct.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Demographics (from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census_acs_county_data.csv</w:t>
      </w:r>
      <w:r>
        <w:rPr>
          <w:rFonts w:ascii="Calibri" w:cs="Calibri" w:eastAsia="Calibri" w:hAnsi="Calibri"/>
          <w:sz w:val="22"/>
          <w:szCs w:val="22"/>
        </w:rPr>
        <w:t xml:space="preserve">, ACS 5-year, vintage = year-1): log median household income, share of households with income &lt; $150k (the OBBBA cap), share white non-Hispanic, share of housing units owner-occupied, share commuting alone by car, log total population.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Rurality (from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rural_classification.csv</w:t>
      </w:r>
      <w:r>
        <w:rPr>
          <w:rFonts w:ascii="Calibri" w:cs="Calibri" w:eastAsia="Calibri" w:hAnsi="Calibri"/>
          <w:sz w:val="22"/>
          <w:szCs w:val="22"/>
        </w:rPr>
        <w:t xml:space="preserve">): RUCC code as a 9-level fixed effect; included in TWFE as RUCC × year interactions to allow rural vs. metro counties to follow different time trends.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Energy prices: state-level retail gasoline price ($/gal) and retail residential electricity rate (¢/kWh) from EIA SEDS, applied uniformly across counties within a year (this absorbs into δ_t but is retained for the spatially-weighted specification in Step 9).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Fleet composition (from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vehicle_fuel_type_counts_2025.csv</w:t>
      </w:r>
      <w:r>
        <w:rPr>
          <w:rFonts w:ascii="Calibri" w:cs="Calibri" w:eastAsia="Calibri" w:hAnsi="Calibri"/>
          <w:sz w:val="22"/>
          <w:szCs w:val="22"/>
        </w:rPr>
        <w:t xml:space="preserve">): ZEV share of registered light-duty vehicles in c at the start of year t. This is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bad control</w:t>
      </w:r>
      <w:r>
        <w:rPr>
          <w:rFonts w:ascii="Calibri" w:cs="Calibri" w:eastAsia="Calibri" w:hAnsi="Calibri"/>
          <w:sz w:val="22"/>
          <w:szCs w:val="22"/>
        </w:rPr>
        <w:t xml:space="preserve"> in the primary specification (it is on the causal pathway from charging → adoption → gasoline) and is therefore included only in a mediation specification reported separately.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6.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Estimate the baseline TWFE specification.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 Python: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from linearmodels.panel import PanelOLS
mod = PanelOLS.from_formula(
    "log_gasoline_pc ~ 1 + dose_x_post + log_med_hh_inc + share_under_150k + share_white_nh + log_population + EntityEffects + TimeEffects",
    data=panel.set_index(["fips", "year"]),
)
res = mod.fit(cov_type="clustered", cluster_entity=True)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Standard errors clustered at the county level (entity cluster). Document the small number of clusters (G = 58) and report wild cluster bootstrap p-values (boottest in Stata or wildboottestjlr in R) as a robustness sanity check.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Rerun the identical specification in R: feols(log_gasoline_pc ~ dose_x_post + ... | fips + year, cluster = ~fips, data = panel). Confirm coefficients match to 4 decimal places before reporting.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7.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Add the OBBBA / NEVI interaction and the dose-squared term.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Linear dose interaction: include D_c × Post_t (the headline coefficient β_TWFE).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Quadratic dose: add D_c² × Post_t. Tests whether the marginal return of the dose is constant (it almost certainly is not). A statistically significant negative quadratic coefficient is the empirical signature of the dose-response non-linearity that Callaway, Goodman-Bacon, and Sant'Anna (2024) argue TWFE estimates incorrectly via negative weighting.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Saturated dose bins: replace the linear dose with five quintile dummies of D_c × Post_t. The pattern of coefficients across quintiles is the most defensible TWFE-based summary of the dose-response curve and is the figure that should be presented alongside the modern DiD result for direct visual comparison.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8.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Pre-trend diagnostics (event-study version of TWFE).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Replace D_c × Post_t with event-time leads and lags around the NEVI 2022 break: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Y_ct = γ_c + δ_t + Σ_{k ∈ K, k ≠ -1} θ_k · D_c · 1{t - 2022 = k} + X_ct' Γ + ε_ct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Bin K = {−6,−5,…,−2, 0, 1, 2, 3} with the year before treatment (k = −1) as the omitted reference.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Plot the θ_k coefficients with 95% CIs. The pre-treatment θ_k for k &lt; −1 should be statistically indistinguishable from zero; any significant negative pre-trends are evidence that the parallel-trends assumption is violated and the TWFE coefficient is biased.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Run the Roth (2022) sensitivity bound and the Borusyak-Jaravel-Spiess (2024) imputation pre-test as formal checks.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These diagnostics carry over identically to the Callaway-Sant'Anna estimator in Section 2 and so are written once as a reusable function.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9.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Robustness specifications.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Geographic-trend robustness: add Census-region × year fixed effects (in California, MSA × year).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Functional-form robustness: re-estimate with the inverse hyperbolic sine of the dose to handle the zero-dose counties cleanly.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Spatial-spillover robustness: include a row-normalized neighbor-county dose, Σ_{c'} W_{c,c'} · D_{c'} × Post_t, where W is a queen-contiguity matrix built from ca_counties.csv. Tests the SUTVA-violation concern that drivers cross county lines for charging.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Sample robustness: exclude Los Angeles, Orange, San Diego, and San Francisco counties (the four most likely to drive both the dose and the outcome through unrelated channels) and re-estimate.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10.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Explicit limitation report (mandatory).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Before publishing any β_TWFE, the document must report the following four flags so that the modern DiD results can be interpreted as the true headline: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Sign and magnitude difference between the linear β_TWFE and the saturated dose-bin coefficients (large divergence ⇒ negative-weighting problem).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Goodman-Bacon (2021) decomposition of β_TWFE into the 2×2 building blocks (run the bacondecomp routine in Stata or the bacondecomp R package). Compute the share of identifying variation that comes from 'forbidden comparisons' (already-treated vs. later-treated).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Pre-trend test result from Step 8.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Dose-selection diagnostic: regress D_c on pre-treatment levels and growth rates of the outcomes in 2010–2017. A significant coefficient is evidence of the dose-related selection bias that the Callaway-Goodman-Bacon-Sant'Anna (2024) estimator is built to handle.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Building the Continuous Staggered DiD Framework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DiD framework explicitly addresses the two failures of TWFE that the literature review identifies: (i) negative weighting under heterogeneous treatment effects (Baker et al., 2022; Goodman-Bacon, 2021), and (ii) dose-related selection bias under continuous treatment (Callaway, Goodman-Bacon, &amp; Sant'Anna, 2024). The build proceeds in two layers. Layer A applies Callaway-Sant'Anna (2021) to a binarized version of the treatment so the well-tested staggered estimator can be deployed and validated first. Layer B extends to the fully continuous dose using the CGS (2024) estimator with sieve-based dose-response curves.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2.1 Layer A — Callaway-Sant'Anna (2021) with a binarized treatment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1.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Define the treatment cohort G_c for each county.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Compute the cumulative number of DCFC ports in county c at the end of each year from the AFDC station opening dates.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Define a county-specific 'treatment year' as the first year in which DCFC density (ports per 10k residents) crosses τ = 1.0. This threshold is chosen because it is roughly the 25th percentile of statewide density in 2022 and produces a usable spread of treatment timing across cohorts. Verify the cohort distribution histogram before proceeding.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Counties that never cross τ form the never-treated control group (essential for the Callaway-Sant'Anna 'never-treated' comparison).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Robustness: re-run with τ = 0.5 and τ = 2.0; the headline conclusions should be insensitive to the exact threshold.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2.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Construct the long-form panel required by the did R package.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Columns: fips (id), year (time), first_treat (cohort G; 0 for never-treated), outcome variable, and the covariate vector X.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Save as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panel/ca_cs_long.parquet</w:t>
      </w:r>
      <w:r>
        <w:rPr>
          <w:rFonts w:ascii="Calibri" w:cs="Calibri" w:eastAsia="Calibri" w:hAnsi="Calibri"/>
          <w:sz w:val="22"/>
          <w:szCs w:val="22"/>
        </w:rPr>
        <w:t xml:space="preserve"> so that R and Python share an identical dataset.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3.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Estimate the ATT(g, t) surface.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In R: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library(did)
att_gt_out &lt;- att_gt(
  yname = "log_gasoline_pc",
  tname = "year",
  idname = "fips",
  gname = "first_treat",
  xformla = ~ log_med_hh_inc + share_under_150k + share_white_nh + log_population + rucc,
  data = panel,
  control_group = "nevertreated",
  est_method = "dr",            # doubly-robust
  bstrap = TRUE, biters = 999,
  cband = TRUE,
  clustervars = "fips"
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est_method = "dr" runs the doubly-robust estimator (Sant'Anna &amp; Zhao, 2020): it remains consistent if either the outcome-regression OR the propensity-score model is correctly specified — a strict improvement over the IPW or OLS-only options.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control_group = "nevertreated" forces the strictest comparison set; rerun with "notyettreated" as a robustness check and confirm the conclusions do not depend on the choice.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cband = TRUE yields uniform (not pointwise) confidence bands, which is what should be reported when the ATT(g,t) surface is interpreted jointly.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4.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Aggregate ATT(g,t) into interpretable summaries.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Overall ATT: aggte(att_gt_out, type = "simple"). One number; the staggered-DiD analogue of β_TWFE.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Event-study (dynamic) aggregation: aggte(att_gt_out, type = "dynamic", min_e = -5, max_e = 5). This is the headline plot — average ATT at event time e relative to first treatment, with cohort weights chosen to avoid negative weighting.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Group (cohort) aggregation: aggte(att_gt_out, type = "group"). Reveals whether early adopters (e.g., LA, Bay Area) and later adopters (Central Valley) experience different ATTs.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Calendar-time aggregation: aggte(att_gt_out, type = "calendar"). Lets the OBBBA shock (2026) be read off directly as a structural break in the calendar-time ATT series.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5.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Pre-trend test using the dynamic aggregation.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The pre-period event-time coefficients (e = −5,…,−2) should be statistically indistinguishable from zero under the uniform band; if not, the Honest-DiD bound (Rambachan &amp; Roth, 2023) is reported as the credible-set restriction on the post-treatment ATT.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Implementation: the HonestDiD R package wraps directly around an att_gt object — call honest_did(es = aggte(att_gt_out, "dynamic"), e = 0, type = "smoothness"). Report the breakdown M value at which the headline effect loses significance.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2.2 Layer B — Continuous DiD via Callaway, Goodman-Bacon, &amp; Sant'Anna (2024)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1.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Switch from binarized G_c to the full continuous dose D_c.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Retain the cohort variable from Layer A only as a stratifier; the identification target is now the average causal response ACR(d) = ∂ATT(d) / ∂d as a function of the dose 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Define the dose support: d ∈ [d_min, d_max] over the 5th–95th percentile of pre-treatment DCFC density to avoid extrapolation in the tails.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2.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State the strong parallel-trends assumption that the estimator requires.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Per CGS (2024), the identification result requires E[ Y_t(d) − Y_t(0) | D = d ] to be additively separable in d. This is stronger than the binary parallel-trends assumption and must be defended substantively: counties with twice the dose are assumed to have the same untreated trajectory as counties with half the dose, conditional on covariates. Documenting this defense (with reference to the dose-selection diagnostic from Section 1, Step 10) is mandatory.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3.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Estimate ATT(d) on a grid and the ACR(d) curve.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Use the contdid R package (Callaway-Sant'Anna companion to did):</w:t>
      </w:r>
    </w:p>
    <w:p>
      <w:pPr>
        <w:shd w:fill="F2F2F2" w:color="auto" w:val="clear"/>
        <w:spacing w:after="120" w:before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library(contdid)
cd_out &lt;- cont_did(
  yname     = "log_gasoline_pc",
  tname     = "year",
  idname    = "fips",
  gname     = "first_treat",
  dname     = "dose_dcfc_pc",      # continuous dose
  xformla   = ~ log_med_hh_inc + share_under_150k + log_population + rucc,
  data      = panel,
  control_group = "nevertreated",
  dose_grid = seq(d_min, d_max, length.out = 25),
  sieve     = "bspline", df = 4,
  cband     = TRUE, bstrap = TRUE, biters = 999
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The B-spline sieve with df = 4 (one interior knot at the median dose) is the CGS-recommended default; rerun with df = 6 to check sensitivity to functional form.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Report two curves: ATT(d) (the level effect at dose d) and ACR(d) (its derivative — the marginal effect of adding one more DCFC port per 10k residents at dose level d).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4.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Decompose the bias that TWFE imposes on the ACR.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CGS (2024) provides an explicit decomposition β_TWFE = ∫ ω(d) · ACR(d) dd, where the weights ω(d) integrate to one but can be negative in the tails of the dose distribution.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Compute and plot ω(d) alongside ACR(d). The chart of these two curves on a shared x-axis is the single most informative figure in the methodology comparison — it makes the negative-weighting bias visually obvious.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5.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Embed the OBBBA shock as an effect modifier.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literature review motivates using OBBBA as a regime-switching modifier of the ACR. The implementation is: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Split the post-treatment panel into Pre-OBBBA (2022–2025) and Post-OBBBA (2026+) sub-samples; estimate ACR_pre(d) and ACR_post(d) separately.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Test H_0: ACR_post(d) = ACR_pre(d) at each d via the bootstrap distribution. A pointwise rejection at moderate-to-high doses is the empirical evidence that infrastructure becomes more valuable on the margin when subsidies disappear — the central policy hypothesis of the project.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As a sharper alternative, interact the continuous dose with the continuous OBBBA exposure intensity defined in the literature review (the share of households in c below the §30D income cap). This converts the design into a continuous-by-continuous DiD whose interaction surface ATT(d, exposure) is the deliverable figure.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6.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Cohort heterogeneity and equity decomposition.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Re-estimate ACR(d) within RUCC strata (metro / micropolitan / non-core) and within terciles of median household income.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Report the maximum-difference dose d* at which the disparity in ACR across strata peaks. This d* feeds directly into the prescriptive siting model (ML extension #3 in Section 3).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7.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Multi-outcome estimation.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Repeat Layer B for the two air-quality outcomes (PM₂.₅ and ozone) without re-fitting the propensity score (the dose-treatment selection model is identical across outcomes).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Bonferroni- or Romano-Wolf-adjust p-values across the three outcomes when reporting joint statistical significance of the headline ACR effects.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C00000"/>
          <w:sz w:val="23"/>
          <w:szCs w:val="23"/>
        </w:rPr>
        <w:t xml:space="preserve">Step 8. </w:t>
      </w:r>
      <w:r>
        <w:rPr>
          <w:rFonts w:ascii="Calibri" w:cs="Calibri" w:eastAsia="Calibri" w:hAnsi="Calibri"/>
          <w:b/>
          <w:bCs/>
          <w:sz w:val="23"/>
          <w:szCs w:val="23"/>
        </w:rPr>
        <w:t xml:space="preserve">Compose the final reporting tables.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Table A: TWFE β estimates (linear, quadratic, quintile bins) side-by-side with the Callaway-Sant'Anna overall ATT and selected ACR(d) percentiles.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Figure A: dynamic event-study plot (Layer A) overlaid for all three outcomes.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Figure B: ACR(d) curve with 95% uniform band, separately for Pre-OBBBA and Post-OBBBA (Layer B, Step 5).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Figure C: the ω(d) negative-weights plot alongside ACR(d) (Layer B, Step 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Table B: stratified ACR by RUCC and income tercile (Layer B, Step 6) — the headline equity result.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Three Machine-Learning Models to Add to the Project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literature review names three ML directions explicitly: Double/Debiased Machine Learning (Chernozhukov et al., 2018), Causal Random Forests (Wager &amp; Athey, 2018), and DBSCAN-plus-tree-based site optimization. The proposals below operationalize each one as a self-contained module that consumes the same panel and produces outputs that plug into the DiD framework above.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3.1 Model 1 — Double / Debiased Machine Learning (DML) for the dose-response curve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Purpose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Estimate a structural infrastructure-elasticity parameter θ that is robust to flexible, high-dimensional confounding by the covariate vector X_ct. This is the project's primary causal headline number under a partially-linear specification, and it is the natural ML counterpart to the linear β_TWFE.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Specification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Y_ct = θ · D_c · Post_t + g(X_ct, c, t) + ε_ct,    E[ε | X, c, t] = 0</w:t>
      </w:r>
    </w:p>
    <w:p>
      <w:pPr>
        <w:spacing w:after="120" w:before="12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D_c · Post_t = m(X_ct, c, t) + ν_ct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Build steps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Predictors X: the full sociodemographic vector (ACS), RUCC, log population, gasoline price, residential electricity price, distance to nearest highway, county centroid latitude / longitude, and two-way fixed-effect dummies entered as features (rather than partialed out, so the ML learners can capture spatial heterogeneity).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Learners: gradient-boosted trees (LightGBM) and elastic-net as a two-learner ensemble for both g(·) and m(·); choose the learner per nuisance via 5-fold cross-validated out-of-fold loss.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Sample splitting: K = 5 cross-fitting folds, with the fold assignment stratified by RUCC so that each fold contains a comparable mix of metro and rural counties. Repeat the cross-fitting S = 20 times and take the median θ estimate (the recommended Chernozhukov et al. 2018 robustness procedure).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Implementation: the DoubleML Python package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DoubleMLPLR</w:t>
      </w:r>
      <w:r>
        <w:rPr>
          <w:rFonts w:ascii="Calibri" w:cs="Calibri" w:eastAsia="Calibri" w:hAnsi="Calibri"/>
          <w:sz w:val="22"/>
          <w:szCs w:val="22"/>
        </w:rPr>
        <w:t xml:space="preserve">) wraps the entire pipeline. Output: θ̂, SE(θ̂), and a 95% CI built from the Neyman-orthogonal score.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What it adds beyond the DiD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Handles a high-dimensional X gracefully — the DiD specification can carry only a handful of regressors before bumping into the curse of dimensionality.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Provides a single structural elasticity number that can be compared apples-to-apples against the linear β_TWFE.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Validates the parametric DiD: if DML's θ̂ and the Layer-A overall ATT agree on sign and magnitude, the causal story is robust to both econometric and ML perturbations.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3.2 Model 2 — Causal Random Forest for heterogeneous treatment effects (CATE)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Purpose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Recover the Conditional Average Treatment Effect τ(x) = E[ Y(1) − Y(0) | X = x ] as a fully non-parametric function of the covariates, so that the equity question ("who benefits most from a marginal DCFC port?") is answered without pre-specifying interaction terms.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Build steps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Reshape the panel into a two-period design centered on the 2022 NEVI break: y_pre is the 2018–2021 average outcome and y_post is the 2022–2025 average outcome; the analysis variable is Δy_c = y_post − y_pre, and the treatment is the continuous dose D_c.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Fit the causal forest via the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grf</w:t>
      </w:r>
      <w:r>
        <w:rPr>
          <w:rFonts w:ascii="Calibri" w:cs="Calibri" w:eastAsia="Calibri" w:hAnsi="Calibri"/>
          <w:sz w:val="22"/>
          <w:szCs w:val="22"/>
        </w:rPr>
        <w:t xml:space="preserve"> R package: causal_forest(X, Y = Δy, W = D, num.trees = 4000, honesty = TRUE, sample.fraction = 0.5). The honesty option is mandatory for valid pointwise standard errors.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Variable importance: extract variable_importance(forest) and the partial-dependence plots for median household income, share below the $150k OBBBA cap, RUCC, share Hispanic, and share renter-occupied. These plots are the figures that go in the equity section.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Best Linear Projection: rank.average_treatment_effect(forest) and best_linear_projection(forest, X) produce honest summaries of how τ̂(x) covaries with each demographic feature — turn these into a single regression-table-shaped exhibit.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Calibration check: test_calibration(forest) returns a slope coefficient of 1 if τ̂(x) is well-calibrated. A slope substantially below 1 means the forest is over-shrinking heterogeneity and should be re-trained with a larger min.node.size.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What it adds beyond the DiD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Lets the data discover which county-level features drive heterogeneity in the EV-charger → gasoline-displacement causal link, rather than the analyst pre-specifying interactions.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Produces an individual-county τ̂(x) prediction. Sorting counties by τ̂ ranks them by the marginal social return to an extra DCFC port — directly actionable.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3.3 Model 3 — DBSCAN + gradient-boosted site-prioritization engine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Purpose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Translate the macro-level causal estimates into a coordinate-level prescriptive recommendation: given the estimated ACR(d) curve from Section 2 and τ̂(x) from Model 2, where on the California map should the next port go? This addresses the macro–micro gap that the literature review identifies as the project's distinctive contribution.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Build steps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Build a candidate-site grid at 1 km resolution across California using a hex tessellation (Uber H3, resolution 8). Drop hexes outside populated areas using ACS block-group population overlays.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Stage 1 — DBSCAN clustering of existing infrastructure: cluster the AFDC charger lat/lon coordinates with DBSCAN (eps = 1.5 km, min_samples = 3) to identify continuous "served" zones. The complement of these clusters is the under-served set of hexes — the candidate pool.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Stage 2 — feature engineering for each candidate hex: distance to nearest existing DCFC, distance to nearest Interstate / state highway, hex-level median income (areal-weighted from ACS), commute volume (from LEHD LODES), RUCC code of the surrounding county, NEVI corridor membership, and the county-level τ̂(x) prediction from Model 2 evaluated at the hex's covariate centroid.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Stage 3 — supervised target: simulated displaced gasoline gallons from placing a port at the hex centroid. Compute via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predicted gasoline displacement = ACR(d_county + 1) − ACR(d_county) × population_within_5km</w:t>
      </w:r>
      <w:r>
        <w:rPr>
          <w:rFonts w:ascii="Calibri" w:cs="Calibri" w:eastAsia="Calibri" w:hAnsi="Calibri"/>
          <w:sz w:val="22"/>
          <w:szCs w:val="22"/>
        </w:rPr>
        <w:t xml:space="preserve">, using the ACR(d) curve from Section 2. This converts the candidate-site problem into a regression problem with a causally-anchored label.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Stage 4 — train a gradient-boosted regressor (XGBoost) on this synthetic supervised dataset, with spatial 5-fold cross-validation (folds built from non-overlapping geographic blocks via scikit-learn's spacv extension) so the model is evaluated on held-out regions, not held-out hexes.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Stage 5 — rank candidate hexes by predicted displacement, subject to two equity constraints: (i) at least 40% of the top-N recommendations must fall in below-median-income block groups (Justice40-aligned), and (ii) no county receives more than 10% of the recommendations to avoid concentration. Implement the constrained ranking as a small mixed-integer program in PuLP.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E74B5"/>
          <w:sz w:val="23"/>
          <w:szCs w:val="23"/>
        </w:rPr>
        <w:t xml:space="preserve">What it adds beyond the DiD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Closes the macro–micro loop: the DiD identifies the elasticity, the causal forest identifies who benefits, and the DBSCAN-plus-XGBoost engine identifies where to deploy.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The mixed-integer equity constraints turn the equity analysis from a descriptive observation into a prescriptive design — directly responsive to the fourth research gap identified in the literature review.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The output (a ranked, geocoded shortlist of recommended sites) is deliverable to policymakers in a single GeoJSON file plus a Folium map, providing a tangible policy artifact that goes beyond the journal paper.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Cross-cutting implementation notes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All three sections share data/panel/ca_county_year_panel.parquet so that the TWFE, DiD, and ML modules are guaranteed to be using identical observations. The panel is rebuilt by make build_panel from raw sources; every modeling script begins by loading exactly this artifact.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All estimators are run in both Python (linearmodels, DoubleML, scikit-learn, XGBoost) and R (fixest, did, contdid, grf), with a smoke-test script that asserts agreement of every cross-language coefficient to four decimal places. This catches silently miscoded estimators.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All figures use a single Plotly / Matplotlib style file; every ATT, ACR, and τ̂ figure carries the same x-axis units (DCFC ports per 10,000 residents) so the reader can place TWFE, DiD, and ML results on a single mental scale.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Sensitivity analyses (Honest-DiD, Bonferroni adjustment, alternative dose thresholds, OBBBA weighting of the partial 2025 year) are run automatically by a single make robustness target and dropped into the appendix.</w:t>
      </w:r>
    </w:p>
    <w:p>
      <w:pPr>
        <w:spacing w:after="60" w:before="320"/>
      </w:pPr>
      <w:r>
        <w:rPr>
          <w:rFonts w:ascii="Calibri" w:cs="Calibri" w:eastAsia="Calibri" w:hAnsi="Calibri"/>
          <w:b/>
          <w:bCs/>
          <w:i/>
          <w:iCs/>
          <w:color w:val="595959"/>
          <w:sz w:val="22"/>
          <w:szCs w:val="22"/>
        </w:rPr>
        <w:t xml:space="preserve">Anchored references from the Literature Review</w:t>
      </w:r>
    </w:p>
    <w:p>
      <w:pPr>
        <w:spacing w:after="12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Baker, Larcker, &amp; Wang (2022); Callaway &amp; Sant'Anna (2021); Callaway, Goodman-Bacon, &amp; Sant'Anna (2024); Chernozhukov et al. (2018); Goodman-Bacon (2021); Rambachan &amp; Roth (2023); Roth, Sant'Anna, Bilinski, &amp; Poe (2023); Sun &amp; Abraham (2021); Wager &amp; Athey (2018).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Page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2E74B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Methodology Implementation Plan — California EV / Gasoline Project</dc:title>
  <dc:creator>Khoi Van</dc:creator>
  <dc:description>Step-by-step build plan for TWFE, continuous staggered DiD, and three ML extensions.</dc:description>
  <cp:lastModifiedBy>Un-named</cp:lastModifiedBy>
  <cp:revision>1</cp:revision>
  <dcterms:created xsi:type="dcterms:W3CDTF">2026-05-27T23:27:18.247Z</dcterms:created>
  <dcterms:modified xsi:type="dcterms:W3CDTF">2026-05-27T23:27:18.247Z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