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spacing w:before="0" w:after="0" w:line="260" w:lineRule="auto"/>
      </w:pPr>
      <w:r>
        <w:rPr>
          <w:rFonts w:ascii="Georgia" w:hAnsi="Georgia" w:cs="Georgia"/>
          <w:color w:val="191C1D"/>
          <w:sz w:val="44"/>
          <w:szCs w:val="44"/>
        </w:rPr>
        <w:t xml:space="preserve">Informe de evolución</w:t>
      </w:r>
    </w:p>
    <w:p>
      <w:pPr>
        <w:spacing w:before="0" w:after="140" w:line="260" w:lineRule="auto"/>
      </w:pPr>
      <w:r>
        <w:rPr>
          <w:rFonts w:ascii="Georgia" w:hAnsi="Georgia" w:cs="Georgia"/>
          <w:i/>
          <w:color w:val="145B6D"/>
          <w:sz w:val="44"/>
          <w:szCs w:val="44"/>
        </w:rPr>
        <w:t xml:space="preserve">María Fernanda Castillo</w:t>
      </w:r>
    </w:p>
    <w:p>
      <w:pPr>
        <w:spacing w:before="0" w:after="400" w:line="240" w:lineRule="auto"/>
      </w:pPr>
      <w:r>
        <w:rPr>
          <w:rFonts w:ascii="Calibri" w:hAnsi="Calibri" w:cs="Calibri"/>
          <w:color w:val="7A746B"/>
          <w:sz w:val="19"/>
          <w:szCs w:val="19"/>
        </w:rPr>
        <w:t xml:space="preserve">Emitido el 24/08/2026 · Período 05/06/2026 – 19/06/2026</w:t>
      </w:r>
    </w:p>
    <w:tbl>
      <w:tblPr>
        <w:tblW w:w="102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40" w:type="dxa"/>
          <w:bottom w:w="140" w:type="dxa"/>
          <w:left w:w="0" w:type="dxa"/>
          <w:right w:w="140" w:type="dxa"/>
        </w:tblCellMar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w="3400" w:type="dxa"/>
            <w:vAlign w:val="top"/>
          </w:tcPr>
          <w:p>
            <w:pPr>
              <w:spacing w:before="0" w:after="20" w:line="240" w:lineRule="auto"/>
            </w:pPr>
            <w:r>
              <w:rPr>
                <w:rFonts w:ascii="Calibri" w:hAnsi="Calibri" w:cs="Calibri"/>
                <w:caps/>
                <w:spacing w:val="24"/>
                <w:color w:val="A09889"/>
                <w:sz w:val="16"/>
                <w:szCs w:val="16"/>
              </w:rPr>
              <w:t xml:space="preserve">Diagnóstico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22201D"/>
                <w:sz w:val="23"/>
                <w:szCs w:val="23"/>
              </w:rPr>
              <w:t xml:space="preserve">Esguince de tobillo grado II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A09889"/>
                <w:sz w:val="18"/>
                <w:szCs w:val="18"/>
              </w:rPr>
              <w:t xml:space="preserve">CIE-10 S93.4</w:t>
            </w:r>
          </w:p>
        </w:tc>
        <w:tc>
          <w:tcPr>
            <w:tcW w:w="3400" w:type="dxa"/>
            <w:vAlign w:val="top"/>
          </w:tcPr>
          <w:p>
            <w:pPr>
              <w:spacing w:before="0" w:after="20" w:line="240" w:lineRule="auto"/>
            </w:pPr>
            <w:r>
              <w:rPr>
                <w:rFonts w:ascii="Calibri" w:hAnsi="Calibri" w:cs="Calibri"/>
                <w:caps/>
                <w:spacing w:val="24"/>
                <w:color w:val="A09889"/>
                <w:sz w:val="16"/>
                <w:szCs w:val="16"/>
              </w:rPr>
              <w:t xml:space="preserve">Terapeuta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22201D"/>
                <w:sz w:val="23"/>
                <w:szCs w:val="23"/>
              </w:rPr>
              <w:t xml:space="preserve">Giovanni Berdejo</w:t>
            </w:r>
          </w:p>
        </w:tc>
        <w:tc>
          <w:tcPr>
            <w:tcW w:w="3400" w:type="dxa"/>
            <w:vAlign w:val="top"/>
          </w:tcPr>
          <w:p>
            <w:pPr>
              <w:spacing w:before="0" w:after="20" w:line="240" w:lineRule="auto"/>
            </w:pPr>
            <w:r>
              <w:rPr>
                <w:rFonts w:ascii="Calibri" w:hAnsi="Calibri" w:cs="Calibri"/>
                <w:caps/>
                <w:spacing w:val="24"/>
                <w:color w:val="A09889"/>
                <w:sz w:val="16"/>
                <w:szCs w:val="16"/>
              </w:rPr>
              <w:t xml:space="preserve">Inicio de tratamiento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22201D"/>
                <w:sz w:val="23"/>
                <w:szCs w:val="23"/>
              </w:rPr>
              <w:t xml:space="preserve">05/06/2026</w:t>
            </w:r>
          </w:p>
        </w:tc>
      </w:tr>
      <w:tr>
        <w:trPr>
          <w:cantSplit/>
        </w:trPr>
        <w:tc>
          <w:tcPr>
            <w:tcW w:w="3400" w:type="dxa"/>
            <w:vAlign w:val="top"/>
          </w:tcPr>
          <w:p>
            <w:pPr>
              <w:spacing w:before="0" w:after="20" w:line="240" w:lineRule="auto"/>
            </w:pPr>
            <w:r>
              <w:rPr>
                <w:rFonts w:ascii="Calibri" w:hAnsi="Calibri" w:cs="Calibri"/>
                <w:caps/>
                <w:spacing w:val="24"/>
                <w:color w:val="A09889"/>
                <w:sz w:val="16"/>
                <w:szCs w:val="16"/>
              </w:rPr>
              <w:t xml:space="preserve">Edad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22201D"/>
                <w:sz w:val="23"/>
                <w:szCs w:val="23"/>
              </w:rPr>
              <w:t xml:space="preserve">34 años</w:t>
            </w:r>
          </w:p>
        </w:tc>
        <w:tc>
          <w:tcPr>
            <w:tcW w:w="3400" w:type="dxa"/>
            <w:vAlign w:val="top"/>
          </w:tcPr>
          <w:p>
            <w:pPr>
              <w:spacing w:before="0" w:after="20" w:line="240" w:lineRule="auto"/>
            </w:pPr>
            <w:r>
              <w:rPr>
                <w:rFonts w:ascii="Calibri" w:hAnsi="Calibri" w:cs="Calibri"/>
                <w:caps/>
                <w:spacing w:val="24"/>
                <w:color w:val="A09889"/>
                <w:sz w:val="16"/>
                <w:szCs w:val="16"/>
              </w:rPr>
              <w:t xml:space="preserve">Cédula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B5ADA0"/>
                <w:sz w:val="23"/>
                <w:szCs w:val="23"/>
              </w:rPr>
              <w:t xml:space="preserve">No registrada</w:t>
            </w:r>
          </w:p>
        </w:tc>
        <w:tc>
          <w:tcPr>
            <w:tcW w:w="3400" w:type="dxa"/>
            <w:vAlign w:val="top"/>
          </w:tcPr>
          <w:p>
            <w:pPr>
              <w:spacing w:before="0" w:after="20" w:line="240" w:lineRule="auto"/>
            </w:pPr>
            <w:r>
              <w:rPr>
                <w:rFonts w:ascii="Calibri" w:hAnsi="Calibri" w:cs="Calibri"/>
                <w:caps/>
                <w:spacing w:val="24"/>
                <w:color w:val="A09889"/>
                <w:sz w:val="16"/>
                <w:szCs w:val="16"/>
              </w:rPr>
              <w:t xml:space="preserve">Doctor referente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B5ADA0"/>
                <w:sz w:val="23"/>
                <w:szCs w:val="23"/>
              </w:rPr>
              <w:t xml:space="preserve">No registrado</w:t>
            </w:r>
          </w:p>
        </w:tc>
      </w:tr>
    </w:tbl>
    <w:p>
      <w:pPr>
        <w:spacing w:before="0" w:after="220" w:line="240" w:lineRule="auto"/>
      </w:pPr>
      <w:r>
        <w:rPr>
          <w:rFonts w:ascii="Calibri" w:hAnsi="Calibri" w:cs="Calibri"/>
          <w:color w:val="3C3832"/>
          <w:sz w:val="21"/>
          <w:szCs w:val="21"/>
        </w:rPr>
        <w:t xml:space="preserve"/>
      </w:r>
    </w:p>
    <w:tbl>
      <w:tblPr>
        <w:tblW w:w="102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0" w:type="dxa"/>
          <w:bottom w:w="200" w:type="dxa"/>
          <w:left w:w="200" w:type="dxa"/>
          <w:right w:w="140" w:type="dxa"/>
        </w:tblCellMar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w="3400" w:type="dxa"/>
            <w:shd w:val="clear" w:color="auto" w:fill="F6F4EF"/>
            <w:vAlign w:val="top"/>
          </w:tcPr>
          <w:p>
            <w:pPr>
              <w:spacing w:before="60" w:after="20" w:line="240" w:lineRule="auto"/>
            </w:pPr>
            <w:r>
              <w:rPr>
                <w:rFonts w:ascii="Georgia" w:hAnsi="Georgia" w:cs="Georgia"/>
                <w:color w:val="145B6D"/>
                <w:sz w:val="52"/>
                <w:szCs w:val="52"/>
              </w:rPr>
              <w:t xml:space="preserve">4</w:t>
            </w:r>
            <w:r>
              <w:rPr>
                <w:rFonts w:ascii="Georgia" w:hAnsi="Georgia" w:cs="Georgia"/>
                <w:color w:val="9B948A"/>
                <w:sz w:val="30"/>
                <w:szCs w:val="30"/>
              </w:rPr>
              <w:t xml:space="preserve"> / 12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 w:cs="Calibri"/>
                <w:color w:val="6F6A62"/>
                <w:sz w:val="17"/>
                <w:szCs w:val="17"/>
              </w:rPr>
              <w:t xml:space="preserve">sesiones · 33% del plan</w:t>
            </w:r>
          </w:p>
        </w:tc>
        <w:tc>
          <w:tcPr>
            <w:tcW w:w="3400" w:type="dxa"/>
            <w:shd w:val="clear" w:color="auto" w:fill="F6F4EF"/>
            <w:vAlign w:val="top"/>
          </w:tcPr>
          <w:p>
            <w:pPr>
              <w:spacing w:before="60" w:after="20" w:line="240" w:lineRule="auto"/>
            </w:pPr>
            <w:r>
              <w:rPr>
                <w:rFonts w:ascii="Georgia" w:hAnsi="Georgia" w:cs="Georgia"/>
                <w:color w:val="145B6D"/>
                <w:sz w:val="52"/>
                <w:szCs w:val="52"/>
              </w:rPr>
              <w:t xml:space="preserve">100</w:t>
            </w:r>
            <w:r>
              <w:rPr>
                <w:rFonts w:ascii="Georgia" w:hAnsi="Georgia" w:cs="Georgia"/>
                <w:color w:val="9B948A"/>
                <w:sz w:val="30"/>
                <w:szCs w:val="30"/>
              </w:rPr>
              <w:t xml:space="preserve">%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 w:cs="Calibri"/>
                <w:color w:val="6F6A62"/>
                <w:sz w:val="17"/>
                <w:szCs w:val="17"/>
              </w:rPr>
              <w:t xml:space="preserve">continuidad · 4 de 4 citas</w:t>
            </w:r>
          </w:p>
        </w:tc>
        <w:tc>
          <w:tcPr>
            <w:tcW w:w="3400" w:type="dxa"/>
            <w:shd w:val="clear" w:color="auto" w:fill="F6F4EF"/>
            <w:vAlign w:val="top"/>
          </w:tcPr>
          <w:p>
            <w:pPr>
              <w:spacing w:before="60" w:after="20" w:line="240" w:lineRule="auto"/>
            </w:pPr>
            <w:r>
              <w:rPr>
                <w:rFonts w:ascii="Georgia" w:hAnsi="Georgia" w:cs="Georgia"/>
                <w:color w:val="145B6D"/>
                <w:sz w:val="52"/>
                <w:szCs w:val="52"/>
              </w:rPr>
              <w:t xml:space="preserve">7 → 4</w:t>
            </w:r>
            <w:r>
              <w:rPr>
                <w:rFonts w:ascii="Georgia" w:hAnsi="Georgia" w:cs="Georgia"/>
                <w:color w:val="9B948A"/>
                <w:sz w:val="30"/>
                <w:szCs w:val="30"/>
              </w:rPr>
              <w:t xml:space="preserve"/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 w:cs="Calibri"/>
                <w:color w:val="6F6A62"/>
                <w:sz w:val="17"/>
                <w:szCs w:val="17"/>
              </w:rPr>
              <w:t xml:space="preserve">dolor EVA · inicial a actual</w:t>
            </w:r>
          </w:p>
        </w:tc>
      </w:tr>
    </w:tbl>
    <w:p>
      <w:pPr>
        <w:pBdr>
          <w:top w:val="single" w:sz="6" w:space="14" w:color="E2DED6"/>
        </w:pBdr>
        <w:spacing w:before="320" w:after="140" w:line="240" w:lineRule="auto"/>
      </w:pPr>
      <w:r>
        <w:rPr>
          <w:rFonts w:ascii="Georgia" w:hAnsi="Georgia" w:cs="Georgia"/>
          <w:color w:val="22201D"/>
          <w:sz w:val="26"/>
          <w:szCs w:val="26"/>
        </w:rPr>
        <w:t xml:space="preserve">Evolución del dolor</w:t>
      </w:r>
    </w:p>
    <w:p>
      <w:pPr>
        <w:spacing w:before="0" w:after="120" w:line="240" w:lineRule="auto"/>
      </w:pPr>
      <w:r>
        <w:drawing>
          <wp:inline distT="0" distB="0" distL="0" distR="0">
            <wp:extent cx="5760720" cy="2008900"/>
            <wp:docPr id="2" name="Evolución del dolor EV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volución del dolor EVA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0" w:line="240" w:lineRule="auto"/>
      </w:pPr>
      <w:r>
        <w:rPr>
          <w:rFonts w:ascii="Calibri" w:hAnsi="Calibri" w:cs="Calibri"/>
          <w:color w:val="3C3832"/>
          <w:sz w:val="21"/>
          <w:szCs w:val="21"/>
        </w:rPr>
        <w:t xml:space="preserve"/>
      </w:r>
    </w:p>
    <w:tbl>
      <w:tblPr>
        <w:tblW w:w="99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60" w:type="dxa"/>
          <w:bottom w:w="260" w:type="dxa"/>
          <w:left w:w="260" w:type="dxa"/>
          <w:right w:w="140" w:type="dxa"/>
        </w:tblCellMar>
      </w:tblPr>
      <w:tblGrid>
        <w:gridCol w:w="9900"/>
      </w:tblGrid>
      <w:tr>
        <w:trPr>
          <w:cantSplit/>
        </w:trPr>
        <w:tc>
          <w:tcPr>
            <w:tcW w:w="9900" w:type="dxa"/>
            <w:shd w:val="clear" w:color="auto" w:fill="F6F4EF"/>
            <w:vAlign w:val="top"/>
          </w:tcPr>
          <w:p>
            <w:pPr>
              <w:spacing w:before="0" w:after="120" w:line="240" w:lineRule="auto"/>
            </w:pPr>
            <w:r>
              <w:rPr>
                <w:rFonts w:ascii="Georgia" w:hAnsi="Georgia" w:cs="Georgia"/>
                <w:color w:val="22201D"/>
                <w:sz w:val="26"/>
                <w:szCs w:val="26"/>
              </w:rPr>
              <w:t xml:space="preserve">Evaluación inicial  </w:t>
            </w:r>
            <w:r>
              <w:rPr>
                <w:rFonts w:ascii="Calibri" w:hAnsi="Calibri" w:cs="Calibri"/>
                <w:caps/>
                <w:spacing w:val="24"/>
                <w:color w:val="A09889"/>
                <w:sz w:val="17"/>
                <w:szCs w:val="17"/>
              </w:rPr>
              <w:t xml:space="preserve">05/06/2026 · EVA 7/10</w:t>
            </w:r>
          </w:p>
          <w:p>
            <w:pPr>
              <w:spacing w:before="0" w:after="0" w:line="340" w:lineRule="auto"/>
            </w:pPr>
            <w:r>
              <w:rPr>
                <w:rFonts w:ascii="Calibri" w:hAnsi="Calibri" w:cs="Calibri"/>
                <w:color w:val="3C3832"/>
                <w:sz w:val="21"/>
                <w:szCs w:val="21"/>
              </w:rPr>
              <w:t xml:space="preserve">Inversión forzada del tobillo derecho jugando fútbol hace 4 días. Dolor e inflamación inmediatos. Edema y equimosis en cara lateral. Dolor a la palpación del ligamento peroneo astragalino anterior. Dorsiflexión limitada y dolorosa. Marcha antiálgica con muletas.</w:t>
            </w:r>
          </w:p>
          <w:p>
            <w:pPr>
              <w:spacing w:before="140" w:after="0" w:line="240" w:lineRule="auto"/>
            </w:pPr>
            <w:r>
              <w:rPr>
                <w:rFonts w:ascii="Calibri" w:hAnsi="Calibri" w:cs="Calibri"/>
                <w:color w:val="A09889"/>
                <w:sz w:val="18"/>
                <w:szCs w:val="18"/>
              </w:rPr>
              <w:t xml:space="preserve">Zona evaluada: miembro inferior</w:t>
            </w:r>
          </w:p>
        </w:tc>
      </w:tr>
    </w:tbl>
    <w:p>
      <w:pPr>
        <w:pBdr>
          <w:top w:val="single" w:sz="6" w:space="14" w:color="E2DED6"/>
        </w:pBdr>
        <w:spacing w:before="320" w:after="140" w:line="240" w:lineRule="auto"/>
      </w:pPr>
      <w:r>
        <w:rPr>
          <w:rFonts w:ascii="Georgia" w:hAnsi="Georgia" w:cs="Georgia"/>
          <w:color w:val="22201D"/>
          <w:sz w:val="26"/>
          <w:szCs w:val="26"/>
        </w:rPr>
        <w:t xml:space="preserve">Narrativa clínica</w:t>
      </w:r>
    </w:p>
    <w:p>
      <w:pPr>
        <w:spacing w:before="280" w:after="60" w:line="240" w:lineRule="auto"/>
      </w:pPr>
      <w:r>
        <w:rPr>
          <w:rFonts w:ascii="Calibri" w:hAnsi="Calibri" w:cs="Calibri"/>
          <w:b/>
          <w:caps/>
          <w:spacing w:val="24"/>
          <w:color w:val="145B6D"/>
          <w:sz w:val="17"/>
          <w:szCs w:val="17"/>
        </w:rPr>
        <w:t xml:space="preserve">Condición inicial</w:t>
      </w:r>
    </w:p>
    <w:p>
      <w:pPr>
        <w:spacing w:before="0" w:after="0" w:line="340" w:lineRule="auto"/>
      </w:pPr>
      <w:r>
        <w:rPr>
          <w:rFonts w:ascii="Calibri" w:hAnsi="Calibri" w:cs="Calibri"/>
          <w:color w:val="3C3832"/>
          <w:sz w:val="21"/>
          <w:szCs w:val="21"/>
        </w:rPr>
        <w:t xml:space="preserve">La paciente ingresa con esguince de tobillo grado II tras inversión forzada durante actividad deportiva. Presenta edema, equimosis y dolor a la palpación del ligamento peroné-astragalino anterior, con dorsiflexión limitada y marcha antiálgica asistida por muletas.</w:t>
      </w:r>
    </w:p>
    <w:p>
      <w:pPr>
        <w:spacing w:before="280" w:after="60" w:line="240" w:lineRule="auto"/>
      </w:pPr>
      <w:r>
        <w:rPr>
          <w:rFonts w:ascii="Calibri" w:hAnsi="Calibri" w:cs="Calibri"/>
          <w:b/>
          <w:caps/>
          <w:spacing w:val="24"/>
          <w:color w:val="145B6D"/>
          <w:sz w:val="17"/>
          <w:szCs w:val="17"/>
        </w:rPr>
        <w:t xml:space="preserve">Evolución del tratamiento</w:t>
      </w:r>
    </w:p>
    <w:p>
      <w:pPr>
        <w:spacing w:before="0" w:after="0" w:line="340" w:lineRule="auto"/>
      </w:pPr>
      <w:r>
        <w:rPr>
          <w:rFonts w:ascii="Calibri" w:hAnsi="Calibri" w:cs="Calibri"/>
          <w:color w:val="3C3832"/>
          <w:sz w:val="21"/>
          <w:szCs w:val="21"/>
        </w:rPr>
        <w:t xml:space="preserve">A lo largo de cuatro sesiones se aplicaron ultrasonido, electroterapia y masoterapia para el control del edema y el dolor, seguidas de trabajo de movilidad activa y reeducación de la marcha. El dolor EVA descendió de forma sostenida de 7/10 a 4/10 y la paciente recuperó progresivamente la carga completa sin apoyo externo.</w:t>
      </w:r>
    </w:p>
    <w:p>
      <w:pPr>
        <w:spacing w:before="280" w:after="60" w:line="240" w:lineRule="auto"/>
      </w:pPr>
      <w:r>
        <w:rPr>
          <w:rFonts w:ascii="Calibri" w:hAnsi="Calibri" w:cs="Calibri"/>
          <w:b/>
          <w:caps/>
          <w:spacing w:val="24"/>
          <w:color w:val="145B6D"/>
          <w:sz w:val="17"/>
          <w:szCs w:val="17"/>
        </w:rPr>
        <w:t xml:space="preserve">Resultados obtenidos</w:t>
      </w:r>
    </w:p>
    <w:p>
      <w:pPr>
        <w:spacing w:before="0" w:after="0" w:line="340" w:lineRule="auto"/>
      </w:pPr>
      <w:r>
        <w:rPr>
          <w:rFonts w:ascii="Calibri" w:hAnsi="Calibri" w:cs="Calibri"/>
          <w:color w:val="3C3832"/>
          <w:sz w:val="21"/>
          <w:szCs w:val="21"/>
        </w:rPr>
        <w:t xml:space="preserve">Al cierre del período evaluado la paciente deambula de forma autónoma con cojera mínima y sin dolor en reposo. La continuidad al tratamiento fue del 100%, con asistencia a la totalidad de las citas agendadas en el período.</w:t>
      </w:r>
    </w:p>
    <w:p>
      <w:pPr>
        <w:spacing w:before="280" w:after="60" w:line="240" w:lineRule="auto"/>
      </w:pPr>
      <w:r>
        <w:rPr>
          <w:rFonts w:ascii="Calibri" w:hAnsi="Calibri" w:cs="Calibri"/>
          <w:b/>
          <w:caps/>
          <w:spacing w:val="24"/>
          <w:color w:val="145B6D"/>
          <w:sz w:val="17"/>
          <w:szCs w:val="17"/>
        </w:rPr>
        <w:t xml:space="preserve">Recomendaciones</w:t>
      </w:r>
    </w:p>
    <w:p>
      <w:pPr>
        <w:spacing w:before="0" w:after="0" w:line="340" w:lineRule="auto"/>
      </w:pPr>
      <w:r>
        <w:rPr>
          <w:rFonts w:ascii="Calibri" w:hAnsi="Calibri" w:cs="Calibri"/>
          <w:color w:val="3C3832"/>
          <w:sz w:val="21"/>
          <w:szCs w:val="21"/>
        </w:rPr>
        <w:t xml:space="preserve">Continuar con el plan de fisioterapia hasta completar el protocolo de 12 sesiones para consolidar la estabilidad articular. Se recomienda progresión gradual de carga funcional y reevaluación por el médico referente al alta del episodio.</w:t>
      </w:r>
    </w:p>
    <w:p>
      <w:pPr>
        <w:pBdr>
          <w:top w:val="single" w:sz="6" w:space="14" w:color="E2DED6"/>
        </w:pBdr>
        <w:spacing w:before="320" w:after="140" w:line="240" w:lineRule="auto"/>
      </w:pPr>
      <w:r>
        <w:rPr>
          <w:rFonts w:ascii="Georgia" w:hAnsi="Georgia" w:cs="Georgia"/>
          <w:color w:val="22201D"/>
          <w:sz w:val="26"/>
          <w:szCs w:val="26"/>
        </w:rPr>
        <w:t xml:space="preserve">Detalle por sesión</w:t>
      </w:r>
    </w:p>
    <w:tbl>
      <w:tblPr>
        <w:tblW w:w="99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80" w:type="dxa"/>
          <w:bottom w:w="180" w:type="dxa"/>
          <w:left w:w="0" w:type="dxa"/>
          <w:right w:w="140" w:type="dxa"/>
        </w:tblCellMar>
      </w:tblPr>
      <w:tblGrid>
        <w:gridCol w:w="700"/>
        <w:gridCol w:w="7800"/>
        <w:gridCol w:w="1400"/>
      </w:tblGrid>
      <w:tr>
        <w:trPr>
          <w:cantSplit/>
        </w:trPr>
        <w:tc>
          <w:tcPr>
            <w:tcW w:w="7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Georgia" w:hAnsi="Georgia" w:cs="Georgia"/>
                <w:color w:val="D8D2C6"/>
                <w:sz w:val="40"/>
                <w:szCs w:val="40"/>
              </w:rPr>
              <w:t xml:space="preserve">01</w:t>
            </w:r>
          </w:p>
        </w:tc>
        <w:tc>
          <w:tcPr>
            <w:tcW w:w="7800" w:type="dxa"/>
            <w:vAlign w:val="top"/>
          </w:tcPr>
          <w:p>
            <w:pPr>
              <w:spacing w:before="0" w:after="60" w:line="240" w:lineRule="auto"/>
            </w:pPr>
            <w:r>
              <w:rPr>
                <w:rFonts w:ascii="Calibri" w:hAnsi="Calibri" w:cs="Calibri"/>
                <w:color w:val="A09889"/>
                <w:sz w:val="18"/>
                <w:szCs w:val="18"/>
              </w:rPr>
              <w:t xml:space="preserve">08/06/2026 · Giovanni Berdejo · ultrasonido, electroterapia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 w:cs="Calibri"/>
                <w:color w:val="3C3832"/>
                <w:sz w:val="21"/>
                <w:szCs w:val="21"/>
              </w:rPr>
              <w:t xml:space="preserve">Edema moderado en maléolo lateral. Deambula con apoyo parcial y muletas. Dolor a la palpación del ligamento lateral.</w:t>
            </w:r>
          </w:p>
        </w:tc>
        <w:tc>
          <w:tcPr>
            <w:tcW w:w="1400" w:type="dxa"/>
            <w:vAlign w:val="top"/>
          </w:tcPr>
          <w:p>
            <w:pPr>
              <w:jc w:val="right"/>
              <w:spacing w:before="0" w:after="0" w:line="240" w:lineRule="auto"/>
            </w:pPr>
            <w:r>
              <w:rPr>
                <w:rFonts w:ascii="Georgia" w:hAnsi="Georgia" w:cs="Georgia"/>
                <w:color w:val="145B6D"/>
                <w:sz w:val="26"/>
                <w:szCs w:val="26"/>
              </w:rPr>
              <w:t xml:space="preserve">7 → 6</w:t>
            </w:r>
          </w:p>
        </w:tc>
      </w:tr>
    </w:tbl>
    <w:tbl>
      <w:tblPr>
        <w:tblW w:w="99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80" w:type="dxa"/>
          <w:bottom w:w="180" w:type="dxa"/>
          <w:left w:w="0" w:type="dxa"/>
          <w:right w:w="140" w:type="dxa"/>
        </w:tblCellMar>
      </w:tblPr>
      <w:tblGrid>
        <w:gridCol w:w="700"/>
        <w:gridCol w:w="7800"/>
        <w:gridCol w:w="1400"/>
      </w:tblGrid>
      <w:tr>
        <w:trPr>
          <w:cantSplit/>
        </w:trPr>
        <w:tc>
          <w:tcPr>
            <w:tcW w:w="700" w:type="dxa"/>
            <w:shd w:val="clear" w:color="auto" w:fill="F6F4EF"/>
            <w:vAlign w:val="top"/>
          </w:tcPr>
          <w:p>
            <w:pPr>
              <w:spacing w:before="0" w:after="0" w:line="240" w:lineRule="auto"/>
            </w:pPr>
            <w:r>
              <w:rPr>
                <w:rFonts w:ascii="Georgia" w:hAnsi="Georgia" w:cs="Georgia"/>
                <w:color w:val="D8D2C6"/>
                <w:sz w:val="40"/>
                <w:szCs w:val="40"/>
              </w:rPr>
              <w:t xml:space="preserve">02</w:t>
            </w:r>
          </w:p>
        </w:tc>
        <w:tc>
          <w:tcPr>
            <w:tcW w:w="7800" w:type="dxa"/>
            <w:shd w:val="clear" w:color="auto" w:fill="F6F4EF"/>
            <w:vAlign w:val="top"/>
          </w:tcPr>
          <w:p>
            <w:pPr>
              <w:spacing w:before="0" w:after="60" w:line="240" w:lineRule="auto"/>
            </w:pPr>
            <w:r>
              <w:rPr>
                <w:rFonts w:ascii="Calibri" w:hAnsi="Calibri" w:cs="Calibri"/>
                <w:color w:val="A09889"/>
                <w:sz w:val="18"/>
                <w:szCs w:val="18"/>
              </w:rPr>
              <w:t xml:space="preserve">11/06/2026 · Giovanni Berdejo · ultrasonido, masoterapia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 w:cs="Calibri"/>
                <w:color w:val="3C3832"/>
                <w:sz w:val="21"/>
                <w:szCs w:val="21"/>
              </w:rPr>
              <w:t xml:space="preserve">Disminución del edema. Tolera carga sin muletas en distancias cortas, marcha con leve cojera.</w:t>
            </w:r>
          </w:p>
        </w:tc>
        <w:tc>
          <w:tcPr>
            <w:tcW w:w="1400" w:type="dxa"/>
            <w:shd w:val="clear" w:color="auto" w:fill="F6F4EF"/>
            <w:vAlign w:val="top"/>
          </w:tcPr>
          <w:p>
            <w:pPr>
              <w:jc w:val="right"/>
              <w:spacing w:before="0" w:after="0" w:line="240" w:lineRule="auto"/>
            </w:pPr>
            <w:r>
              <w:rPr>
                <w:rFonts w:ascii="Georgia" w:hAnsi="Georgia" w:cs="Georgia"/>
                <w:color w:val="145B6D"/>
                <w:sz w:val="26"/>
                <w:szCs w:val="26"/>
              </w:rPr>
              <w:t xml:space="preserve">6 → 5</w:t>
            </w:r>
          </w:p>
        </w:tc>
      </w:tr>
    </w:tbl>
    <w:tbl>
      <w:tblPr>
        <w:tblW w:w="99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80" w:type="dxa"/>
          <w:bottom w:w="180" w:type="dxa"/>
          <w:left w:w="0" w:type="dxa"/>
          <w:right w:w="140" w:type="dxa"/>
        </w:tblCellMar>
      </w:tblPr>
      <w:tblGrid>
        <w:gridCol w:w="700"/>
        <w:gridCol w:w="7800"/>
        <w:gridCol w:w="1400"/>
      </w:tblGrid>
      <w:tr>
        <w:trPr>
          <w:cantSplit/>
        </w:trPr>
        <w:tc>
          <w:tcPr>
            <w:tcW w:w="7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Georgia" w:hAnsi="Georgia" w:cs="Georgia"/>
                <w:color w:val="D8D2C6"/>
                <w:sz w:val="40"/>
                <w:szCs w:val="40"/>
              </w:rPr>
              <w:t xml:space="preserve">03</w:t>
            </w:r>
          </w:p>
        </w:tc>
        <w:tc>
          <w:tcPr>
            <w:tcW w:w="7800" w:type="dxa"/>
            <w:vAlign w:val="top"/>
          </w:tcPr>
          <w:p>
            <w:pPr>
              <w:spacing w:before="0" w:after="60" w:line="240" w:lineRule="auto"/>
            </w:pPr>
            <w:r>
              <w:rPr>
                <w:rFonts w:ascii="Calibri" w:hAnsi="Calibri" w:cs="Calibri"/>
                <w:color w:val="A09889"/>
                <w:sz w:val="18"/>
                <w:szCs w:val="18"/>
              </w:rPr>
              <w:t xml:space="preserve">15/06/2026 · Giovanni Berdejo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 w:cs="Calibri"/>
                <w:color w:val="B5ADA0"/>
                <w:sz w:val="21"/>
                <w:szCs w:val="21"/>
              </w:rPr>
              <w:t xml:space="preserve">Sesión sin observación ni técnicas registradas.</w:t>
            </w:r>
          </w:p>
        </w:tc>
        <w:tc>
          <w:tcPr>
            <w:tcW w:w="1400" w:type="dxa"/>
            <w:vAlign w:val="top"/>
          </w:tcPr>
          <w:p>
            <w:pPr>
              <w:jc w:val="right"/>
              <w:spacing w:before="0" w:after="0" w:line="240" w:lineRule="auto"/>
            </w:pPr>
            <w:r>
              <w:rPr>
                <w:rFonts w:ascii="Georgia" w:hAnsi="Georgia" w:cs="Georgia"/>
                <w:color w:val="B5ADA0"/>
                <w:sz w:val="26"/>
                <w:szCs w:val="26"/>
              </w:rPr>
              <w:t xml:space="preserve">5 → —</w:t>
            </w:r>
          </w:p>
        </w:tc>
      </w:tr>
    </w:tbl>
    <w:tbl>
      <w:tblPr>
        <w:tblW w:w="99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80" w:type="dxa"/>
          <w:bottom w:w="180" w:type="dxa"/>
          <w:left w:w="0" w:type="dxa"/>
          <w:right w:w="140" w:type="dxa"/>
        </w:tblCellMar>
      </w:tblPr>
      <w:tblGrid>
        <w:gridCol w:w="700"/>
        <w:gridCol w:w="7800"/>
        <w:gridCol w:w="1400"/>
      </w:tblGrid>
      <w:tr>
        <w:trPr>
          <w:cantSplit/>
        </w:trPr>
        <w:tc>
          <w:tcPr>
            <w:tcW w:w="700" w:type="dxa"/>
            <w:shd w:val="clear" w:color="auto" w:fill="F6F4EF"/>
            <w:vAlign w:val="top"/>
          </w:tcPr>
          <w:p>
            <w:pPr>
              <w:spacing w:before="0" w:after="0" w:line="240" w:lineRule="auto"/>
            </w:pPr>
            <w:r>
              <w:rPr>
                <w:rFonts w:ascii="Georgia" w:hAnsi="Georgia" w:cs="Georgia"/>
                <w:color w:val="D8D2C6"/>
                <w:sz w:val="40"/>
                <w:szCs w:val="40"/>
              </w:rPr>
              <w:t xml:space="preserve">04</w:t>
            </w:r>
          </w:p>
        </w:tc>
        <w:tc>
          <w:tcPr>
            <w:tcW w:w="7800" w:type="dxa"/>
            <w:shd w:val="clear" w:color="auto" w:fill="F6F4EF"/>
            <w:vAlign w:val="top"/>
          </w:tcPr>
          <w:p>
            <w:pPr>
              <w:spacing w:before="0" w:after="60" w:line="240" w:lineRule="auto"/>
            </w:pPr>
            <w:r>
              <w:rPr>
                <w:rFonts w:ascii="Calibri" w:hAnsi="Calibri" w:cs="Calibri"/>
                <w:color w:val="A09889"/>
                <w:sz w:val="18"/>
                <w:szCs w:val="18"/>
              </w:rPr>
              <w:t xml:space="preserve">19/06/2026 · Giovanni Berdejo · movilidad activa, reeducación de marcha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 w:cs="Calibri"/>
                <w:color w:val="3C3832"/>
                <w:sz w:val="21"/>
                <w:szCs w:val="21"/>
              </w:rPr>
              <w:t xml:space="preserve">Marcha autónoma con cojera mínima. Refiere mejor movilidad del tobillo. Sin dolor en reposo.</w:t>
            </w:r>
          </w:p>
        </w:tc>
        <w:tc>
          <w:tcPr>
            <w:tcW w:w="1400" w:type="dxa"/>
            <w:shd w:val="clear" w:color="auto" w:fill="F6F4EF"/>
            <w:vAlign w:val="top"/>
          </w:tcPr>
          <w:p>
            <w:pPr>
              <w:jc w:val="right"/>
              <w:spacing w:before="0" w:after="0" w:line="240" w:lineRule="auto"/>
            </w:pPr>
            <w:r>
              <w:rPr>
                <w:rFonts w:ascii="Georgia" w:hAnsi="Georgia" w:cs="Georgia"/>
                <w:color w:val="145B6D"/>
                <w:sz w:val="26"/>
                <w:szCs w:val="26"/>
              </w:rPr>
              <w:t xml:space="preserve">5 → 4</w:t>
            </w:r>
          </w:p>
        </w:tc>
      </w:tr>
    </w:tbl>
    <w:p>
      <w:pPr>
        <w:spacing w:before="0" w:after="700" w:line="240" w:lineRule="auto"/>
      </w:pPr>
      <w:r>
        <w:rPr>
          <w:rFonts w:ascii="Calibri" w:hAnsi="Calibri" w:cs="Calibri"/>
          <w:color w:val="3C3832"/>
          <w:sz w:val="21"/>
          <w:szCs w:val="21"/>
        </w:rPr>
        <w:t xml:space="preserve"/>
      </w:r>
    </w:p>
    <w:p>
      <w:pPr>
        <w:pBdr>
          <w:bottom w:val="single" w:sz="6" w:space="1" w:color="D8D2C6"/>
        </w:pBdr>
        <w:ind w:right="6100"/>
        <w:spacing w:before="0" w:after="140" w:line="240" w:lineRule="auto"/>
      </w:pPr>
    </w:p>
    <w:p>
      <w:pPr>
        <w:spacing w:before="0" w:after="20" w:line="240" w:lineRule="auto"/>
      </w:pPr>
      <w:r>
        <w:rPr>
          <w:rFonts w:ascii="Calibri" w:hAnsi="Calibri" w:cs="Calibri"/>
          <w:b/>
          <w:color w:val="22201D"/>
          <w:sz w:val="21"/>
          <w:szCs w:val="21"/>
        </w:rPr>
        <w:t xml:space="preserve">Giovanni Berdejo</w:t>
      </w:r>
    </w:p>
    <w:p>
      <w:pPr>
        <w:spacing w:before="0" w:after="0" w:line="240" w:lineRule="auto"/>
      </w:pPr>
      <w:r>
        <w:rPr>
          <w:rFonts w:ascii="Calibri" w:hAnsi="Calibri" w:cs="Calibri"/>
          <w:color w:val="A09889"/>
          <w:sz w:val="18"/>
          <w:szCs w:val="18"/>
        </w:rPr>
        <w:t xml:space="preserve">Fisioterapeuta · Rehactiva</w:t>
      </w:r>
    </w:p>
    <w:sectPr>
      <w:headerReference r:id="rId2"/>
      <w:footerReference r:id="rId3"/>
      <w:pgSz w:w="12240" w:h="15840"/>
      <w:pgMar w:top="1800" w:right="1008" w:bottom="1440" w:left="1008" w:header="720" w:footer="576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p>
    <w:pPr>
      <w:spacing w:before="0" w:after="0" w:line="260" w:lineRule="auto"/>
    </w:pPr>
    <w:r>
      <w:rPr>
        <w:rFonts w:ascii="Calibri" w:hAnsi="Calibri" w:cs="Calibri"/>
        <w:color w:val="9B948A"/>
        <w:sz w:val="16"/>
        <w:szCs w:val="16"/>
      </w:rPr>
      <w:t xml:space="preserve">Rehactiva · Centro de rehabilitación y fisioterapia · Palmeras Shopping, Vía Intervalles OE-95 y primera transversal, Tumbaco, Quito · Tel. 099 921 1258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tbl>
    <w:tblPr>
      <w:tblW w:w="99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0" w:type="dxa"/>
        <w:bottom w:w="0" w:type="dxa"/>
        <w:left w:w="0" w:type="dxa"/>
        <w:right w:w="140" w:type="dxa"/>
      </w:tblCellMar>
    </w:tblPr>
    <w:tblGrid>
      <w:gridCol w:w="5200"/>
      <w:gridCol w:w="4700"/>
    </w:tblGrid>
    <w:tr>
      <w:trPr>
        <w:cantSplit/>
      </w:trPr>
      <w:tc>
        <w:tcPr>
          <w:tcW w:w="5200" w:type="dxa"/>
          <w:vAlign w:val="top"/>
        </w:tcPr>
        <w:p>
          <w:pPr>
            <w:spacing w:before="0" w:after="120" w:line="240" w:lineRule="auto"/>
          </w:pPr>
          <w:r>
            <w:drawing>
              <wp:inline distT="0" distB="0" distL="0" distR="0">
                <wp:extent cx="2076450" cy="590550"/>
                <wp:docPr id="1" name="Rehactiva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hactiva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6450" cy="590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00" w:type="dxa"/>
          <w:vAlign w:val="top"/>
        </w:tcPr>
        <w:p>
          <w:pPr>
            <w:jc w:val="right"/>
            <w:spacing w:before="0" w:after="0" w:line="240" w:lineRule="auto"/>
          </w:pPr>
          <w:r>
            <w:rPr>
              <w:rFonts w:ascii="Calibri" w:hAnsi="Calibri" w:cs="Calibri"/>
              <w:spacing w:val="24"/>
              <w:color w:val="7A746B"/>
              <w:sz w:val="16"/>
              <w:szCs w:val="16"/>
            </w:rPr>
            <w:t xml:space="preserve">INFORME DE EVOLUCIÓN · INF-20260824-4117</w:t>
          </w:r>
        </w:p>
      </w:tc>
    </w:tr>
  </w:tbl>
  <w:p>
    <w:pPr>
      <w:pBdr>
        <w:bottom w:val="single" w:sz="6" w:space="6" w:color="E2DED6"/>
      </w:pBdr>
      <w:spacing w:before="0" w:after="0" w:line="240" w:lineRule="auto"/>
    </w:pPr>
  </w:p>
</w:hdr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docDefaults>
    <w:rPrDefault>
      <w:rPr>
        <w:rFonts w:ascii="Calibri" w:hAnsi="Calibri"/>
        <w:color w:val="3C3832"/>
        <w:sz w:val="21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image" Target="media/chart.png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logo.png"/></Relationships>
</file>