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ClauseGuard: Execution Evidence Index</w:t>
      </w:r>
    </w:p>
    <w:p>
      <w:r>
        <w:t xml:space="preserve">Status date: 2026-10-11. All files are in </w:t>
      </w:r>
      <w:r>
        <w:rPr>
          <w:rFonts w:ascii="Consolas" w:hAnsi="Consolas"/>
          <w:sz w:val="19"/>
        </w:rPr>
        <w:t>evidence/</w:t>
      </w:r>
      <w:r>
        <w:t xml:space="preserve"> unless noted. Every number in the other documents is copied from one of these files; the file is named next to the number.</w:t>
      </w:r>
    </w:p>
    <w:p>
      <w:pPr>
        <w:pStyle w:val="Heading2"/>
      </w:pPr>
      <w:r>
        <w:t>1.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Produced by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task_report.md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task_runs.jsonl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33 scripted tasks (T01-T23, A01-A10), pass or fail, transcripts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scripts/run_tasks.py --no-llm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33/33, deterministic mode, sandbox records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offscript_report.md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offscript_runs.jsonl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15 off-script questions (first development batch)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scripts/run_tasks.py --no-llm --suite off_script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15/15 after fixes (6/15 at first probe)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offscript_holdout_report.md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offscript_holdout_runs.jsonl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 questions (second development batch)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... --suite holdout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10/10 after fixes (5/10 at first probe)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offscript_blind_report.md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offscript_blind_runs.jsonl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14 questions written and run once before any fix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... --suite blind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3/14, the out-of-sample figure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adversarial_report.md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adversarial_results.json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Chat attack suite with enforcement on and off, direct enforcement probes, hidden-text detection, extractor spot check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scripts/run_adversarial.py --no-guard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generated 2026-10-11 19:42; attacks 0/27 defended, 1/27 undefended; benign 0/15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paraphrase_report.md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paraphrase_report.json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Decision consistency across three wordings, rule binder and model binder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bench/paraphrase.py [--live N]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20/20 rule binder; 7/8 model binder live sample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clarify_report.md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clarify_report.json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Clarification recall, silence, ask precision, slot accuracy against a brute-force oracle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bench/clarify_eval.py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87% / 100% / 100% / 100%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cost_report.md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cost_report.json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 calls and estimated tokens per chat turn against a long-context baseline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bench/cost_eval.py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mean 0.98 calls per turn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recourse_report.md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recourse_eval.json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Recourse on every denied verdict of the scripted tasks; ombudsman replay (Part B)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bench.recourse_eval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4/6 denials with recourse; Part B not yet run when 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plan_selection_report.md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Plan selection under budget: optimiser vs cheapest vs highest metal (834 CMS plans) and vs most expensive (mixed catalogue), 100 households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bench.plan_selection_eval --households 100 --seed 7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73/100 and 79/100 on the mixed catalogue; identical pick on CMS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allocation_report.md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Claim allocation optimizer vs greedy and single-policy baselines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bench.allocation_eval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bench_report.md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Public benchmark tables: accuracy, macro-F1, NA to DENIED rate, evidence hit, McNemar, per-scenario accuracy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bench.report</w:t>
            </w:r>
            <w:r>
              <w:rPr>
                <w:sz w:val="17"/>
              </w:rPr>
              <w:t xml:space="preserve"> over the </w:t>
            </w:r>
            <w:r>
              <w:rPr>
                <w:rFonts w:ascii="Consolas" w:hAnsi="Consolas"/>
                <w:sz w:val="17"/>
              </w:rPr>
              <w:t>bench_*.jsonl</w:t>
            </w:r>
            <w:r>
              <w:rPr>
                <w:sz w:val="17"/>
              </w:rPr>
              <w:t xml:space="preserve"> 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Present: b4 390 of 580 labels; b0 and b0cw on C1, C2, C7 only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bench_b0.jsonl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bench_b0cw.jsonl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Raw records for the long-context baselines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bench.run_bench --system b0 --contracts C1,C2,C7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--system b0cw ...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bench_b4.jsonl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Raw records, extracted tuples + solver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scripts/extract_all.py</w:t>
            </w:r>
            <w:r>
              <w:rPr>
                <w:sz w:val="17"/>
              </w:rPr>
              <w:t xml:space="preserve"> then </w:t>
            </w:r>
            <w:r>
              <w:rPr>
                <w:rFonts w:ascii="Consolas" w:hAnsi="Consolas"/>
                <w:sz w:val="17"/>
              </w:rPr>
              <w:t>python -m bench.run_bench --system b4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bench_b4oracle.jsonl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bench_b4oracle_v2.jsonl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Raw records, gold-annotation tuples + solver (the report reads the first; v2 is a rerun kept for reference)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bench.abox_to_tuples</w:t>
            </w:r>
            <w:r>
              <w:rPr>
                <w:sz w:val="17"/>
              </w:rPr>
              <w:t xml:space="preserve"> then </w:t>
            </w:r>
            <w:r>
              <w:rPr>
                <w:rFonts w:ascii="Consolas" w:hAnsi="Consolas"/>
                <w:sz w:val="17"/>
              </w:rPr>
              <w:t>python -m bench.run_bench --system b4oracle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extraction_quality.md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Precision and recall of extracted values against the benchmark gold annotations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scripts/extraction_quality.py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audit_log.jsonl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Hash-chained audit log written by the running system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running system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Contains development sessions; generate a clean one for the demo (section 3)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archive/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Rotated development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Manual copy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Exclude from the public repository</w:t>
            </w:r>
          </w:p>
        </w:tc>
      </w:tr>
    </w:tbl>
    <w:p>
      <w:r>
        <w:t xml:space="preserve">Test suite: </w:t>
      </w:r>
      <w:r>
        <w:rPr>
          <w:rFonts w:ascii="Consolas" w:hAnsi="Consolas"/>
          <w:sz w:val="19"/>
        </w:rPr>
        <w:t>python -m pytest -q</w:t>
      </w:r>
      <w:r>
        <w:t xml:space="preserve"> gave 532 passed, 1 skipped on 2026-10-14 (no API key).</w:t>
      </w:r>
    </w:p>
    <w:p>
      <w:pPr>
        <w:pStyle w:val="Heading2"/>
      </w:pPr>
      <w:r>
        <w:t>2. Reproduction order</w:t>
      </w:r>
    </w:p>
    <w:p>
      <w:r>
        <w:rPr>
          <w:rFonts w:ascii="Consolas" w:hAnsi="Consolas"/>
          <w:sz w:val="17"/>
        </w:rPr>
        <w:t>python -m pytest -q</w:t>
        <w:br/>
        <w:t>python scripts/run_tasks.py --no-llm</w:t>
        <w:br/>
        <w:t>python scripts/run_tasks.py --no-llm --suite off_script</w:t>
        <w:br/>
        <w:t>python scripts/run_tasks.py --no-llm --suite holdout</w:t>
        <w:br/>
        <w:t>python scripts/run_tasks.py --no-llm --suite blind</w:t>
        <w:br/>
        <w:t>python scripts/run_adversarial.py --no-guard</w:t>
        <w:br/>
        <w:t>python bench/paraphrase.py</w:t>
        <w:br/>
        <w:t>python bench/clarify_eval.py</w:t>
        <w:br/>
        <w:t>python bench/cost_eval.py</w:t>
        <w:br/>
        <w:t>python -m bench.recourse_eval</w:t>
        <w:br/>
        <w:t>python -m bench.plan_selection_eval --households 100 --seed 7</w:t>
        <w:br/>
        <w:t>python -m bench.allocation_eval</w:t>
        <w:br/>
        <w:t>python scripts/fetch_real_data.py          # real public data into data/real/ (resumable; manifest with hashes)</w:t>
        <w:br/>
        <w:t>python scripts/extract_all.py</w:t>
        <w:br/>
        <w:t>python scripts/extraction_quality.py</w:t>
        <w:br/>
        <w:t>python -m bench.abox_to_tuples</w:t>
        <w:br/>
        <w:t>python -m bench.run_bench --system b4oracle</w:t>
        <w:br/>
        <w:t>python -m bench.run_bench --system b0cw --contracts C1,C2,C7</w:t>
        <w:br/>
        <w:t>python -m bench.run_bench --system b0 --contracts C1,C2,C7</w:t>
        <w:br/>
        <w:t>python -m bench.run_bench --system b4</w:t>
        <w:br/>
        <w:t>python -m bench.report</w:t>
      </w:r>
    </w:p>
    <w:p>
      <w:r>
        <w:t>The benchmark and extraction commands need the fetched third-party data and an API key with enough quota; records are resumable and cached on disk. Everything else runs without a key.</w:t>
      </w:r>
    </w:p>
    <w:p>
      <w:r>
        <w:t xml:space="preserve">Warning: </w:t>
      </w:r>
      <w:r>
        <w:rPr>
          <w:rFonts w:ascii="Consolas" w:hAnsi="Consolas"/>
          <w:sz w:val="19"/>
        </w:rPr>
        <w:t>scripts/run_adversarial.py</w:t>
      </w:r>
      <w:r>
        <w:t xml:space="preserve"> always writes </w:t>
      </w:r>
      <w:r>
        <w:rPr>
          <w:rFonts w:ascii="Consolas" w:hAnsi="Consolas"/>
          <w:sz w:val="19"/>
        </w:rPr>
        <w:t>evidence/adversarial_results.json</w:t>
      </w:r>
      <w:r>
        <w:t xml:space="preserve">, even when </w:t>
      </w:r>
      <w:r>
        <w:rPr>
          <w:rFonts w:ascii="Consolas" w:hAnsi="Consolas"/>
          <w:sz w:val="19"/>
        </w:rPr>
        <w:t>--out</w:t>
      </w:r>
      <w:r>
        <w:t xml:space="preserve"> is passed for the report. Copy the final evidence files before a quick test run.</w:t>
      </w:r>
    </w:p>
    <w:p>
      <w:pPr>
        <w:pStyle w:val="Heading2"/>
      </w:pPr>
      <w:r>
        <w:t>3. Generating a clean audit log for the demo</w:t>
      </w:r>
    </w:p>
    <w:p>
      <w:r/>
      <w:r>
        <w:rPr>
          <w:rFonts w:ascii="Consolas" w:hAnsi="Consolas"/>
          <w:sz w:val="19"/>
        </w:rPr>
        <w:t>scripts/serve.py --fresh</w:t>
      </w:r>
      <w:r>
        <w:t xml:space="preserve"> re-seeds the database but does not clear the audit log. Use a new audit file for each evidence-producing run; </w:t>
      </w:r>
      <w:r>
        <w:rPr>
          <w:rFonts w:ascii="Consolas" w:hAnsi="Consolas"/>
          <w:sz w:val="19"/>
        </w:rPr>
        <w:t>CG_AUDIT_PATH</w:t>
      </w:r>
      <w:r>
        <w:t xml:space="preserve"> is read by </w:t>
      </w:r>
      <w:r>
        <w:rPr>
          <w:rFonts w:ascii="Consolas" w:hAnsi="Consolas"/>
          <w:sz w:val="19"/>
        </w:rPr>
        <w:t>clauseguard/config.py</w:t>
      </w:r>
      <w:r>
        <w:t>.</w:t>
      </w:r>
    </w:p>
    <w:p>
      <w:pPr>
        <w:pStyle w:val="ListNumber"/>
      </w:pPr>
      <w:r>
        <w:t xml:space="preserve">Choose a new path, for example </w:t>
      </w:r>
      <w:r>
        <w:rPr>
          <w:rFonts w:ascii="Consolas" w:hAnsi="Consolas"/>
          <w:sz w:val="19"/>
        </w:rPr>
        <w:t>evidence/audit_demo.jsonl</w:t>
      </w:r>
      <w:r>
        <w:t>. It must not exist yet.</w:t>
      </w:r>
    </w:p>
    <w:p>
      <w:pPr>
        <w:pStyle w:val="ListNumber"/>
      </w:pPr>
      <w:r>
        <w:t>Start the server with the new path and a fresh database.</w:t>
      </w:r>
    </w:p>
    <w:p>
      <w:r>
        <w:t>Windows PowerShell:</w:t>
      </w:r>
    </w:p>
    <w:p>
      <w:r>
        <w:t>```powershell</w:t>
      </w:r>
    </w:p>
    <w:p>
      <w:r>
        <w:t>$env:CG_AUDIT_PATH = "$PWD\evidence\audit_demo.jsonl"</w:t>
      </w:r>
    </w:p>
    <w:p>
      <w:r>
        <w:t>python scripts/serve.py --fresh --release-kill-switch</w:t>
      </w:r>
    </w:p>
    <w:p>
      <w:r>
        <w:rPr>
          <w:rFonts w:ascii="Consolas" w:hAnsi="Consolas"/>
          <w:sz w:val="19"/>
        </w:rPr>
        <w:t>`</w:t>
      </w:r>
    </w:p>
    <w:p>
      <w:r>
        <w:t>Git Bash:</w:t>
      </w:r>
    </w:p>
    <w:p>
      <w:r>
        <w:t>```bash</w:t>
      </w:r>
    </w:p>
    <w:p>
      <w:r>
        <w:t>CG_AUDIT_PATH="$PWD/evidence/audit_demo.jsonl" python scripts/serve.py --fresh --release-kill-switch</w:t>
      </w:r>
    </w:p>
    <w:p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t>Run the demo (</w:t>
      </w:r>
      <w:r>
        <w:rPr>
          <w:rFonts w:ascii="Consolas" w:hAnsi="Consolas"/>
          <w:sz w:val="19"/>
        </w:rPr>
        <w:t>ui/DEMO.md</w:t>
      </w:r>
      <w:r>
        <w:t>) or the task runner in the same shell, then stop the server.</w:t>
      </w:r>
    </w:p>
    <w:p>
      <w:pPr>
        <w:pStyle w:val="ListNumber"/>
      </w:pPr>
      <w:r>
        <w:t xml:space="preserve">Confirm that the chain verifies: </w:t>
      </w:r>
      <w:r>
        <w:rPr>
          <w:rFonts w:ascii="Consolas" w:hAnsi="Consolas"/>
          <w:sz w:val="19"/>
        </w:rPr>
        <w:t>python scripts/verify_audit.py evidence/audit_demo.jsonl</w:t>
      </w:r>
      <w:r>
        <w:t xml:space="preserve"> prints </w:t>
      </w:r>
      <w:r>
        <w:rPr>
          <w:rFonts w:ascii="Consolas" w:hAnsi="Consolas"/>
          <w:sz w:val="19"/>
        </w:rPr>
        <w:t>OK (n events)</w:t>
      </w:r>
      <w:r>
        <w:t>.</w:t>
      </w:r>
    </w:p>
    <w:p>
      <w:pPr>
        <w:pStyle w:val="ListNumber"/>
      </w:pPr>
      <w:r>
        <w:t>Render a readable log (sequence, time, event, tool, tier, decision, reason):</w:t>
      </w:r>
    </w:p>
    <w:p>
      <w:r>
        <w:t>```bash</w:t>
      </w:r>
    </w:p>
    <w:p>
      <w:r>
        <w:t>python -c "import json,sys; [print(e['seq'], e['ts_utc'][:19], e['event_type'], e.get('tool') or '-', e.get('tier') if e.get('tier') is not None else '-', e.get('decision') or '-', (e.get('reason') or '')[:60], sep=' | ') for e in map(json.loads, open('evidence/audit_demo.jsonl', encoding='utf8')) if e]" &gt; evidence/sandbox_operations.txt</w:t>
      </w:r>
    </w:p>
    <w:p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t>Count events by type:</w:t>
      </w:r>
    </w:p>
    <w:p>
      <w:r>
        <w:t>```bash</w:t>
      </w:r>
    </w:p>
    <w:p>
      <w:r>
        <w:t>python -c "import json,collections; print(collections.Counter(json.loads(l)['event_type'] for l in open('evidence/audit_demo.jsonl', encoding='utf8') if l.strip()))"</w:t>
      </w:r>
    </w:p>
    <w:p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t>For the scripted tasks and the adversarial suite, repeat with a different audit path each time so each log maps to one command.</w:t>
      </w:r>
    </w:p>
    <w:p>
      <w:pPr>
        <w:pStyle w:val="ListNumber"/>
      </w:pPr>
      <w:r>
        <w:t>Keep the demo video and its log together: the video shows the audit tab and the log contains the same sessions.</w:t>
      </w:r>
    </w:p>
    <w:p>
      <w:r>
        <w:t>Do not edit a log by hand. The tamper demo in the UI works on a copy.</w:t>
      </w:r>
    </w:p>
    <w:p>
      <w:pPr>
        <w:pStyle w:val="Heading2"/>
      </w:pPr>
      <w:r>
        <w:t>4. What the evidence does not show</w:t>
      </w:r>
    </w:p>
    <w:p>
      <w:pPr>
        <w:pStyle w:val="ListBullet"/>
      </w:pPr>
      <w:r>
        <w:t>No external red team, no real insurer data, no real users.</w:t>
      </w:r>
    </w:p>
    <w:p>
      <w:pPr>
        <w:pStyle w:val="ListBullet"/>
      </w:pPr>
      <w:r>
        <w:t>The scripted, off-script, paraphrase, clarification, recourse and allocation runs are deterministic mode (no model calls); behaviour with the model planner and binder on was measured only for the paraphrase live sample.</w:t>
      </w:r>
    </w:p>
    <w:p>
      <w:pPr>
        <w:pStyle w:val="ListBullet"/>
      </w:pPr>
      <w:r>
        <w:t>The benchmark rows for b0 and b0cw cover three contracts only; b4 covers 390 of 580 labels.</w:t>
      </w:r>
    </w:p>
    <w:p>
      <w:pPr>
        <w:pStyle w:val="ListBullet"/>
      </w:pPr>
      <w:r>
        <w:t>The CMS plan-selection experiment ran without premiums (out-of-pocket basis), so all methods coincide there.</w:t>
      </w:r>
    </w:p>
    <w:p>
      <w:pPr>
        <w:pStyle w:val="ListBullet"/>
      </w:pPr>
      <w:r>
        <w:t xml:space="preserve">The ombudsman replay (recourse Part B) had not run when </w:t>
      </w:r>
      <w:r>
        <w:rPr>
          <w:rFonts w:ascii="Consolas" w:hAnsi="Consolas"/>
          <w:sz w:val="19"/>
        </w:rPr>
        <w:t>recourse_report.md</w:t>
      </w:r>
      <w:r>
        <w:t xml:space="preserve"> was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