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8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REFERRAL SYSTEM</w:t>
            </w:r>
          </w:p>
          <w:p>
            <w:pPr>
              <w:pStyle w:val="Normal"/>
              <w:spacing w:before="0" w:after="40"/>
              <w:jc w:val="center"/>
              <w:rPr/>
            </w:pPr>
            <w:r>
              <w:rPr>
                <w:rFonts w:eastAsia="Calibri" w:cs="Calibri"/>
                <w:b/>
                <w:bCs/>
                <w:i w:val="false"/>
                <w:iCs w:val="false"/>
                <w:color w:val="FFFFFF"/>
                <w:sz w:val="34"/>
                <w:szCs w:val="34"/>
              </w:rPr>
              <w:t>Playbook · Directory · Toolkit</w:t>
            </w:r>
          </w:p>
          <w:p>
            <w:pPr>
              <w:pStyle w:val="Normal"/>
              <w:spacing w:before="0" w:after="0"/>
              <w:jc w:val="center"/>
              <w:rPr/>
            </w:pPr>
            <w:r>
              <w:rPr>
                <w:rFonts w:eastAsia="Calibri" w:cs="Calibri"/>
                <w:b/>
                <w:bCs/>
                <w:i w:val="false"/>
                <w:iCs w:val="false"/>
                <w:color w:val="FFFFFF"/>
                <w:sz w:val="34"/>
                <w:szCs w:val="34"/>
              </w:rPr>
              <w:t>New Mexico Edition</w:t>
            </w:r>
          </w:p>
        </w:tc>
      </w:tr>
    </w:tbl>
    <w:p>
      <w:pPr>
        <w:pStyle w:val="Normal"/>
        <w:spacing w:before="160" w:after="0"/>
        <w:rPr/>
      </w:pPr>
      <w:r>
        <w:rPr/>
      </w:r>
    </w:p>
    <w:p>
      <w:pPr>
        <w:pStyle w:val="Normal"/>
        <w:spacing w:lineRule="exact" w:line="268" w:before="0" w:after="60"/>
        <w:jc w:val="center"/>
        <w:rPr/>
      </w:pPr>
      <w:r>
        <w:rPr>
          <w:rFonts w:eastAsia="Calibri" w:cs="Calibri"/>
          <w:b w:val="false"/>
          <w:bCs w:val="false"/>
          <w:i w:val="false"/>
          <w:iCs w:val="false"/>
          <w:color w:val="1A1A1A"/>
          <w:sz w:val="22"/>
          <w:szCs w:val="22"/>
        </w:rPr>
        <w:t>Everything a New Mexico home health agency needs to build a steady stream of referrals — the strategy, a verified local resource directory, and the worksheets to run it week to week.</w:t>
      </w:r>
    </w:p>
    <w:p>
      <w:pPr>
        <w:pStyle w:val="Normal"/>
        <w:pBdr>
          <w:bottom w:val="single" w:sz="8" w:space="1" w:color="9DB1C7"/>
        </w:pBdr>
        <w:spacing w:before="80" w:after="120"/>
        <w:rPr/>
      </w:pPr>
      <w:r>
        <w:rPr/>
      </w:r>
    </w:p>
    <w:p>
      <w:pPr>
        <w:pStyle w:val="Normal"/>
        <w:spacing w:lineRule="exact" w:line="268" w:before="0" w:after="110"/>
        <w:jc w:val="center"/>
        <w:rPr/>
      </w:pPr>
      <w:r>
        <w:rPr>
          <w:rFonts w:eastAsia="Calibri" w:cs="Calibri"/>
          <w:b/>
          <w:bCs/>
          <w:i w:val="false"/>
          <w:iCs w:val="false"/>
          <w:color w:val="3E5871"/>
          <w:sz w:val="18"/>
          <w:szCs w:val="18"/>
        </w:rPr>
        <w:t xml:space="preserve">Three parts, one resource: </w:t>
      </w:r>
      <w:r>
        <w:rPr>
          <w:rFonts w:eastAsia="Calibri" w:cs="Calibri"/>
          <w:b w:val="false"/>
          <w:bCs w:val="false"/>
          <w:i w:val="false"/>
          <w:iCs w:val="false"/>
          <w:color w:val="555555"/>
          <w:sz w:val="18"/>
          <w:szCs w:val="18"/>
        </w:rPr>
        <w:t>Part One — The Playbook (how to earn referrals). Part Two — The New Mexico Referral Directory (verified contacts). Part Three — The Worksheets &amp; Tracker (run it weekly). General business guidance, not legal advice; follow all applicable anti-kickback and referral laws.</w:t>
      </w:r>
    </w:p>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One — The Playbook: How to Earn Referrals  </w:t>
      </w:r>
    </w:p>
    <w:p>
      <w:pPr>
        <w:pStyle w:val="Normal"/>
        <w:spacing w:lineRule="exact" w:line="268" w:before="0" w:after="110"/>
        <w:jc w:val="start"/>
        <w:rPr/>
      </w:pPr>
      <w:r>
        <w:rPr>
          <w:rFonts w:eastAsia="Calibri" w:cs="Calibri"/>
          <w:b w:val="false"/>
          <w:bCs w:val="false"/>
          <w:i w:val="false"/>
          <w:iCs w:val="false"/>
          <w:color w:val="1A1A1A"/>
          <w:sz w:val="20"/>
          <w:szCs w:val="20"/>
        </w:rPr>
        <w:t>A licensed home health agency with no referral pipeline has no revenue. This playbook teaches you how New Mexico home care providers actually get clients: through relationships with the people and organizations that already have your future clients in front of them — hospital discharge planners, skilled-nursing and rehab facilities, the aging network, Medicaid care coordinators, hospices, assisted living communities, elder-law attorneys, and geriatric care managers. The sources differ a little by business, but the system is the same: identify who serves your future clients, get into their referral pipeline lawfully, understand what each needs from a provider, build real relationships, deliver reliably, and run it as a weekly habit.</w:t>
      </w:r>
    </w:p>
    <w:p>
      <w:pPr>
        <w:pStyle w:val="Normal"/>
        <w:keepNext w:val="true"/>
        <w:spacing w:before="140" w:after="60"/>
        <w:rPr/>
      </w:pPr>
      <w:r>
        <w:rPr>
          <w:rFonts w:eastAsia="Calibri" w:cs="Calibri"/>
          <w:b/>
          <w:bCs/>
          <w:i w:val="false"/>
          <w:iCs w:val="false"/>
          <w:color w:val="3E5871"/>
          <w:sz w:val="21"/>
          <w:szCs w:val="21"/>
        </w:rPr>
        <w:t>The bright legal line — read this first</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You may build relationships, but you may not pay for referrals</w:t>
            </w:r>
          </w:p>
          <w:p>
            <w:pPr>
              <w:pStyle w:val="Normal"/>
              <w:spacing w:lineRule="exact" w:line="264" w:before="0" w:after="0"/>
              <w:rPr/>
            </w:pPr>
            <w:r>
              <w:rPr>
                <w:rFonts w:eastAsia="Calibri" w:cs="Calibri"/>
                <w:b w:val="false"/>
                <w:bCs w:val="false"/>
                <w:i w:val="false"/>
                <w:iCs w:val="false"/>
                <w:color w:val="1A1A1A"/>
                <w:sz w:val="20"/>
                <w:szCs w:val="20"/>
              </w:rPr>
              <w:t>The federal Anti-Kickback Statute and New Mexico law prohibit offering, paying, soliciting, or receiving anything of value to induce referrals of Medicaid- or Medicare-funded clients. Keep every arrangement with a referral source documented and for fair value for bona fide services — never tied to the volume or value of referrals. When in doubt, ask a health-care attorney. Getting this wrong carries serious penalties.</w:t>
            </w:r>
          </w:p>
        </w:tc>
      </w:tr>
    </w:tbl>
    <w:p>
      <w:pPr>
        <w:pStyle w:val="Normal"/>
        <w:keepNext w:val="true"/>
        <w:spacing w:before="140" w:after="60"/>
        <w:rPr/>
      </w:pPr>
      <w:r>
        <w:rPr>
          <w:rFonts w:eastAsia="Calibri" w:cs="Calibri"/>
          <w:b/>
          <w:bCs/>
          <w:i w:val="false"/>
          <w:iCs w:val="false"/>
          <w:color w:val="3E5871"/>
          <w:sz w:val="21"/>
          <w:szCs w:val="21"/>
        </w:rPr>
        <w:t>The seven moves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Identify. </w:t>
      </w:r>
      <w:r>
        <w:rPr>
          <w:rFonts w:eastAsia="Calibri" w:cs="Calibri"/>
          <w:b w:val="false"/>
          <w:bCs w:val="false"/>
          <w:i w:val="false"/>
          <w:iCs w:val="false"/>
          <w:color w:val="1A1A1A"/>
          <w:sz w:val="20"/>
          <w:szCs w:val="20"/>
        </w:rPr>
        <w:t>Use the New Mexico directory and metro target lists in Part Two to build a focused list of referral sources in your service area.</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Get in the pipeline. </w:t>
      </w:r>
      <w:r>
        <w:rPr>
          <w:rFonts w:eastAsia="Calibri" w:cs="Calibri"/>
          <w:b w:val="false"/>
          <w:bCs w:val="false"/>
          <w:i w:val="false"/>
          <w:iCs w:val="false"/>
          <w:color w:val="1A1A1A"/>
          <w:sz w:val="20"/>
          <w:szCs w:val="20"/>
        </w:rPr>
        <w:t>Enroll with New Mexico Medicaid through the Health Care Authority, set up Sandata EVV, contract with the Turquoise Care plans, and get onto hospital discharge and case-management rosters — lawfully.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Understand their needs. </w:t>
      </w:r>
      <w:r>
        <w:rPr>
          <w:rFonts w:eastAsia="Calibri" w:cs="Calibri"/>
          <w:b w:val="false"/>
          <w:bCs w:val="false"/>
          <w:i w:val="false"/>
          <w:iCs w:val="false"/>
          <w:color w:val="1A1A1A"/>
          <w:sz w:val="20"/>
          <w:szCs w:val="20"/>
        </w:rPr>
        <w:t>Discharge planners need reliability and fast response; care coordinators need clean documentation and EVV compliance; families need trust. Ask each what they need and what frustrates them about their current providers.</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Reach out. </w:t>
      </w:r>
      <w:r>
        <w:rPr>
          <w:rFonts w:eastAsia="Calibri" w:cs="Calibri"/>
          <w:b w:val="false"/>
          <w:bCs w:val="false"/>
          <w:i w:val="false"/>
          <w:iCs w:val="false"/>
          <w:color w:val="1A1A1A"/>
          <w:sz w:val="20"/>
          <w:szCs w:val="20"/>
        </w:rPr>
        <w:t>Introduce yourself to a small, focused list — in person where you can. Bring a simple one-page overview of your services, service area, and what makes you reliable.</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Deliver. </w:t>
      </w:r>
      <w:r>
        <w:rPr>
          <w:rFonts w:eastAsia="Calibri" w:cs="Calibri"/>
          <w:b w:val="false"/>
          <w:bCs w:val="false"/>
          <w:i w:val="false"/>
          <w:iCs w:val="false"/>
          <w:color w:val="1A1A1A"/>
          <w:sz w:val="20"/>
          <w:szCs w:val="20"/>
        </w:rPr>
        <w:t>Show up on time, communicate, document well, keep your supervisory visits current, and make the referrer look good for choosing you. Reliability is what earns the next referral.</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Show up online. </w:t>
      </w:r>
      <w:r>
        <w:rPr>
          <w:rFonts w:eastAsia="Calibri" w:cs="Calibri"/>
          <w:b w:val="false"/>
          <w:bCs w:val="false"/>
          <w:i w:val="false"/>
          <w:iCs w:val="false"/>
          <w:color w:val="1A1A1A"/>
          <w:sz w:val="20"/>
          <w:szCs w:val="20"/>
        </w:rPr>
        <w:t>A simple, current website and Google listing let referrers and families check you out and find your number.</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Track and repeat. </w:t>
      </w:r>
      <w:r>
        <w:rPr>
          <w:rFonts w:eastAsia="Calibri" w:cs="Calibri"/>
          <w:b w:val="false"/>
          <w:bCs w:val="false"/>
          <w:i w:val="false"/>
          <w:iCs w:val="false"/>
          <w:color w:val="1A1A1A"/>
          <w:sz w:val="20"/>
          <w:szCs w:val="20"/>
        </w:rPr>
        <w:t>Use the tracker in Part Three to run outreach as a weekly habit and see which relationships produce referrals, so your effort compounds.</w:t>
      </w:r>
    </w:p>
    <w:p>
      <w:pPr>
        <w:pStyle w:val="Normal"/>
        <w:keepNext w:val="true"/>
        <w:spacing w:before="140" w:after="60"/>
        <w:rPr/>
      </w:pPr>
      <w:r>
        <w:rPr>
          <w:rFonts w:eastAsia="Calibri" w:cs="Calibri"/>
          <w:b/>
          <w:bCs/>
          <w:i w:val="false"/>
          <w:iCs w:val="false"/>
          <w:color w:val="3E5871"/>
          <w:sz w:val="21"/>
          <w:szCs w:val="21"/>
        </w:rPr>
        <w:t>How to approach each type of partner</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Hospitals &amp; skilled nursing — </w:t>
      </w:r>
      <w:r>
        <w:rPr>
          <w:rFonts w:eastAsia="Calibri" w:cs="Calibri"/>
          <w:b w:val="false"/>
          <w:bCs w:val="false"/>
          <w:i w:val="false"/>
          <w:iCs w:val="false"/>
          <w:color w:val="1A1A1A"/>
          <w:sz w:val="20"/>
          <w:szCs w:val="20"/>
        </w:rPr>
        <w:t>ask for case management / discharge planning; they arrange in-home support for patients going home.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Hospices — </w:t>
      </w:r>
      <w:r>
        <w:rPr>
          <w:rFonts w:eastAsia="Calibri" w:cs="Calibri"/>
          <w:b w:val="false"/>
          <w:bCs w:val="false"/>
          <w:i w:val="false"/>
          <w:iCs w:val="false"/>
          <w:color w:val="1A1A1A"/>
          <w:sz w:val="20"/>
          <w:szCs w:val="20"/>
        </w:rPr>
        <w:t>build two-way relationships; you refer to them, they refer to you.</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Assisted living &amp; senior communities — </w:t>
      </w:r>
      <w:r>
        <w:rPr>
          <w:rFonts w:eastAsia="Calibri" w:cs="Calibri"/>
          <w:b w:val="false"/>
          <w:bCs w:val="false"/>
          <w:i w:val="false"/>
          <w:iCs w:val="false"/>
          <w:color w:val="1A1A1A"/>
          <w:sz w:val="20"/>
          <w:szCs w:val="20"/>
        </w:rPr>
        <w:t>connect with the director or community-relations lead; residents often need supplemental personal care.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Funeral homes &amp; elder-law attorneys — </w:t>
      </w:r>
      <w:r>
        <w:rPr>
          <w:rFonts w:eastAsia="Calibri" w:cs="Calibri"/>
          <w:b w:val="false"/>
          <w:bCs w:val="false"/>
          <w:i w:val="false"/>
          <w:iCs w:val="false"/>
          <w:color w:val="1A1A1A"/>
          <w:sz w:val="20"/>
          <w:szCs w:val="20"/>
        </w:rPr>
        <w:t>they meet families at decision points and refer trusted providers.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Geriatric care managers &amp; placement agents — </w:t>
      </w:r>
      <w:r>
        <w:rPr>
          <w:rFonts w:eastAsia="Calibri" w:cs="Calibri"/>
          <w:b w:val="false"/>
          <w:bCs w:val="false"/>
          <w:i w:val="false"/>
          <w:iCs w:val="false"/>
          <w:color w:val="1A1A1A"/>
          <w:sz w:val="20"/>
          <w:szCs w:val="20"/>
        </w:rPr>
        <w:t>they place clients into services daily; earn a spot on their list.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Medicaid care coordinators — </w:t>
      </w:r>
      <w:r>
        <w:rPr>
          <w:rFonts w:eastAsia="Calibri" w:cs="Calibri"/>
          <w:b w:val="false"/>
          <w:bCs w:val="false"/>
          <w:i w:val="false"/>
          <w:iCs w:val="false"/>
          <w:color w:val="1A1A1A"/>
          <w:sz w:val="20"/>
          <w:szCs w:val="20"/>
        </w:rPr>
        <w:t>the Turquoise Care managed care organizations coordinate and authorize services; clean documentation and EVV compliance keep referrals coming.</w:t>
      </w:r>
    </w:p>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Two — The New Mexico Referral Directory (Verified)  </w:t>
      </w:r>
    </w:p>
    <w:p>
      <w:pPr>
        <w:pStyle w:val="Normal"/>
        <w:spacing w:lineRule="exact" w:line="268" w:before="0" w:after="110"/>
        <w:jc w:val="start"/>
        <w:rPr/>
      </w:pPr>
      <w:r>
        <w:rPr>
          <w:rFonts w:eastAsia="Calibri" w:cs="Calibri"/>
          <w:b w:val="false"/>
          <w:bCs w:val="false"/>
          <w:i w:val="false"/>
          <w:iCs w:val="false"/>
          <w:color w:val="1A1A1A"/>
          <w:sz w:val="20"/>
          <w:szCs w:val="20"/>
        </w:rPr>
        <w:t>This is your verified contact directory for building referrals and connecting clients to help in New Mexico. Every number and website below was verified from official New Mexico and federal sources as this resource was prepared. Government phone numbers and programs do change, so confirm a contact before you rely on it — and update this directory as you go.</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Three ways to use this directory</w:t>
            </w:r>
          </w:p>
          <w:p>
            <w:pPr>
              <w:pStyle w:val="Normal"/>
              <w:spacing w:lineRule="exact" w:line="264" w:before="0" w:after="0"/>
              <w:rPr/>
            </w:pPr>
            <w:r>
              <w:rPr>
                <w:rFonts w:eastAsia="Calibri" w:cs="Calibri"/>
                <w:b/>
                <w:bCs/>
                <w:i w:val="false"/>
                <w:iCs w:val="false"/>
                <w:color w:val="1A1A1A"/>
                <w:sz w:val="19"/>
                <w:szCs w:val="19"/>
              </w:rPr>
              <w:t xml:space="preserve">(1) Relationships to build — </w:t>
            </w:r>
            <w:r>
              <w:rPr>
                <w:rFonts w:eastAsia="Calibri" w:cs="Calibri"/>
                <w:b w:val="false"/>
                <w:bCs w:val="false"/>
                <w:i w:val="false"/>
                <w:iCs w:val="false"/>
                <w:color w:val="1A1A1A"/>
                <w:sz w:val="19"/>
                <w:szCs w:val="19"/>
              </w:rPr>
              <w:t xml:space="preserve">many of these are referral sources; introduce yourself. </w:t>
            </w:r>
            <w:r>
              <w:rPr>
                <w:rFonts w:eastAsia="Calibri" w:cs="Calibri"/>
                <w:b/>
                <w:bCs/>
                <w:i w:val="false"/>
                <w:iCs w:val="false"/>
                <w:color w:val="1A1A1A"/>
                <w:sz w:val="19"/>
                <w:szCs w:val="19"/>
              </w:rPr>
              <w:t xml:space="preserve">(2) Places to get listed — </w:t>
            </w:r>
            <w:r>
              <w:rPr>
                <w:rFonts w:eastAsia="Calibri" w:cs="Calibri"/>
                <w:b w:val="false"/>
                <w:bCs w:val="false"/>
                <w:i w:val="false"/>
                <w:iCs w:val="false"/>
                <w:color w:val="1A1A1A"/>
                <w:sz w:val="19"/>
                <w:szCs w:val="19"/>
              </w:rPr>
              <w:t xml:space="preserve">get your agency into the aging-network and payer pipelines. </w:t>
            </w:r>
            <w:r>
              <w:rPr>
                <w:rFonts w:eastAsia="Calibri" w:cs="Calibri"/>
                <w:b/>
                <w:bCs/>
                <w:i w:val="false"/>
                <w:iCs w:val="false"/>
                <w:color w:val="1A1A1A"/>
                <w:sz w:val="19"/>
                <w:szCs w:val="19"/>
              </w:rPr>
              <w:t xml:space="preserve">(3) Resources to hand clients — </w:t>
            </w:r>
            <w:r>
              <w:rPr>
                <w:rFonts w:eastAsia="Calibri" w:cs="Calibri"/>
                <w:b w:val="false"/>
                <w:bCs w:val="false"/>
                <w:i w:val="false"/>
                <w:iCs w:val="false"/>
                <w:color w:val="1A1A1A"/>
                <w:sz w:val="19"/>
                <w:szCs w:val="19"/>
              </w:rPr>
              <w:t>give families the right number for what they need.</w:t>
            </w:r>
          </w:p>
        </w:tc>
      </w:tr>
    </w:tbl>
    <w:p>
      <w:pPr>
        <w:pStyle w:val="Normal"/>
        <w:keepNext w:val="true"/>
        <w:spacing w:before="140" w:after="60"/>
        <w:rPr/>
      </w:pPr>
      <w:r>
        <w:rPr>
          <w:rFonts w:eastAsia="Calibri" w:cs="Calibri"/>
          <w:b/>
          <w:bCs/>
          <w:i w:val="false"/>
          <w:iCs w:val="false"/>
          <w:color w:val="3E5871"/>
          <w:sz w:val="21"/>
          <w:szCs w:val="21"/>
        </w:rPr>
        <w:t>Statewide — licensing, Medicaid, EVV &amp; labor</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HCA — Health Facility Licensing &amp; Certification (licensing)</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facility.license@hca.nm.gov · Program Operations Bureau, Santa Fe 505-476-9093</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HCA — Medical Assistance Division (Medicaid provider enrollment)</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hca.nm.gov · New Mexico Medicaid (Turquoise Care)</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Sandata — New Mexico EVV</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Through the HCA EVV program · hca.nm.gov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NM Department of Workforce Solutions (labor / minimum wage)</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1-877-664-6984 · dws.state.nm.us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NM Workers’ Compensation Administration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1-800-255-7965 · workerscomp.nm.gov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NM Secretary of State (business registration)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1-800-477-3632 · sos.nm.gov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NM Taxation &amp; Revenue (gross receipts tax)</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1-866-285-2996 · tax.nm.gov</w:t>
            </w:r>
          </w:p>
        </w:tc>
      </w:tr>
    </w:tbl>
    <w:p>
      <w:pPr>
        <w:pStyle w:val="Normal"/>
        <w:keepNext w:val="true"/>
        <w:spacing w:before="140" w:after="60"/>
        <w:rPr/>
      </w:pPr>
      <w:r>
        <w:rPr>
          <w:rFonts w:eastAsia="Calibri" w:cs="Calibri"/>
          <w:b/>
          <w:bCs/>
          <w:i w:val="false"/>
          <w:iCs w:val="false"/>
          <w:color w:val="3E5871"/>
          <w:sz w:val="21"/>
          <w:szCs w:val="21"/>
        </w:rPr>
        <w:t>Statewide — aging network, protection &amp; client resources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Aging &amp; Disability Resource Center (ADRC / aging network)</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1-800-432-2080 · nmaging.state.nm.us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Adult Protective Services (report abuse/neglect/exploitation)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1-866-654-3219 (24/7) · 911 if in immediate danger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NM Children, Youth &amp; Families Dept (child abuse reporting)</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1-855-333-7233</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Eldercare Locator (find local aging services)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1-800-677-1116 · eldercare.acl.gov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VA (veteran in-home support)</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1-877-222-8387 · va.gov</w:t>
            </w:r>
          </w:p>
        </w:tc>
      </w:tr>
    </w:tbl>
    <w:p>
      <w:pPr>
        <w:pStyle w:val="Normal"/>
        <w:spacing w:lineRule="exact" w:line="268" w:before="0" w:after="110"/>
        <w:jc w:val="start"/>
        <w:rPr/>
      </w:pPr>
      <w:r>
        <w:rPr>
          <w:rFonts w:eastAsia="Calibri" w:cs="Calibri"/>
          <w:b w:val="false"/>
          <w:bCs w:val="false"/>
          <w:i w:val="false"/>
          <w:iCs w:val="false"/>
          <w:color w:val="1A1A1A"/>
          <w:sz w:val="20"/>
          <w:szCs w:val="20"/>
        </w:rPr>
        <w:t>When you add a service area, rebuild this directory for it the same way: every region is served by the statewide Aging and Disability Resource Center (1-800-432-2080) and its Area Agency on Aging, Adult Protective Services for reporting, and local hospitals, skilled-nursing facilities, hospices, assisted living communities, funeral homes, elder-law attorneys, and care managers. Start from the ADRC and official .gov pages, verify every number, and you will have that region’s directory.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word on accuracy</w:t>
            </w:r>
          </w:p>
          <w:p>
            <w:pPr>
              <w:pStyle w:val="Normal"/>
              <w:spacing w:lineRule="exact" w:line="264" w:before="0" w:after="0"/>
              <w:rPr/>
            </w:pPr>
            <w:r>
              <w:rPr>
                <w:rFonts w:eastAsia="Calibri" w:cs="Calibri"/>
                <w:b w:val="false"/>
                <w:bCs w:val="false"/>
                <w:i w:val="false"/>
                <w:iCs w:val="false"/>
                <w:color w:val="1A1A1A"/>
                <w:sz w:val="19"/>
                <w:szCs w:val="19"/>
              </w:rPr>
              <w:t>Everything in this directory was verified from official or public sources when it was prepared, but numbers, programs, and websites change. Confirm a contact before you rely on it, and treat this directory as a living document you keep current — never as a substitute for your own verification.</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Lists — New Mexico’s Largest Metros (Verified Named Partners)  </w:t>
      </w:r>
    </w:p>
    <w:p>
      <w:pPr>
        <w:pStyle w:val="Normal"/>
        <w:spacing w:lineRule="exact" w:line="268" w:before="0" w:after="110"/>
        <w:jc w:val="start"/>
        <w:rPr/>
      </w:pPr>
      <w:r>
        <w:rPr>
          <w:rFonts w:eastAsia="Calibri" w:cs="Calibri"/>
          <w:b w:val="false"/>
          <w:bCs w:val="false"/>
          <w:i w:val="false"/>
          <w:iCs w:val="false"/>
          <w:color w:val="1A1A1A"/>
          <w:sz w:val="20"/>
          <w:szCs w:val="20"/>
        </w:rPr>
        <w:t>Below are starter target lists of real referral partners in New Mexico’s largest metros — organized by category so you can build your outreach route. Each listing shows name, address, and phone; public email addresses generally aren’t listed, so call or use the organization’s website. These are leads to research and qualify, not endorsements — verify licensing, fit, and current contact details before you rely on any one of them.</w:t>
      </w:r>
    </w:p>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Albuquerque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Presbyterian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1100 Central Ave SE, Albuquerque 87106 · 505-841-1234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UNM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2211 Lomas Blvd NE, Albuquerque 87106 · 505-272-2111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Lovelace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601 Dr Martin Luther King Jr Ave NE, Albuquerque 87102 · 505-727-8000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Rehabilitation Center of Albuquerque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5900 Forest Hills Dr NE, Albuquerque 87109 · 505-822-6000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Canyon Transitional Rehabilitation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10101 Lagrima De Oro Rd NE, Albuquerque 87111 · 505-298-1231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Odelia Healthcare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1509 University Blvd NE, Albuquerque 87102 · 505-243-2257</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ABQ Hospice &amp; Palliative Care Co.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4550 Eubank Blvd NE Ste 108, Albuquerque 87111 · 505-616-0915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High Desert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8920 Adams St B, Albuquerque 87113 · 505-585-2603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Bosque Trails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1700 Louisiana Blvd NE #120, Albuquerque 87110 · 505-808-2870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Hospice of New Mexico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2155 Louisiana Blvd NE #2200, Albuquerque 87110 · 505-872-2300</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Amaran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9100 Holly Ave NE, Albuquerque 87122 · 505-436-1271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Sandia Vista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500 Paisano St NE, Albuquerque 87123 · 505-291-0600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Paloma Landing Retirement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8301 Palomas Ave NE, Albuquerque 87109 · 505-243-1979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Buena Vista Senior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8505 Rancho Santa Fe Pl NE, Albuquerque 87109 · 505-797-4875</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French Funerals &amp; Cremations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1111 University Blvd NE, Albuquerque 87102 · 505-843-6333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Riverside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225 San Mateo Blvd NE, Albuquerque 87108 · 505-225-3362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Trujillo Family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110 Alvarado Dr SE, Albuquerque 87108 · 505-433-7747</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Gabaldon Mortuary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1000 Old Coors Dr SW, Albuquerque 87121 · 505-243-7861</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Pregenzer Baysinger Wideman &amp; Sale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2424 Louisiana Blvd NE #200, Albuquerque 87110 · 505-872-0505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ABQ Elder Law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4004 Carlisle Blvd NE Ste L, Albuquerque 87110 · 505-830-0202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Citizens Law Office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1240 Pennsylvania St NE A, Albuquerque 87110 · 505-265-2300</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Living Advisors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3705 Ellison Rd NW B-1 #379, Albuquerque 87114 · 505-289-1910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Senior.One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320 Gold Ave SW Ste 1001, Albuquerque 87102 · 888-888-2191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Albuquerque Senior Placements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1019 Cottonwood Dr NW, Albuquerque 87107 · 505-358-5711</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Las Cruces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MountainView Regional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4311 E Lohman Ave, Las Cruces 88011 · 575-556-7600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Memorial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2450 S Telshor Blvd, Las Cruces 88011 · 575-522-8641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Rehabilitation Hospital of Southern New Mexico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4441 E Lohman Ave, Las Cruces 88011 · 575-521-6400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Las Cruces Wellness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175 Roadrunner Pkwy, Las Cruces 88011 · 575-386-5800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Las Cruces Village Nursing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3025 Terrace Dr, Las Cruces 88011 · 575-522-1362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Casa Del Sol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2905 Missouri Ave, Las Cruces 88011 · 575-522-0404</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Mesilla Valley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299 Montana Ave, Las Cruces 88005 · 575-523-4700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High Desert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755 S Telshor Blvd Ste D 109, Las Cruces 88011 · 575-993-2644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Enhabit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425 S Telshor Blvd Ste 201B, Las Cruces 88011 · 575-323-9845</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Las Cruces Village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3011 Buena Vida Cir, Las Cruces 88011 · 575-952-6831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Haciendas at Grace Village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2802 Corte Dios, Las Cruces 88011 · 575-500-4905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Arbors at Vista Living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3731 Del Rey Blvd, Las Cruces 88012 · 575-483-9056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 Posada Assisted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299 Montana Ave, Las Cruces 88005 · 575-523-4700</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 Paz-Graham’s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555 W Amador Ave, Las Cruces 88005 · 575-526-6891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Baca’s Funeral Chapels &amp; Sunset Crematory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300 E Boutz Rd, Las Cruces 88005 · 575-527-2222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Getz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1410 E Bowman Ave, Las Cruces 88001 · 575-526-2419</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E-Law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1340 Picacho Hills Dr, Las Cruces 88007 · 575-556-2462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Melissa J. Reeves, Attorney at Law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200 W Las Cruces Ave, Las Cruces 88005 · 575-522-5009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Gluth Law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2455 Missouri Ave, Las Cruces 88001 · 575-556-8449</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&amp; Disability Resource Center (care-management hub)</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1-800-432-2080 · nmaging.state.nm.us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Living Advisors (serves statewide)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505-289-1910 · Albuquerque-based, serves Las Cruces</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Santa Fe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CHRISTUS St. Vincent Regional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455 St Michaels Dr, Santa Fe 87505 · 505-913-3361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Presbyterian Santa Fe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4801 Beckner Rd, Santa Fe 87507 · 505-772-1234</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Santa Fe Care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635 Harkle Rd, Santa Fe 87505 · 505-982-2574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Casa Real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1650 Galisteo St, Santa Fe 87505 · 505-984-8313</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Enchanted Sky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1692B Hospital Dr Ste 201A, Santa Fe 87505 · nmaging referral / see website</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Del Corazon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811 St Michaels Dr #207, Santa Fe 87505 · 505-988-2049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Ambercare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550-D St Michaels Dr, Santa Fe 87505 · 505-982-4098</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Las Soleras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5011 Las Soleras Dr, Santa Fe 87507 · 505-926-6811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Legacy at Santa Fe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 Avenida Aldea, Santa Fe 87507 · 505-333-0210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Sierra Vista at Vista Living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402 Rodeo Rd, Santa Fe 87505 · 505-578-3154</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Berardinelli Family Funeral Service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1399 Luisa St, Santa Fe 87505 · 505-984-8600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Rivera Family Funerals &amp; Cremations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417 Rodeo Rd, Santa Fe 87505 · 505-989-7032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Santa Fe Funerals &amp; Cremations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1091 Siler Rd Ste A1, Santa Fe 87507 · 505-603-7130</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Lasting Legacy Law,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122 Park Ave, Santa Fe 87501 · 505-807-0491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Gordian Wills, Trusts &amp; Elder Law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901 W San Mateo Rd Ste L, Santa Fe 87505 · 505-570-5551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Robert Richards, Esq.</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400 Salazar Pl, Santa Fe 87501 · 505-988-2386</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&amp; Disability Resource Center (care-management hub)</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1-800-432-2080 · nmaging.state.nm.us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Living Advisors (serves statewide)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505-289-1910 · serves the Santa Fe area</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Rio Rancho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Presbyterian Rust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2400 Unser Blvd SE, Rio Rancho 87124 · 505-253-7878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UNM Sandoval Regional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3001 Broadmoor Blvd NE, Rio Rancho 87144 · 505-994-7000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ClearSky Rehabilitation Hospital of Rio Rancho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2401 Westside Blvd SE, Rio Rancho 87124 · 505-295-6358</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Rio Rancho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4210 Sabana Grande Ave SE, Rio Rancho 87124 · 505-892-6603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Suites Rio Vista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2410 19th St SE #1A, Rio Rancho 87124 · 505-452-4200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Avamere at Rio Rancho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1000 Riverview Dr SE, Rio Rancho 87124 · 505-892-8400</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Rio Grande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4100 Osuna Rd NE Ste 105, Albuquerque 87109 · 505-917-1658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High Desert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8920 Adams St B, Albuquerque 87113 · 505-585-2603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Hospice De La Luz</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3812 Academy Pkwy N NE, Albuquerque 87109 · 505-217-2490</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Fairwinds — Rio Rancho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920 Riverview Dr SE, Rio Rancho 87124 · 505-896-3000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Rio Grande Gracious Retirement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2331 Westside Blvd SE, Rio Rancho 87124 · 505-994-2800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Casita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5141 Georgia Pl NE, Rio Rancho 87144 · 505-525-2568</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Daniels Family Funerals — Southern Chapel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2400 Southern Blvd SE, Rio Rancho 87124 · 505-891-9192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Daniels Family Funerals — Sara Rd Chapel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4310 Sara Rd, Rio Rancho 87124 · 505-892-9920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French Funerals &amp; Cremations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1275 Unser Blvd NE, Rio Rancho 87144 · 505-338-2000</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Lovato Law,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2320 Grande Blvd SE Ste D, Rio Rancho 87124 · 505-738-3777</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Torres Law Firm</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1453 Rio Rancho Blvd SE, Rio Rancho 87124 · 505-221-6709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Rio Rancho Law Offices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4001 Barbara Loop SE, Rio Rancho 87124 · 505-892-2200</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&amp; Disability Resource Center (care-management hub)</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1-800-432-2080 · nmaging.state.nm.us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Living Advisors (serves statewide)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505-289-1910 · serves the Rio Rancho area</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Three — Worksheets &amp; Tracker  </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as a weekly habit. Copy them, fill them in, and keep them where you’ll see them.</w:t>
      </w:r>
    </w:p>
    <w:p>
      <w:pPr>
        <w:pStyle w:val="Normal"/>
        <w:shd w:val="clear" w:color="auto" w:fill="1F3A5F"/>
        <w:spacing w:before="4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My Target List  </w:t>
      </w:r>
    </w:p>
    <w:p>
      <w:pPr>
        <w:pStyle w:val="Normal"/>
        <w:spacing w:lineRule="exact" w:line="268" w:before="60" w:after="120"/>
        <w:jc w:val="start"/>
        <w:rPr/>
      </w:pPr>
      <w:r>
        <w:rPr>
          <w:rFonts w:eastAsia="Calibri" w:cs="Calibri"/>
          <w:b w:val="false"/>
          <w:bCs w:val="false"/>
          <w:i/>
          <w:iCs/>
          <w:color w:val="555555"/>
          <w:sz w:val="19"/>
          <w:szCs w:val="19"/>
        </w:rPr>
        <w:t>List the referral sources in your service area you plan to build relationships with (use Part Two to fill this in).</w:t>
      </w:r>
    </w:p>
    <w:tbl>
      <w:tblPr>
        <w:tblW w:w="9360" w:type="dxa"/>
        <w:jc w:val="start"/>
        <w:tblInd w:w="0" w:type="dxa"/>
        <w:tblLayout w:type="fixed"/>
        <w:tblCellMar>
          <w:top w:w="45" w:type="dxa"/>
          <w:start w:w="80" w:type="dxa"/>
          <w:bottom w:w="45" w:type="dxa"/>
          <w:end w:w="80" w:type="dxa"/>
        </w:tblCellMar>
      </w:tblPr>
      <w:tblGrid>
        <w:gridCol w:w="2507"/>
        <w:gridCol w:w="1567"/>
        <w:gridCol w:w="2089"/>
        <w:gridCol w:w="1567"/>
        <w:gridCol w:w="1630"/>
      </w:tblGrid>
      <w:tr>
        <w:trPr>
          <w:tblHeader w:val="true"/>
        </w:trPr>
        <w:tc>
          <w:tcPr>
            <w:tcW w:w="250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Organization</w:t>
            </w:r>
          </w:p>
        </w:tc>
        <w:tc>
          <w:tcPr>
            <w:tcW w:w="156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Type</w:t>
            </w:r>
          </w:p>
        </w:tc>
        <w:tc>
          <w:tcPr>
            <w:tcW w:w="208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Contact / role</w:t>
            </w:r>
          </w:p>
        </w:tc>
        <w:tc>
          <w:tcPr>
            <w:tcW w:w="156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Phone</w:t>
            </w:r>
          </w:p>
        </w:tc>
        <w:tc>
          <w:tcPr>
            <w:tcW w:w="163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Status</w:t>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8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6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3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Weekly Outreach Tracker  </w:t>
      </w:r>
    </w:p>
    <w:p>
      <w:pPr>
        <w:pStyle w:val="Normal"/>
        <w:spacing w:lineRule="exact" w:line="268" w:before="60" w:after="120"/>
        <w:jc w:val="start"/>
        <w:rPr/>
      </w:pPr>
      <w:r>
        <w:rPr>
          <w:rFonts w:eastAsia="Calibri" w:cs="Calibri"/>
          <w:b w:val="false"/>
          <w:bCs w:val="false"/>
          <w:i/>
          <w:iCs/>
          <w:color w:val="555555"/>
          <w:sz w:val="19"/>
          <w:szCs w:val="19"/>
        </w:rPr>
        <w:t>Aim for a set number of touches each week — calls, visits, follow-ups. Track them here.</w:t>
      </w:r>
    </w:p>
    <w:tbl>
      <w:tblPr>
        <w:tblW w:w="9360" w:type="dxa"/>
        <w:jc w:val="start"/>
        <w:tblInd w:w="0" w:type="dxa"/>
        <w:tblLayout w:type="fixed"/>
        <w:tblCellMar>
          <w:top w:w="45" w:type="dxa"/>
          <w:start w:w="80" w:type="dxa"/>
          <w:bottom w:w="45" w:type="dxa"/>
          <w:end w:w="80" w:type="dxa"/>
        </w:tblCellMar>
      </w:tblPr>
      <w:tblGrid>
        <w:gridCol w:w="1286"/>
        <w:gridCol w:w="2374"/>
        <w:gridCol w:w="1979"/>
        <w:gridCol w:w="2177"/>
        <w:gridCol w:w="1544"/>
      </w:tblGrid>
      <w:tr>
        <w:trPr>
          <w:tblHeader w:val="true"/>
        </w:trPr>
        <w:tc>
          <w:tcPr>
            <w:tcW w:w="128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37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Organization</w:t>
            </w:r>
          </w:p>
        </w:tc>
        <w:tc>
          <w:tcPr>
            <w:tcW w:w="197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Who I spoke with</w:t>
            </w:r>
          </w:p>
        </w:tc>
        <w:tc>
          <w:tcPr>
            <w:tcW w:w="217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I said / left</w:t>
            </w:r>
          </w:p>
        </w:tc>
        <w:tc>
          <w:tcPr>
            <w:tcW w:w="154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Follow-up date</w:t>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28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7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7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77"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4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Relationship Notes  </w:t>
      </w:r>
    </w:p>
    <w:p>
      <w:pPr>
        <w:pStyle w:val="Normal"/>
        <w:spacing w:lineRule="exact" w:line="268" w:before="60" w:after="120"/>
        <w:jc w:val="start"/>
        <w:rPr/>
      </w:pPr>
      <w:r>
        <w:rPr>
          <w:rFonts w:eastAsia="Calibri" w:cs="Calibri"/>
          <w:b w:val="false"/>
          <w:bCs w:val="false"/>
          <w:i/>
          <w:iCs/>
          <w:color w:val="555555"/>
          <w:sz w:val="19"/>
          <w:szCs w:val="19"/>
        </w:rPr>
        <w:t>What does each key referrer need from a provider? What frustrates them about their current ones? Their answer is your playbook.</w:t>
      </w:r>
    </w:p>
    <w:tbl>
      <w:tblPr>
        <w:tblW w:w="9360" w:type="dxa"/>
        <w:jc w:val="start"/>
        <w:tblInd w:w="0" w:type="dxa"/>
        <w:tblLayout w:type="fixed"/>
        <w:tblCellMar>
          <w:top w:w="45" w:type="dxa"/>
          <w:start w:w="80" w:type="dxa"/>
          <w:bottom w:w="45" w:type="dxa"/>
          <w:end w:w="80" w:type="dxa"/>
        </w:tblCellMar>
      </w:tblPr>
      <w:tblGrid>
        <w:gridCol w:w="2199"/>
        <w:gridCol w:w="2401"/>
        <w:gridCol w:w="2400"/>
        <w:gridCol w:w="2359"/>
      </w:tblGrid>
      <w:tr>
        <w:trPr>
          <w:tblHeader w:val="true"/>
        </w:trPr>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Organization</w:t>
            </w:r>
          </w:p>
        </w:tc>
        <w:tc>
          <w:tcPr>
            <w:tcW w:w="24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they need</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frustrates them</w:t>
            </w:r>
          </w:p>
        </w:tc>
        <w:tc>
          <w:tcPr>
            <w:tcW w:w="23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My edge / next step</w:t>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Referral Results Log  </w:t>
      </w:r>
    </w:p>
    <w:p>
      <w:pPr>
        <w:pStyle w:val="Normal"/>
        <w:spacing w:lineRule="exact" w:line="268" w:before="60" w:after="120"/>
        <w:jc w:val="start"/>
        <w:rPr/>
      </w:pPr>
      <w:r>
        <w:rPr>
          <w:rFonts w:eastAsia="Calibri" w:cs="Calibri"/>
          <w:b w:val="false"/>
          <w:bCs w:val="false"/>
          <w:i/>
          <w:iCs/>
          <w:color w:val="555555"/>
          <w:sz w:val="19"/>
          <w:szCs w:val="19"/>
        </w:rPr>
        <w:t>Track which relationships actually produce referrals, so you invest where it works.</w:t>
      </w:r>
    </w:p>
    <w:tbl>
      <w:tblPr>
        <w:tblW w:w="9360" w:type="dxa"/>
        <w:jc w:val="start"/>
        <w:tblInd w:w="0" w:type="dxa"/>
        <w:tblLayout w:type="fixed"/>
        <w:tblCellMar>
          <w:top w:w="45" w:type="dxa"/>
          <w:start w:w="80" w:type="dxa"/>
          <w:bottom w:w="45" w:type="dxa"/>
          <w:end w:w="80" w:type="dxa"/>
        </w:tblCellMar>
      </w:tblPr>
      <w:tblGrid>
        <w:gridCol w:w="1484"/>
        <w:gridCol w:w="2869"/>
        <w:gridCol w:w="2870"/>
        <w:gridCol w:w="2136"/>
      </w:tblGrid>
      <w:tr>
        <w:trPr>
          <w:tblHeader w:val="true"/>
        </w:trPr>
        <w:tc>
          <w:tcPr>
            <w:tcW w:w="14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86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Referral source</w:t>
            </w:r>
          </w:p>
        </w:tc>
        <w:tc>
          <w:tcPr>
            <w:tcW w:w="287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Client / outcome</w:t>
            </w:r>
          </w:p>
        </w:tc>
        <w:tc>
          <w:tcPr>
            <w:tcW w:w="213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Thank-you sent?</w:t>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484"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6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87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36"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pBdr>
          <w:bottom w:val="single" w:sz="8" w:space="1" w:color="9DB1C7"/>
        </w:pBdr>
        <w:spacing w:before="0" w:after="120"/>
        <w:rPr/>
      </w:pPr>
      <w:r>
        <w:rPr/>
      </w:r>
    </w:p>
    <w:p>
      <w:pPr>
        <w:pStyle w:val="Normal"/>
        <w:spacing w:lineRule="exact" w:line="268" w:before="0" w:after="90"/>
        <w:jc w:val="center"/>
        <w:rPr/>
      </w:pPr>
      <w:r>
        <w:rPr>
          <w:rFonts w:eastAsia="Calibri" w:cs="Calibri"/>
          <w:b w:val="false"/>
          <w:bCs w:val="false"/>
          <w:i/>
          <w:iCs/>
          <w:color w:val="555555"/>
          <w:sz w:val="17"/>
          <w:szCs w:val="17"/>
        </w:rPr>
        <w:t>PolicyReady.org — The Referral System (New Mexico Edition). General business guidance, not legal advice. Verify every contact before you rely on it, and follow all applicable anti-kickback and referral laws.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Referral System — New Mexico Edition  —  PolicyReady.org  —  Page </w:t>
    </w:r>
    <w:r>
      <w:rPr/>
      <w:fldChar w:fldCharType="begin"/>
    </w:r>
    <w:r>
      <w:rPr/>
      <w:instrText xml:space="preserve"> PAGE </w:instrText>
    </w:r>
    <w:r>
      <w:rPr/>
      <w:fldChar w:fldCharType="separate"/>
    </w:r>
    <w:r>
      <w:rPr/>
      <w:t>17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Referral System — New Mexico Edition  —  PolicyReady.org  —  Page </w:t>
    </w:r>
    <w:r>
      <w:rPr/>
      <w:fldChar w:fldCharType="begin"/>
    </w:r>
    <w:r>
      <w:rPr/>
      <w:instrText xml:space="preserve"> PAGE </w:instrText>
    </w:r>
    <w:r>
      <w:rPr/>
      <w:fldChar w:fldCharType="separate"/>
    </w:r>
    <w:r>
      <w:rPr/>
      <w:t>17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2026-07-12T03:36:04Z</dcterms:created>
  <dc:creator>PolicyReady.org</dc:creator>
  <dc:description/>
  <dc:language>en-US</dc:language>
  <cp:lastModifiedBy>Un-named</cp:lastModifiedBy>
  <dcterms:modified xsi:type="dcterms:W3CDTF">2026-07-12T03:36:04Z</dcterms:modified>
  <cp:revision>1</cp:revision>
  <dc:subject/>
  <dc:title>The Referral System — New Mexico Edition</dc:title>
</cp:coreProperties>
</file>