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Brain Injury Referral System</w:t>
            </w:r>
          </w:p>
          <w:p>
            <w:pPr>
              <w:pStyle w:val="Normal"/>
              <w:spacing w:before="0" w:after="0"/>
              <w:jc w:val="center"/>
              <w:rPr/>
            </w:pPr>
            <w:r>
              <w:rPr>
                <w:rFonts w:eastAsia="Calibri" w:cs="Calibri"/>
                <w:b/>
                <w:bCs/>
                <w:i w:val="false"/>
                <w:iCs w:val="false"/>
                <w:color w:val="FFFFFF"/>
                <w:sz w:val="34"/>
                <w:szCs w:val="34"/>
              </w:rPr>
              <w:t>Ohio Edition</w:t>
            </w:r>
          </w:p>
        </w:tc>
      </w:tr>
    </w:tbl>
    <w:p>
      <w:pPr>
        <w:pStyle w:val="Normal"/>
        <w:spacing w:lineRule="exact" w:line="268" w:before="0" w:after="60"/>
        <w:jc w:val="center"/>
        <w:rPr/>
      </w:pPr>
      <w:r>
        <w:rPr>
          <w:rFonts w:eastAsia="Calibri" w:cs="Calibri"/>
          <w:b w:val="false"/>
          <w:bCs w:val="false"/>
          <w:i/>
          <w:iCs/>
          <w:color w:val="3E5871"/>
          <w:sz w:val="22"/>
          <w:szCs w:val="22"/>
        </w:rPr>
        <w:t>How a Ohio brain injury residential provider builds a steady stream of member placements — the strategy, a verified directory of Ohio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brain injury placement is different — read this first</w:t>
            </w:r>
          </w:p>
          <w:p>
            <w:pPr>
              <w:pStyle w:val="Normal"/>
              <w:spacing w:lineRule="exact" w:line="264" w:before="0" w:after="0"/>
              <w:rPr/>
            </w:pPr>
            <w:r>
              <w:rPr>
                <w:rFonts w:eastAsia="Calibri" w:cs="Calibri"/>
                <w:b/>
                <w:bCs/>
                <w:i w:val="false"/>
                <w:iCs w:val="false"/>
                <w:color w:val="1A1A1A"/>
                <w:sz w:val="19"/>
                <w:szCs w:val="19"/>
              </w:rPr>
              <w:t xml:space="preserve">Members do not walk in off the street, and they are not private-pay clients you market to. </w:t>
            </w:r>
            <w:r>
              <w:rPr>
                <w:rFonts w:eastAsia="Calibri" w:cs="Calibri"/>
                <w:b w:val="false"/>
                <w:bCs w:val="false"/>
                <w:i w:val="false"/>
                <w:iCs w:val="false"/>
                <w:color w:val="1A1A1A"/>
                <w:sz w:val="19"/>
                <w:szCs w:val="19"/>
              </w:rPr>
              <w:t>An Ohio brain injury residential home — a Residential Care Facility (RCF) — fills its beds mainly through the Ohio Assisted Living Waiver, the Medicaid waiver that pays for care in a licensed RCF. Members are assessed, authorized, and placed by the Area Agencies on Aging (the PASSPORT Administrative Agencies that run waiver case management), and in the state’s MyCare counties by MyCare Ohio managed-care plans. They arrive from hospitals and neuro-rehabilitation programs as they transition to the community. So your “referral” work is really placement work: get certified and enrolled, get onto the Area Agencies on Aging’ radar as a reliable RCF, build relationships with the rehab and hospital discharge teams who see brain injury survivors first, and be visible to the state brain injury network that families and professionals turn to. This system shows you exactly who those sources are in Ohio, what each of them wants, how to reach them, and how to keep the relationships warm — all within the legal line on referrals.</w:t>
            </w:r>
          </w:p>
        </w:tc>
      </w:tr>
    </w:tbl>
    <w:p>
      <w:pPr>
        <w:pStyle w:val="Normal"/>
        <w:keepNext w:val="true"/>
        <w:spacing w:before="220" w:after="90"/>
        <w:rPr/>
      </w:pPr>
      <w:r>
        <w:rPr>
          <w:rFonts w:eastAsia="Calibri" w:cs="Calibri"/>
          <w:b/>
          <w:bCs/>
          <w:i w:val="false"/>
          <w:iCs w:val="false"/>
          <w:color w:val="1F3A5F"/>
          <w:sz w:val="26"/>
          <w:szCs w:val="26"/>
        </w:rPr>
        <w:t>Part One — The Playbook: How to Earn Placements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brain injury residential providers actually fill beds in Ohio: by being certified, being known, and being reliable. Read it once start to finish, then use it as a checklist. Everything here is general educational information for Ohio providers — not legal advice; verify programs, contacts, and the anti-kickback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certified and enrolled so members can be placed with you (your RCF license and Medicaid enrollment). Identify the sources that put brain injury members in front of you — the Area Agencies on Aging that authorize and refer, the hospital and neuro-rehabilitation discharge teams they transition from, and the state brain injury network (the Ohio Brain Injury Program and the Brain Injury Association of Ohio) that families and professionals trust. Learn what each one needs, reach out and meet them with a clear message about the members you serve well, and then deliver so reliably that they place with you again. Get found online and in the Brain Injury Association of Ohio directory, run a steady weekly rhythm, track where your placements actually come from, and stay inside the legal line — you earn placements through reliability and relationships,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placeable. </w:t>
      </w:r>
      <w:r>
        <w:rPr>
          <w:rFonts w:eastAsia="Calibri" w:cs="Calibri"/>
          <w:b w:val="false"/>
          <w:bCs w:val="false"/>
          <w:i w:val="false"/>
          <w:iCs w:val="false"/>
          <w:color w:val="1A1A1A"/>
          <w:sz w:val="20"/>
          <w:szCs w:val="20"/>
        </w:rPr>
        <w:t>Hold your Residential Care Facility (RCF) license and be enrolled as an Ohio Medicaid provider so an Area Agency on Aging can authorize services for a member placed with you.</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Area Agencies on Aging for your region, the neuro-rehab and hospital discharge teams, and the state brain injury network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onto the Area Agencies on Aging’ provider radar and into the Brain Injury Association of Ohio directory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the members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Reliability and updates are what earn the next placement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Online presence and the brain injury directories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Placements Are Your Census Engine</w:t>
      </w:r>
    </w:p>
    <w:p>
      <w:pPr>
        <w:pStyle w:val="Normal"/>
        <w:spacing w:lineRule="exact" w:line="268" w:before="0" w:after="110"/>
        <w:jc w:val="start"/>
        <w:rPr/>
      </w:pPr>
      <w:r>
        <w:rPr>
          <w:rFonts w:eastAsia="Calibri" w:cs="Calibri"/>
          <w:b w:val="false"/>
          <w:bCs w:val="false"/>
          <w:i w:val="false"/>
          <w:iCs w:val="false"/>
          <w:color w:val="1A1A1A"/>
          <w:sz w:val="20"/>
          <w:szCs w:val="20"/>
        </w:rPr>
        <w:t>An empty bed earns nothing, and in a brain injury home your beds fill one way: an Area Agency on Aging authorizes an Assisted Living Waiver member and refers them to a licensed RCF that can meet their needs. That makes your relationships with the people who authorize and refer members the single most important driver of your revenue —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people who place a member with you are staking their own professional judgment on you. An Area Agency on Aging, a hospital discharge planner, or a neuro-rehab social worker is trusting you with a vulnerable person who has complex cognitive, behavioral, and medical needs. When you are reliable, communicate well, and make them look good to the member and family, they place with you again. When you are not,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census; you earn it by being the RCF the referring professionals trust with their hardest placements.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Area Agency on Aging that trusts you can place several members with you over a year, and each member is a daily per-diem that continues for months or years. That means one strong referral relationship can be worth more than any marketing budget you could spend — and it costs you time and reliability, not money. This is why the providers who win in brain injury residential care are rarely the ones with the flashiest websites; they are the ones the case managers and discharge planners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Members</w:t>
      </w:r>
    </w:p>
    <w:p>
      <w:pPr>
        <w:pStyle w:val="Normal"/>
        <w:spacing w:lineRule="exact" w:line="268" w:before="0" w:after="110"/>
        <w:jc w:val="start"/>
        <w:rPr/>
      </w:pPr>
      <w:r>
        <w:rPr>
          <w:rFonts w:eastAsia="Calibri" w:cs="Calibri"/>
          <w:b w:val="false"/>
          <w:bCs w:val="false"/>
          <w:i w:val="false"/>
          <w:iCs w:val="false"/>
          <w:color w:val="1A1A1A"/>
          <w:sz w:val="20"/>
          <w:szCs w:val="20"/>
        </w:rPr>
        <w:t>Here is the Ohio landscape of who puts brain injury members in front of a licensed RCF. Not all of these carry the same weight — the Area Agencies on Aging and the discharge teams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Area Agencies on Aging (PASSPORT Administrative Agencies) — usually the biggest. </w:t>
      </w:r>
      <w:r>
        <w:rPr>
          <w:rFonts w:eastAsia="Calibri" w:cs="Calibri"/>
          <w:b w:val="false"/>
          <w:bCs w:val="false"/>
          <w:i w:val="false"/>
          <w:iCs w:val="false"/>
          <w:color w:val="1A1A1A"/>
          <w:sz w:val="20"/>
          <w:szCs w:val="20"/>
        </w:rPr>
        <w:t>They run Assisted Living Waiver case management: they assess level of care (NFLOC), authorize services, and refer members to licensed RCFs. Getting onto your regional Area Agency on Aging’s radar as a reliable RCF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MyCare Ohio managed-care plans. </w:t>
      </w:r>
      <w:r>
        <w:rPr>
          <w:rFonts w:eastAsia="Calibri" w:cs="Calibri"/>
          <w:b w:val="false"/>
          <w:bCs w:val="false"/>
          <w:i w:val="false"/>
          <w:iCs w:val="false"/>
          <w:color w:val="1A1A1A"/>
          <w:sz w:val="20"/>
          <w:szCs w:val="20"/>
        </w:rPr>
        <w:t>In Ohio’s MyCare counties, dual-eligible members are served by MyCare plans (Aetna, Buckeye, CareSource, Molina, UnitedHealthcare) whose care managers authorize and place. Know the plans operating in your region.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 &amp; neuro-rehabilitation discharge. </w:t>
      </w:r>
      <w:r>
        <w:rPr>
          <w:rFonts w:eastAsia="Calibri" w:cs="Calibri"/>
          <w:b w:val="false"/>
          <w:bCs w:val="false"/>
          <w:i w:val="false"/>
          <w:iCs w:val="false"/>
          <w:color w:val="1A1A1A"/>
          <w:sz w:val="20"/>
          <w:szCs w:val="20"/>
        </w:rPr>
        <w:t>Brain injury survivors move from trauma centers and inpatient neuro-rehabilitation (for example, MetroHealth Rehabilitation Institute and hospital rehab units) toward the community; their case managers and social workers help steer where a member lands.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state brain injury network. </w:t>
      </w:r>
      <w:r>
        <w:rPr>
          <w:rFonts w:eastAsia="Calibri" w:cs="Calibri"/>
          <w:b w:val="false"/>
          <w:bCs w:val="false"/>
          <w:i w:val="false"/>
          <w:iCs w:val="false"/>
          <w:color w:val="1A1A1A"/>
          <w:sz w:val="20"/>
          <w:szCs w:val="20"/>
        </w:rPr>
        <w:t>the Ohio Brain Injury Program (Ohio’s lead state agency on brain injury) and the Brain Injury Association of Ohio navigate survivors, families, and professionals to resources and providers.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Neurology, physiatry &amp; TBI clinics. </w:t>
      </w:r>
      <w:r>
        <w:rPr>
          <w:rFonts w:eastAsia="Calibri" w:cs="Calibri"/>
          <w:b w:val="false"/>
          <w:bCs w:val="false"/>
          <w:i w:val="false"/>
          <w:iCs w:val="false"/>
          <w:color w:val="1A1A1A"/>
          <w:sz w:val="20"/>
          <w:szCs w:val="20"/>
        </w:rPr>
        <w:t>The clinicians who follow brain injury patients and are asked “where can my patient live safely?”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brain injury providers. </w:t>
      </w:r>
      <w:r>
        <w:rPr>
          <w:rFonts w:eastAsia="Calibri" w:cs="Calibri"/>
          <w:b w:val="false"/>
          <w:bCs w:val="false"/>
          <w:i w:val="false"/>
          <w:iCs w:val="false"/>
          <w:color w:val="1A1A1A"/>
          <w:sz w:val="20"/>
          <w:szCs w:val="20"/>
        </w:rPr>
        <w:t>Independent-living-skills trainers, day programs, and transition programs are two-way partners — they serve members who may need residential care, and vice versa.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guardians &amp; past members. </w:t>
      </w:r>
      <w:r>
        <w:rPr>
          <w:rFonts w:eastAsia="Calibri" w:cs="Calibri"/>
          <w:b w:val="false"/>
          <w:bCs w:val="false"/>
          <w:i w:val="false"/>
          <w:iCs w:val="false"/>
          <w:color w:val="1A1A1A"/>
          <w:sz w:val="20"/>
          <w:szCs w:val="20"/>
        </w:rPr>
        <w:t>The warmest source of all — families talk to other families, and a member you served well is your best reference.</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home, the order that matters is simple: first, the Area Agencies on Aging that serve your region, because they are the ones who actually authorize and place members; second, the neuro-rehabilitation programs and hospital discharge teams where members are found before they reach the community; and third, the state brain injury network and the clinics and organizations that families turn to. Get deep with the first group before you spread thin across the rest. A handful of strong case manager and discharge relationships will fill more beds than a hundred cold introductions.</w:t>
      </w:r>
    </w:p>
    <w:p>
      <w:pPr>
        <w:pStyle w:val="Normal"/>
        <w:keepNext w:val="true"/>
        <w:spacing w:before="220" w:after="90"/>
        <w:rPr/>
      </w:pPr>
      <w:r>
        <w:rPr>
          <w:rFonts w:eastAsia="Calibri" w:cs="Calibri"/>
          <w:b/>
          <w:bCs/>
          <w:i w:val="false"/>
          <w:iCs w:val="false"/>
          <w:color w:val="1F3A5F"/>
          <w:sz w:val="26"/>
          <w:szCs w:val="26"/>
        </w:rPr>
        <w:t>Part 3 — The Placement Pipeline: Getting Into It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placements through relationships. This part is about the formal pipeline you must be in first, and the legal line you must never cross.</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certified and enrolled. </w:t>
      </w:r>
      <w:r>
        <w:rPr>
          <w:rFonts w:eastAsia="Calibri" w:cs="Calibri"/>
          <w:b w:val="false"/>
          <w:bCs w:val="false"/>
          <w:i w:val="false"/>
          <w:iCs w:val="false"/>
          <w:color w:val="1A1A1A"/>
          <w:sz w:val="20"/>
          <w:szCs w:val="20"/>
        </w:rPr>
        <w:t>Hold your Residential Care Facility license (O.A.C. 3701-16) and be enrolled as an Ohio Medicaid provider — a licensed home is what lets a member be placed and the Assisted Living Waiver services authorized. For Assisted Living Waiver–funded members, get known to the Area Agencies on Aging.</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Get onto the Area Agencies on Aging’ provider radar. </w:t>
      </w:r>
      <w:r>
        <w:rPr>
          <w:rFonts w:eastAsia="Calibri" w:cs="Calibri"/>
          <w:b w:val="false"/>
          <w:bCs w:val="false"/>
          <w:i w:val="false"/>
          <w:iCs w:val="false"/>
          <w:color w:val="1A1A1A"/>
          <w:sz w:val="20"/>
          <w:szCs w:val="20"/>
        </w:rPr>
        <w:t>Identify the case managers serving your region, introduce your home and the members you serve well, and make it easy for them to place with you.</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Brain Injury Association of Ohio directory. </w:t>
      </w:r>
      <w:r>
        <w:rPr>
          <w:rFonts w:eastAsia="Calibri" w:cs="Calibri"/>
          <w:b w:val="false"/>
          <w:bCs w:val="false"/>
          <w:i w:val="false"/>
          <w:iCs w:val="false"/>
          <w:color w:val="1A1A1A"/>
          <w:sz w:val="20"/>
          <w:szCs w:val="20"/>
        </w:rPr>
        <w:t>Families and professionals use it to find providers; be listed and keep your listing current.</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discharge and rehab teams. </w:t>
      </w:r>
      <w:r>
        <w:rPr>
          <w:rFonts w:eastAsia="Calibri" w:cs="Calibri"/>
          <w:b w:val="false"/>
          <w:bCs w:val="false"/>
          <w:i w:val="false"/>
          <w:iCs w:val="false"/>
          <w:color w:val="1A1A1A"/>
          <w:sz w:val="20"/>
          <w:szCs w:val="20"/>
        </w:rPr>
        <w:t>Be known to the hospital and neuro-rehab social workers and case managers who help members transition.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the rest of this playbook — reliability, communication, and being a genuine resource — is what earns the placements.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you earn placements, you never buy them</w:t>
            </w:r>
          </w:p>
          <w:p>
            <w:pPr>
              <w:pStyle w:val="Normal"/>
              <w:spacing w:lineRule="exact" w:line="264" w:before="0" w:after="0"/>
              <w:rPr/>
            </w:pPr>
            <w:r>
              <w:rPr>
                <w:rFonts w:eastAsia="Calibri" w:cs="Calibri"/>
                <w:b w:val="false"/>
                <w:bCs w:val="false"/>
                <w:i w:val="false"/>
                <w:iCs w:val="false"/>
                <w:color w:val="1A1A1A"/>
                <w:sz w:val="19"/>
                <w:szCs w:val="19"/>
              </w:rPr>
              <w:t>One rule sits above all the rest: you may not pay for referrals of Medicaid-funded members, and you may not offer or accept anything of value in exchange for a referral. The federal Anti-Kickback Statute and Ohio law apply squarely to waiver-funded residential services. What you can do: market legitimately (a website, listings, and educational materials); employ a genuine business-development person on a real salary; educate and build relationships by being a real resource; pay fair-market value for actual, documented services under a written agreement (never for referrals); and thank referrers appropriately — gratitude, not a fee. Be careful with any “lead service” that offers to sell you member referrals. When in doubt, get qualified legal advice before you sign anything.</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rPr/>
      </w:pPr>
      <w:r>
        <w:rPr/>
      </w:r>
      <w:r>
        <w:br w:type="page"/>
      </w:r>
    </w:p>
    <w:p>
      <w:pPr>
        <w:pStyle w:val="Normal"/>
        <w:spacing w:lineRule="exact" w:line="268" w:before="0" w:after="110"/>
        <w:jc w:val="start"/>
        <w:rPr/>
      </w:pPr>
      <w:r>
        <w:rPr>
          <w:rFonts w:eastAsia="Calibri" w:cs="Calibri"/>
          <w:b w:val="false"/>
          <w:bCs w:val="false"/>
          <w:i w:val="false"/>
          <w:iCs w:val="false"/>
          <w:color w:val="1A1A1A"/>
          <w:sz w:val="20"/>
          <w:szCs w:val="20"/>
        </w:rPr>
        <w:t>You win placements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Case managers want reliability and communication. </w:t>
      </w:r>
      <w:r>
        <w:rPr>
          <w:rFonts w:eastAsia="Calibri" w:cs="Calibri"/>
          <w:b w:val="false"/>
          <w:bCs w:val="false"/>
          <w:i w:val="false"/>
          <w:iCs w:val="false"/>
          <w:color w:val="1A1A1A"/>
          <w:sz w:val="20"/>
          <w:szCs w:val="20"/>
        </w:rPr>
        <w:t>They have staked their judgment on you and must document that the member is safe and served. They want a provider who accepts the referral, answers the phone, gives updates, and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Discharge planners &amp; rehab social workers want a safe, willing placement. </w:t>
      </w:r>
      <w:r>
        <w:rPr>
          <w:rFonts w:eastAsia="Calibri" w:cs="Calibri"/>
          <w:b w:val="false"/>
          <w:bCs w:val="false"/>
          <w:i w:val="false"/>
          <w:iCs w:val="false"/>
          <w:color w:val="1A1A1A"/>
          <w:sz w:val="20"/>
          <w:szCs w:val="20"/>
        </w:rPr>
        <w:t>They need a home that will accept a member with real complexity — behavioral, cognitive, medical — and get them settled without a bounce-back.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Neurology &amp; physiatry clinics want their patient cared for. </w:t>
      </w:r>
      <w:r>
        <w:rPr>
          <w:rFonts w:eastAsia="Calibri" w:cs="Calibri"/>
          <w:b w:val="false"/>
          <w:bCs w:val="false"/>
          <w:i w:val="false"/>
          <w:iCs w:val="false"/>
          <w:color w:val="1A1A1A"/>
          <w:sz w:val="20"/>
          <w:szCs w:val="20"/>
        </w:rPr>
        <w:t>Low-hassle, trustworthy, and communicative — they want to know their patient is safe and that you will keep them informed.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state brain injury network wants quality and fit. </w:t>
      </w:r>
      <w:r>
        <w:rPr>
          <w:rFonts w:eastAsia="Calibri" w:cs="Calibri"/>
          <w:b w:val="false"/>
          <w:bCs w:val="false"/>
          <w:i w:val="false"/>
          <w:iCs w:val="false"/>
          <w:color w:val="1A1A1A"/>
          <w:sz w:val="20"/>
          <w:szCs w:val="20"/>
        </w:rPr>
        <w:t>the Ohio Brain Injury Program and the Brain Injury Association of Ohio refer to providers who deliver genuine, person-centered brain injury care.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&amp; guardians want trust. </w:t>
      </w:r>
      <w:r>
        <w:rPr>
          <w:rFonts w:eastAsia="Calibri" w:cs="Calibri"/>
          <w:b w:val="false"/>
          <w:bCs w:val="false"/>
          <w:i w:val="false"/>
          <w:iCs w:val="false"/>
          <w:color w:val="1A1A1A"/>
          <w:sz w:val="20"/>
          <w:szCs w:val="20"/>
        </w:rPr>
        <w:t>Warmth, competence, and the felt sense that their loved one is safe, respected, and progressing.</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case manager measured on timely placements and safe outcomes does not want a sales pitch — they want to know you will accept the referral, keep the member safe, and make their job easier.</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case manager has a member ready to leave a hospital or rehab and needs a residential placement, they are under time pressure, safety pressure, and documentation pressure all at once: the member cannot stay where they are, the placement has to be safe, and the case manager has to justify the decision. If you are the provider who answers the phone, gives a clear yes, accepts a member with real complexity, and communicates well after admission, you have removed all three pressures at once. That is why reliability beats marketing every time in this field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regional Area Agencies on Aging and the neuro-rehab discharge teams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which case managers serve your region and which hospitals and rehab programs discharge brain injury members near you.</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the members you serve well, your certification, and your reliability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and how quickly you respond to a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placement.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spacing w:lineRule="exact" w:line="268" w:before="0" w:after="110"/>
        <w:jc w:val="start"/>
        <w:rPr/>
      </w:pPr>
      <w:r>
        <w:rPr>
          <w:rFonts w:eastAsia="Calibri" w:cs="Calibri"/>
          <w:b w:val="false"/>
          <w:bCs w:val="false"/>
          <w:i w:val="false"/>
          <w:iCs w:val="false"/>
          <w:color w:val="1A1A1A"/>
          <w:sz w:val="20"/>
          <w:szCs w:val="20"/>
        </w:rPr>
        <w:t>A useful way to think about outreach: you are not asking for a favor, you are offering to solve a recurring problem. Case managers and discharge planners constantly need safe, willing placements for complex brain injury members, and good options are genuinely scarce. When you present yourself as a reliable solution to that problem — clear about who you serve, fast to respond, and easy to work with — you are giving them something valuable, not asking for something. That framing changes how you show up, and professionals feel the difference.</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[home name], a licensed Residential Care Facility for adults with brain injury in [area]. We provide 24-hour support — independent-living skills, behavioral support, medication management, and cognitive supports — and we accept referrals from Area Agencies on Aging. I’d love to be a resource when you have a member who needs a residential placement. What’s the best way to reach you?”</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case manager or discharge planner can keep: your home’s name and location; that you are a licensed Residential Care Facility serving adults with brain injury; the members you serve well (care levels, behavioral and cognitive needs, any specialties); your capacity and current availability; your intake contact and how fast you respond to a referral; and one line on what makes your home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[home name], a licensed Residential Care Facility for adults with brain injury in [area]. We provide 24-hour residential support and currently have availability for [level/needs]. I know you occasionally need a reliable placement for a member transitioning to the community, and I’d like to be a resource. I’ve attached a one-page summary of who we serve and how to reach us for a referral. Would a brief call be helpful? Thank you for the work you do for these members.”</w:t>
      </w:r>
    </w:p>
    <w:p>
      <w:pPr>
        <w:pStyle w:val="Normal"/>
        <w:spacing w:lineRule="exact" w:line="268" w:before="0" w:after="110"/>
        <w:jc w:val="start"/>
        <w:rPr/>
      </w:pPr>
      <w:r>
        <w:rPr>
          <w:rFonts w:eastAsia="Calibri" w:cs="Calibri"/>
          <w:b w:val="false"/>
          <w:bCs w:val="false"/>
          <w:i w:val="false"/>
          <w:iCs w:val="false"/>
          <w:color w:val="1A1A1A"/>
          <w:sz w:val="20"/>
          <w:szCs w:val="20"/>
        </w:rPr>
        <w:t>Keep every message short, specific, and about the member — not about you. The goal of a first message is not to win a placement; it is to become a name the professional recognizes and trusts enough to call when the right member comes along.</w:t>
      </w:r>
    </w:p>
    <w:p>
      <w:pPr>
        <w:pStyle w:val="Normal"/>
        <w:keepNext w:val="true"/>
        <w:spacing w:before="140" w:after="60"/>
        <w:rPr/>
      </w:pPr>
      <w:r>
        <w:rPr>
          <w:rFonts w:eastAsia="Calibri" w:cs="Calibri"/>
          <w:b/>
          <w:bCs/>
          <w:i w:val="false"/>
          <w:iCs w:val="false"/>
          <w:color w:val="3E5871"/>
          <w:sz w:val="21"/>
          <w:szCs w:val="21"/>
        </w:rPr>
        <w:t>Speaking with families and guardians</w:t>
      </w:r>
    </w:p>
    <w:p>
      <w:pPr>
        <w:pStyle w:val="Normal"/>
        <w:spacing w:lineRule="exact" w:line="268" w:before="0" w:after="110"/>
        <w:jc w:val="start"/>
        <w:rPr/>
      </w:pPr>
      <w:r>
        <w:rPr>
          <w:rFonts w:eastAsia="Calibri" w:cs="Calibri"/>
          <w:b w:val="false"/>
          <w:bCs w:val="false"/>
          <w:i w:val="false"/>
          <w:iCs w:val="false"/>
          <w:color w:val="1A1A1A"/>
          <w:sz w:val="20"/>
          <w:szCs w:val="20"/>
        </w:rPr>
        <w:t>Families and guardians are often exhausted, frightened, and grieving the person their loved one was before the injury. With them, lead with warmth and competence, not logistics: acknowledge how hard this is, describe in plain terms how you keep their loved one safe and help them live as fully as possible, and invite them to visit. Families do not choose a home from a brochure; they choose it from the feeling that their loved one will be safe, respected, and genuinely cared for. Let them feel that in how you talk to them.</w:t>
      </w:r>
    </w:p>
    <w:p>
      <w:pPr>
        <w:pStyle w:val="Normal"/>
        <w:keepNext w:val="true"/>
        <w:spacing w:before="140" w:after="60"/>
        <w:rPr/>
      </w:pPr>
      <w:r>
        <w:rPr>
          <w:rFonts w:eastAsia="Calibri" w:cs="Calibri"/>
          <w:b/>
          <w:bCs/>
          <w:i w:val="false"/>
          <w:iCs w:val="false"/>
          <w:color w:val="3E5871"/>
          <w:sz w:val="21"/>
          <w:szCs w:val="21"/>
        </w:rPr>
        <w:t>What not to say</w:t>
      </w:r>
    </w:p>
    <w:p>
      <w:pPr>
        <w:pStyle w:val="Normal"/>
        <w:spacing w:lineRule="exact" w:line="268" w:before="0" w:after="110"/>
        <w:jc w:val="start"/>
        <w:rPr/>
      </w:pPr>
      <w:r>
        <w:rPr>
          <w:rFonts w:eastAsia="Calibri" w:cs="Calibri"/>
          <w:b w:val="false"/>
          <w:bCs w:val="false"/>
          <w:i w:val="false"/>
          <w:iCs w:val="false"/>
          <w:color w:val="1A1A1A"/>
          <w:sz w:val="20"/>
          <w:szCs w:val="20"/>
        </w:rPr>
        <w:t>Avoid anything you cannot back up: never promise outcomes you cannot guarantee, never claim to serve needs you are not staffed for, and never disparage another provider. Do not overwhelm a first conversation with paperwork or pricing. And never offer anything of value in exchange for a referral — even casually — because that crosses the legal line and instantly damages your credibility with a professional referrer.</w:t>
      </w:r>
    </w:p>
    <w:p>
      <w:pPr>
        <w:pStyle w:val="Normal"/>
        <w:keepNext w:val="true"/>
        <w:spacing w:before="220" w:after="90"/>
        <w:rPr/>
      </w:pPr>
      <w:r>
        <w:rPr>
          <w:rFonts w:eastAsia="Calibri" w:cs="Calibri"/>
          <w:b/>
          <w:bCs/>
          <w:i w:val="false"/>
          <w:iCs w:val="false"/>
          <w:color w:val="1F3A5F"/>
          <w:sz w:val="26"/>
          <w:szCs w:val="26"/>
        </w:rPr>
        <w:t>Part 7 — Becoming a Preferred RCF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placement is a start; becoming the home a case manager thinks of first is the goal. You earn that by making every placement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communicate a clear yes or no — an easy, fast answer earns the next call.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how a member is settling and progressing, and flag any problem early rather than letting the referrer be surprised.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what you said you would do — reliability is the whole reputation in a small professional circle.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Handle the hard moments well: a behavioral crisis handled calmly and communicated honestly builds more trust than a smooth month.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 a call or a note — and refer back when you can, because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When a case manager places a member with you and that member is safe, settled, and progressing — and the case manager hears about it — you have made that person’s judgment look sound to their supervisor, to the family, and to the member. Do that consistently and you stop competing for placements; the placements come to you because you are the safe choice.</w:t>
      </w:r>
    </w:p>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family or a case manager searches for a brain injury home,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Brain Injury Association of Ohio directory. </w:t>
      </w:r>
      <w:r>
        <w:rPr>
          <w:rFonts w:eastAsia="Calibri" w:cs="Calibri"/>
          <w:b w:val="false"/>
          <w:bCs w:val="false"/>
          <w:i w:val="false"/>
          <w:iCs w:val="false"/>
          <w:color w:val="1A1A1A"/>
          <w:sz w:val="20"/>
          <w:szCs w:val="20"/>
        </w:rPr>
        <w:t>Families and professionals use it to find providers — be listed and keep your details current.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 and maps.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certification, and how to make a referral — a case manager should find your intake contact in seconds.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consistent everywhere. </w:t>
      </w:r>
      <w:r>
        <w:rPr>
          <w:rFonts w:eastAsia="Calibri" w:cs="Calibri"/>
          <w:b w:val="false"/>
          <w:bCs w:val="false"/>
          <w:i w:val="false"/>
          <w:iCs w:val="false"/>
          <w:color w:val="1A1A1A"/>
          <w:sz w:val="20"/>
          <w:szCs w:val="20"/>
        </w:rPr>
        <w:t>The same name, address, and phone across every listing builds trust and search visibility.</w:t>
      </w:r>
    </w:p>
    <w:p>
      <w:pPr>
        <w:pStyle w:val="Normal"/>
        <w:spacing w:lineRule="exact" w:line="268" w:before="0" w:after="110"/>
        <w:jc w:val="start"/>
        <w:rPr/>
      </w:pPr>
      <w:r>
        <w:rPr>
          <w:rFonts w:eastAsia="Calibri" w:cs="Calibri"/>
          <w:b w:val="false"/>
          <w:bCs w:val="false"/>
          <w:i w:val="false"/>
          <w:iCs w:val="false"/>
          <w:color w:val="1A1A1A"/>
          <w:sz w:val="20"/>
          <w:szCs w:val="20"/>
        </w:rPr>
        <w:t>Your online reputation matters more than you might expect, because case managers and families will look you up. Encourage satisfied families to leave honest reviews, respond to every review professionally, and make sure anyone who searches your home’s name finds a clear, credible picture of who you serve and how to reach you. One thoughtful, professional online presence does more for your credibility with referrers than any amount of advertising.</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Placements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case manager or rehab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 bed.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case manager about a member you share.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Review your availability and keep your case manager contacts and directory listings current.</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and invisibly at first. You will make outreach touches for weeks before they produce a placement, and it is tempting to stop when nothing seems to happen. Do not. Referral relationships compound: the case manager you checked in with three times this quarter is the one who calls you first when a member needs a bed. Protect a small, fixed amount of time every week for outreach and follow-up, and treat it as seriously as you treat resident care, because it is what keeps your beds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placements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case manager, hospital, rehab program, or clinic.</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placement.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Review quarterly and set your outreach priorities for the next quarter.</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homes discover that a small number of sources produce the large majority of their placements — often one or two Area Agencies on Aging and one or two rehab or hospital teams. Once you know who those are, you can invest your best time in deepening those relationships rather than spreading yourself thin. Tracking also protects you: if a once-reliable source stops referring, you will notice early and can find out why before it quietly costs you your census.</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Normal"/>
        <w:keepNext w:val="true"/>
        <w:spacing w:before="220" w:after="90"/>
        <w:rPr/>
      </w:pPr>
      <w:r>
        <w:rPr>
          <w:rFonts w:eastAsia="Calibri" w:cs="Calibri"/>
          <w:b/>
          <w:bCs/>
          <w:i w:val="false"/>
          <w:iCs w:val="false"/>
          <w:color w:val="1F3A5F"/>
          <w:sz w:val="26"/>
          <w:szCs w:val="26"/>
        </w:rPr>
        <w:t>Building Your Referral Story: What Makes Your Home the Safe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placements, you need to be clear — in one or two sentences — on why a case manager or discharge planner should trust you with a member. This is your referral story, and it is not marketing language; it is a factual, specific account of what your home does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care levels, and about the behavioral, cognitive, and medical needs you are staffed and trained to support — and honest about who you are not the right fit for. Second, how do you keep members safe? Point to your 24-hour oversight, your trained staff, your medication and behavioral supports, and your track record. Third, what is it like to work with you? Fast responses, clear communication, and reliability. When you can state your story plainly and back every part of it up, referrers can place with confidence — and confidence is what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 staff member who answers the phone can express it, and keep it current as your home’s capabilities grow. Then let everything you do — every call answered, every update sent, every member well cared for —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certified,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map your region. </w:t>
      </w:r>
      <w:r>
        <w:rPr>
          <w:rFonts w:eastAsia="Calibri" w:cs="Calibri"/>
          <w:b w:val="false"/>
          <w:bCs w:val="false"/>
          <w:i w:val="false"/>
          <w:iCs w:val="false"/>
          <w:color w:val="1A1A1A"/>
          <w:sz w:val="20"/>
          <w:szCs w:val="20"/>
        </w:rPr>
        <w:t>Identify the Area Agencies on Aging that serve your area, the neuro-rehab programs and hospitals nearby, and the brain injury organizations — use the directory in Part Two as your starting map.</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get findable. </w:t>
      </w:r>
      <w:r>
        <w:rPr>
          <w:rFonts w:eastAsia="Calibri" w:cs="Calibri"/>
          <w:b w:val="false"/>
          <w:bCs w:val="false"/>
          <w:i w:val="false"/>
          <w:iCs w:val="false"/>
          <w:color w:val="1A1A1A"/>
          <w:sz w:val="20"/>
          <w:szCs w:val="20"/>
        </w:rPr>
        <w:t>Confirm your provider enrollment, get listed in the Brain Injury Association of Ohio directory, claim your Google Business Profile, and finish your one-page leave-behind.</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case managers. </w:t>
      </w:r>
      <w:r>
        <w:rPr>
          <w:rFonts w:eastAsia="Calibri" w:cs="Calibri"/>
          <w:b w:val="false"/>
          <w:bCs w:val="false"/>
          <w:i w:val="false"/>
          <w:iCs w:val="false"/>
          <w:color w:val="1A1A1A"/>
          <w:sz w:val="20"/>
          <w:szCs w:val="20"/>
        </w:rPr>
        <w:t>Reach out to each Area Agency on Aging serving your region, introduce your home and who you serve well, and ask how they prefer to receive referrals.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discharge relationships. </w:t>
      </w:r>
      <w:r>
        <w:rPr>
          <w:rFonts w:eastAsia="Calibri" w:cs="Calibri"/>
          <w:b w:val="false"/>
          <w:bCs w:val="false"/>
          <w:i w:val="false"/>
          <w:iCs w:val="false"/>
          <w:color w:val="1A1A1A"/>
          <w:sz w:val="20"/>
          <w:szCs w:val="20"/>
        </w:rPr>
        <w:t>Introduce yourself to the social workers and case managers at the neuro-rehab programs and hospitals that discharge brain injury members near you.</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beds over the long run. Keep going — in this business, consistency is the whole strategy.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members to come to you. </w:t>
      </w:r>
      <w:r>
        <w:rPr>
          <w:rFonts w:eastAsia="Calibri" w:cs="Calibri"/>
          <w:b w:val="false"/>
          <w:bCs w:val="false"/>
          <w:i w:val="false"/>
          <w:iCs w:val="false"/>
          <w:color w:val="1A1A1A"/>
          <w:sz w:val="20"/>
          <w:szCs w:val="20"/>
        </w:rPr>
        <w:t>Certification does not fill beds; relationships with case managers and discharge teams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member you cannot safely support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placement. </w:t>
      </w:r>
      <w:r>
        <w:rPr>
          <w:rFonts w:eastAsia="Calibri" w:cs="Calibri"/>
          <w:b w:val="false"/>
          <w:bCs w:val="false"/>
          <w:i w:val="false"/>
          <w:iCs w:val="false"/>
          <w:color w:val="1A1A1A"/>
          <w:sz w:val="20"/>
          <w:szCs w:val="20"/>
        </w:rPr>
        <w:t>No updates is how you lose a referrer; proactive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w:t>
      </w:r>
      <w:r>
        <w:rPr>
          <w:rFonts w:eastAsia="Calibri" w:cs="Calibri"/>
          <w:b w:val="false"/>
          <w:bCs w:val="false"/>
          <w:i w:val="false"/>
          <w:iCs w:val="false"/>
          <w:color w:val="1A1A1A"/>
          <w:sz w:val="20"/>
          <w:szCs w:val="20"/>
        </w:rPr>
        <w:t>Never pay or accept anything of value for a Medicaid-member referral — the Anti-Kickback Statute applies; earn placements, don’t buy them.</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Ohio Brain Injury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Ohio sources a brain injury Residential Care Facility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Ohio Assisted Living Waiver — your #1 referral pathway. </w:t>
      </w:r>
      <w:r>
        <w:rPr>
          <w:rFonts w:eastAsia="Calibri" w:cs="Calibri"/>
          <w:b w:val="false"/>
          <w:bCs w:val="false"/>
          <w:i w:val="false"/>
          <w:iCs w:val="false"/>
          <w:color w:val="1A1A1A"/>
          <w:sz w:val="20"/>
          <w:szCs w:val="20"/>
        </w:rPr>
        <w:t>The Medicaid HCBS waiver (Ohio Department of Aging / Ohio Medicaid) that pays for care in a licensed Residential Care Facility for adults 21+ who meet a nursing-facility level of care. Case management and referrals run through the regional Area Agencies on Aging (PASSPORT Administrative Agencies) — reach them through their intake/screening line, or Ohio Benefits Long-Term Services and Supports (OBLTSS) at 1-844-644-6582. aging.ohio.gov.</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MyCare Ohio managed-care plans. </w:t>
      </w:r>
      <w:r>
        <w:rPr>
          <w:rFonts w:eastAsia="Calibri" w:cs="Calibri"/>
          <w:b w:val="false"/>
          <w:bCs w:val="false"/>
          <w:i w:val="false"/>
          <w:iCs w:val="false"/>
          <w:color w:val="1A1A1A"/>
          <w:sz w:val="20"/>
          <w:szCs w:val="20"/>
        </w:rPr>
        <w:t>In 29 Ohio counties, dual-eligible members are served by MyCare plans whose care managers authorize and place: Aetna Better Health of Ohio, Buckeye Health Plan, CareSource, Molina Healthcare of Ohio, and UnitedHealthcare Community Plan. medicaid.ohio.gov.</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Ohio Brain Injury Program &amp; Brain Injury Association of Ohio. </w:t>
      </w:r>
      <w:r>
        <w:rPr>
          <w:rFonts w:eastAsia="Calibri" w:cs="Calibri"/>
          <w:b w:val="false"/>
          <w:bCs w:val="false"/>
          <w:i w:val="false"/>
          <w:iCs w:val="false"/>
          <w:color w:val="1A1A1A"/>
          <w:sz w:val="20"/>
          <w:szCs w:val="20"/>
        </w:rPr>
        <w:t>Ohio’s brain injury resource facilitation and statewide advocacy, education, and referral network that families and professionals use. biaoh.org.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ODH — licensing. </w:t>
      </w:r>
      <w:r>
        <w:rPr>
          <w:rFonts w:eastAsia="Calibri" w:cs="Calibri"/>
          <w:b w:val="false"/>
          <w:bCs w:val="false"/>
          <w:i w:val="false"/>
          <w:iCs w:val="false"/>
          <w:color w:val="1A1A1A"/>
          <w:sz w:val="20"/>
          <w:szCs w:val="20"/>
        </w:rPr>
        <w:t>The Ohio Department of Health licenses Residential Care Facilities under O.A.C. 3701-16 and O.R.C. 3721. odh.ohio.gov.</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Premier brain injury rehabilitation. </w:t>
      </w:r>
      <w:r>
        <w:rPr>
          <w:rFonts w:eastAsia="Calibri" w:cs="Calibri"/>
          <w:b w:val="false"/>
          <w:bCs w:val="false"/>
          <w:i w:val="false"/>
          <w:iCs w:val="false"/>
          <w:color w:val="1A1A1A"/>
          <w:sz w:val="20"/>
          <w:szCs w:val="20"/>
        </w:rPr>
        <w:t>MetroHealth Rehabilitation Institute (Cleveland, with a dedicated brain injury unit), OhioHealth’s neuro programs (Columbus), and NeuroRestorative (post-acute residential) are major discharge and referral sources.</w:t>
      </w:r>
    </w:p>
    <w:p>
      <w:pPr>
        <w:pStyle w:val="Normal"/>
        <w:keepNext w:val="true"/>
        <w:spacing w:before="150" w:after="60"/>
        <w:rPr/>
      </w:pPr>
      <w:r>
        <w:rPr>
          <w:rFonts w:eastAsia="Calibri" w:cs="Calibri"/>
          <w:b/>
          <w:bCs/>
          <w:i w:val="false"/>
          <w:iCs w:val="false"/>
          <w:color w:val="3E5871"/>
          <w:sz w:val="20"/>
          <w:szCs w:val="20"/>
        </w:rPr>
        <w:t>Cleveland &amp; Northeast Ohio — verified named partners</w:t>
      </w:r>
    </w:p>
    <w:p>
      <w:pPr>
        <w:pStyle w:val="Normal"/>
        <w:spacing w:before="0" w:after="60"/>
        <w:rPr/>
      </w:pPr>
      <w:r>
        <w:rPr>
          <w:rFonts w:eastAsia="Calibri" w:cs="Calibri"/>
          <w:b/>
          <w:bCs/>
          <w:i w:val="false"/>
          <w:iCs w:val="false"/>
          <w:color w:val="1F3A5F"/>
          <w:sz w:val="19"/>
          <w:szCs w:val="19"/>
        </w:rPr>
        <w:t>Neuro-rehabilitation hospitals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MetroHealth Rehabilitation Institute (dedicated brain injury unit)</w:t>
      </w:r>
      <w:r>
        <w:rPr>
          <w:rFonts w:eastAsia="Calibri" w:cs="Calibri"/>
          <w:b w:val="false"/>
          <w:bCs w:val="false"/>
          <w:i w:val="false"/>
          <w:iCs w:val="false"/>
          <w:color w:val="555555"/>
          <w:sz w:val="18"/>
          <w:szCs w:val="18"/>
        </w:rPr>
        <w:t xml:space="preserve">  —  4229 Pearl Rd, Cleveland, OH 44109</w:t>
      </w:r>
      <w:r>
        <w:rPr>
          <w:rFonts w:eastAsia="Calibri" w:cs="Calibri"/>
          <w:b w:val="false"/>
          <w:bCs w:val="false"/>
          <w:i w:val="false"/>
          <w:iCs w:val="false"/>
          <w:color w:val="3E5871"/>
          <w:sz w:val="18"/>
          <w:szCs w:val="18"/>
        </w:rPr>
        <w:t xml:space="preserve">  ·  216-778-4414</w:t>
      </w:r>
    </w:p>
    <w:p>
      <w:pPr>
        <w:pStyle w:val="ListParagraph"/>
        <w:numPr>
          <w:ilvl w:val="0"/>
          <w:numId w:val="1"/>
        </w:numPr>
        <w:spacing w:lineRule="exact" w:line="264" w:before="0" w:after="70"/>
        <w:rPr/>
      </w:pPr>
      <w:r>
        <w:rPr>
          <w:rFonts w:eastAsia="Calibri" w:cs="Calibri"/>
          <w:b/>
          <w:bCs/>
          <w:i w:val="false"/>
          <w:iCs w:val="false"/>
          <w:color w:val="1A1A1A"/>
          <w:sz w:val="19"/>
          <w:szCs w:val="19"/>
        </w:rPr>
        <w:t>Cleveland Clinic Rehabilitation Hospital, Beachwood</w:t>
      </w:r>
      <w:r>
        <w:rPr>
          <w:rFonts w:eastAsia="Calibri" w:cs="Calibri"/>
          <w:b w:val="false"/>
          <w:bCs w:val="false"/>
          <w:i w:val="false"/>
          <w:iCs w:val="false"/>
          <w:color w:val="555555"/>
          <w:sz w:val="18"/>
          <w:szCs w:val="18"/>
        </w:rPr>
        <w:t xml:space="preserve">  —  3025 Science Park Dr, Beachwood, OH 44122</w:t>
      </w:r>
      <w:r>
        <w:rPr>
          <w:rFonts w:eastAsia="Calibri" w:cs="Calibri"/>
          <w:b w:val="false"/>
          <w:bCs w:val="false"/>
          <w:i w:val="false"/>
          <w:iCs w:val="false"/>
          <w:color w:val="3E5871"/>
          <w:sz w:val="18"/>
          <w:szCs w:val="18"/>
        </w:rPr>
        <w:t xml:space="preserve">  ·  216-455-6400</w:t>
      </w:r>
    </w:p>
    <w:p>
      <w:pPr>
        <w:pStyle w:val="ListParagraph"/>
        <w:numPr>
          <w:ilvl w:val="0"/>
          <w:numId w:val="1"/>
        </w:numPr>
        <w:spacing w:lineRule="exact" w:line="264" w:before="0" w:after="70"/>
        <w:rPr/>
      </w:pPr>
      <w:r>
        <w:rPr>
          <w:rFonts w:eastAsia="Calibri" w:cs="Calibri"/>
          <w:b/>
          <w:bCs/>
          <w:i w:val="false"/>
          <w:iCs w:val="false"/>
          <w:color w:val="1A1A1A"/>
          <w:sz w:val="19"/>
          <w:szCs w:val="19"/>
        </w:rPr>
        <w:t>Cleveland Clinic Rehabilitation Hospital, Avon</w:t>
      </w:r>
      <w:r>
        <w:rPr>
          <w:rFonts w:eastAsia="Calibri" w:cs="Calibri"/>
          <w:b w:val="false"/>
          <w:bCs w:val="false"/>
          <w:i w:val="false"/>
          <w:iCs w:val="false"/>
          <w:color w:val="555555"/>
          <w:sz w:val="18"/>
          <w:szCs w:val="18"/>
        </w:rPr>
        <w:t xml:space="preserve">  —  33355 Health Campus Blvd, Avon, OH 44011</w:t>
      </w:r>
      <w:r>
        <w:rPr>
          <w:rFonts w:eastAsia="Calibri" w:cs="Calibri"/>
          <w:b w:val="false"/>
          <w:bCs w:val="false"/>
          <w:i w:val="false"/>
          <w:iCs w:val="false"/>
          <w:color w:val="3E5871"/>
          <w:sz w:val="18"/>
          <w:szCs w:val="18"/>
        </w:rPr>
        <w:t xml:space="preserve">  ·  440-937-9099</w:t>
      </w:r>
    </w:p>
    <w:p>
      <w:pPr>
        <w:pStyle w:val="ListParagraph"/>
        <w:numPr>
          <w:ilvl w:val="0"/>
          <w:numId w:val="1"/>
        </w:numPr>
        <w:spacing w:lineRule="exact" w:line="264" w:before="0" w:after="70"/>
        <w:rPr/>
      </w:pPr>
      <w:r>
        <w:rPr>
          <w:rFonts w:eastAsia="Calibri" w:cs="Calibri"/>
          <w:b/>
          <w:bCs/>
          <w:i w:val="false"/>
          <w:iCs w:val="false"/>
          <w:color w:val="1A1A1A"/>
          <w:sz w:val="19"/>
          <w:szCs w:val="19"/>
        </w:rPr>
        <w:t>University Hospitals Rehabilitation Hospital</w:t>
      </w:r>
      <w:r>
        <w:rPr>
          <w:rFonts w:eastAsia="Calibri" w:cs="Calibri"/>
          <w:b w:val="false"/>
          <w:bCs w:val="false"/>
          <w:i w:val="false"/>
          <w:iCs w:val="false"/>
          <w:color w:val="555555"/>
          <w:sz w:val="18"/>
          <w:szCs w:val="18"/>
        </w:rPr>
        <w:t xml:space="preserve">  —  23333 Harvard Rd, Beachwood, OH 44122</w:t>
      </w:r>
      <w:r>
        <w:rPr>
          <w:rFonts w:eastAsia="Calibri" w:cs="Calibri"/>
          <w:b w:val="false"/>
          <w:bCs w:val="false"/>
          <w:i w:val="false"/>
          <w:iCs w:val="false"/>
          <w:color w:val="3E5871"/>
          <w:sz w:val="18"/>
          <w:szCs w:val="18"/>
        </w:rPr>
        <w:t xml:space="preserve">  ·  216-593-2200</w:t>
      </w:r>
    </w:p>
    <w:p>
      <w:pPr>
        <w:pStyle w:val="ListParagraph"/>
        <w:numPr>
          <w:ilvl w:val="0"/>
          <w:numId w:val="1"/>
        </w:numPr>
        <w:spacing w:lineRule="exact" w:line="264" w:before="0" w:after="70"/>
        <w:rPr/>
      </w:pPr>
      <w:r>
        <w:rPr>
          <w:rFonts w:eastAsia="Calibri" w:cs="Calibri"/>
          <w:b/>
          <w:bCs/>
          <w:i w:val="false"/>
          <w:iCs w:val="false"/>
          <w:color w:val="1A1A1A"/>
          <w:sz w:val="19"/>
          <w:szCs w:val="19"/>
        </w:rPr>
        <w:t>Cleveland Clinic Rehabilitation Hospital, Edwin Shaw (Akron area)</w:t>
      </w:r>
      <w:r>
        <w:rPr>
          <w:rFonts w:eastAsia="Calibri" w:cs="Calibri"/>
          <w:b w:val="false"/>
          <w:bCs w:val="false"/>
          <w:i w:val="false"/>
          <w:iCs w:val="false"/>
          <w:color w:val="555555"/>
          <w:sz w:val="18"/>
          <w:szCs w:val="18"/>
        </w:rPr>
        <w:t xml:space="preserve">  —  4389 Medina Rd, Copley, OH 44321</w:t>
      </w:r>
      <w:r>
        <w:rPr>
          <w:rFonts w:eastAsia="Calibri" w:cs="Calibri"/>
          <w:b w:val="false"/>
          <w:bCs w:val="false"/>
          <w:i w:val="false"/>
          <w:iCs w:val="false"/>
          <w:color w:val="3E5871"/>
          <w:sz w:val="18"/>
          <w:szCs w:val="18"/>
        </w:rPr>
        <w:t xml:space="preserve">  ·  234-815-5100</w:t>
      </w:r>
    </w:p>
    <w:p>
      <w:pPr>
        <w:pStyle w:val="ListParagraph"/>
        <w:numPr>
          <w:ilvl w:val="0"/>
          <w:numId w:val="1"/>
        </w:numPr>
        <w:spacing w:lineRule="exact" w:line="264" w:before="0" w:after="70"/>
        <w:rPr/>
      </w:pPr>
      <w:r>
        <w:rPr>
          <w:rFonts w:eastAsia="Calibri" w:cs="Calibri"/>
          <w:b/>
          <w:bCs/>
          <w:i w:val="false"/>
          <w:iCs w:val="false"/>
          <w:color w:val="1A1A1A"/>
          <w:sz w:val="19"/>
          <w:szCs w:val="19"/>
        </w:rPr>
        <w:t>Summa Rehab Hospital (Akron)</w:t>
      </w:r>
      <w:r>
        <w:rPr>
          <w:rFonts w:eastAsia="Calibri" w:cs="Calibri"/>
          <w:b w:val="false"/>
          <w:bCs w:val="false"/>
          <w:i w:val="false"/>
          <w:iCs w:val="false"/>
          <w:color w:val="555555"/>
          <w:sz w:val="18"/>
          <w:szCs w:val="18"/>
        </w:rPr>
        <w:t xml:space="preserve">  —  29 N Adams St, Akron, OH 44304</w:t>
      </w:r>
      <w:r>
        <w:rPr>
          <w:rFonts w:eastAsia="Calibri" w:cs="Calibri"/>
          <w:b w:val="false"/>
          <w:bCs w:val="false"/>
          <w:i w:val="false"/>
          <w:iCs w:val="false"/>
          <w:color w:val="3E5871"/>
          <w:sz w:val="18"/>
          <w:szCs w:val="18"/>
        </w:rPr>
        <w:t xml:space="preserve">  ·  330-572-7300</w:t>
      </w:r>
    </w:p>
    <w:p>
      <w:pPr>
        <w:pStyle w:val="Normal"/>
        <w:spacing w:before="100" w:after="60"/>
        <w:rPr/>
      </w:pPr>
      <w:r>
        <w:rPr>
          <w:rFonts w:eastAsia="Calibri" w:cs="Calibri"/>
          <w:b/>
          <w:bCs/>
          <w:i w:val="false"/>
          <w:iCs w:val="false"/>
          <w:color w:val="1F3A5F"/>
          <w:sz w:val="19"/>
          <w:szCs w:val="19"/>
        </w:rPr>
        <w:t>Post-acute brain injury residential</w:t>
      </w:r>
    </w:p>
    <w:p>
      <w:pPr>
        <w:pStyle w:val="ListParagraph"/>
        <w:numPr>
          <w:ilvl w:val="0"/>
          <w:numId w:val="1"/>
        </w:numPr>
        <w:spacing w:lineRule="exact" w:line="264" w:before="0" w:after="70"/>
        <w:rPr/>
      </w:pPr>
      <w:r>
        <w:rPr>
          <w:rFonts w:eastAsia="Calibri" w:cs="Calibri"/>
          <w:b/>
          <w:bCs/>
          <w:i w:val="false"/>
          <w:iCs w:val="false"/>
          <w:color w:val="1A1A1A"/>
          <w:sz w:val="19"/>
          <w:szCs w:val="19"/>
        </w:rPr>
        <w:t>NeuroRestorative (post-acute brain injury)</w:t>
      </w:r>
      <w:r>
        <w:rPr>
          <w:rFonts w:eastAsia="Calibri" w:cs="Calibri"/>
          <w:b w:val="false"/>
          <w:bCs w:val="false"/>
          <w:i w:val="false"/>
          <w:iCs w:val="false"/>
          <w:color w:val="555555"/>
          <w:sz w:val="18"/>
          <w:szCs w:val="18"/>
        </w:rPr>
        <w:t xml:space="preserve">  —  3625 Marsh Rd, Stow, OH 44224</w:t>
      </w:r>
      <w:r>
        <w:rPr>
          <w:rFonts w:eastAsia="Calibri" w:cs="Calibri"/>
          <w:b w:val="false"/>
          <w:bCs w:val="false"/>
          <w:i w:val="false"/>
          <w:iCs w:val="false"/>
          <w:color w:val="3E5871"/>
          <w:sz w:val="18"/>
          <w:szCs w:val="18"/>
        </w:rPr>
        <w:t xml:space="preserve">  ·  330-346-0060</w:t>
      </w:r>
    </w:p>
    <w:p>
      <w:pPr>
        <w:pStyle w:val="Normal"/>
        <w:keepNext w:val="true"/>
        <w:spacing w:before="150" w:after="60"/>
        <w:rPr/>
      </w:pPr>
      <w:r>
        <w:rPr>
          <w:rFonts w:eastAsia="Calibri" w:cs="Calibri"/>
          <w:b/>
          <w:bCs/>
          <w:i w:val="false"/>
          <w:iCs w:val="false"/>
          <w:color w:val="3E5871"/>
          <w:sz w:val="20"/>
          <w:szCs w:val="20"/>
        </w:rPr>
        <w:t>Columbus — verified named partners</w:t>
      </w:r>
    </w:p>
    <w:p>
      <w:pPr>
        <w:pStyle w:val="Normal"/>
        <w:spacing w:before="0" w:after="60"/>
        <w:rPr/>
      </w:pPr>
      <w:r>
        <w:rPr>
          <w:rFonts w:eastAsia="Calibri" w:cs="Calibri"/>
          <w:b/>
          <w:bCs/>
          <w:i w:val="false"/>
          <w:iCs w:val="false"/>
          <w:color w:val="1F3A5F"/>
          <w:sz w:val="19"/>
          <w:szCs w:val="19"/>
        </w:rPr>
        <w:t>Neuro-rehabilitation &amp; brain injury programs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OhioHealth Rehabilitation Hospital — Columbus</w:t>
      </w:r>
      <w:r>
        <w:rPr>
          <w:rFonts w:eastAsia="Calibri" w:cs="Calibri"/>
          <w:b w:val="false"/>
          <w:bCs w:val="false"/>
          <w:i w:val="false"/>
          <w:iCs w:val="false"/>
          <w:color w:val="555555"/>
          <w:sz w:val="18"/>
          <w:szCs w:val="18"/>
        </w:rPr>
        <w:t xml:space="preserve">  —  1087 Dennison Ave, Columbus, OH 43201</w:t>
      </w:r>
      <w:r>
        <w:rPr>
          <w:rFonts w:eastAsia="Calibri" w:cs="Calibri"/>
          <w:b w:val="false"/>
          <w:bCs w:val="false"/>
          <w:i w:val="false"/>
          <w:iCs w:val="false"/>
          <w:color w:val="3E5871"/>
          <w:sz w:val="18"/>
          <w:szCs w:val="18"/>
        </w:rPr>
        <w:t xml:space="preserve">  ·  614-484-9600</w:t>
      </w:r>
    </w:p>
    <w:p>
      <w:pPr>
        <w:pStyle w:val="ListParagraph"/>
        <w:numPr>
          <w:ilvl w:val="0"/>
          <w:numId w:val="1"/>
        </w:numPr>
        <w:spacing w:lineRule="exact" w:line="264" w:before="0" w:after="70"/>
        <w:rPr/>
      </w:pPr>
      <w:r>
        <w:rPr>
          <w:rFonts w:eastAsia="Calibri" w:cs="Calibri"/>
          <w:b/>
          <w:bCs/>
          <w:i w:val="false"/>
          <w:iCs w:val="false"/>
          <w:color w:val="1A1A1A"/>
          <w:sz w:val="19"/>
          <w:szCs w:val="19"/>
        </w:rPr>
        <w:t>OhioHealth Neuro Transitional Center</w:t>
      </w:r>
      <w:r>
        <w:rPr>
          <w:rFonts w:eastAsia="Calibri" w:cs="Calibri"/>
          <w:b w:val="false"/>
          <w:bCs w:val="false"/>
          <w:i w:val="false"/>
          <w:iCs w:val="false"/>
          <w:color w:val="555555"/>
          <w:sz w:val="18"/>
          <w:szCs w:val="18"/>
        </w:rPr>
        <w:t xml:space="preserve">  —  6640 Perimeter Dr, Dublin, OH 43016</w:t>
      </w:r>
      <w:r>
        <w:rPr>
          <w:rFonts w:eastAsia="Calibri" w:cs="Calibri"/>
          <w:b w:val="false"/>
          <w:bCs w:val="false"/>
          <w:i w:val="false"/>
          <w:iCs w:val="false"/>
          <w:color w:val="3E5871"/>
          <w:sz w:val="18"/>
          <w:szCs w:val="18"/>
        </w:rPr>
        <w:t xml:space="preserve">  ·  380-240-9150</w:t>
      </w:r>
    </w:p>
    <w:p>
      <w:pPr>
        <w:pStyle w:val="ListParagraph"/>
        <w:numPr>
          <w:ilvl w:val="0"/>
          <w:numId w:val="1"/>
        </w:numPr>
        <w:spacing w:lineRule="exact" w:line="264" w:before="0" w:after="70"/>
        <w:rPr/>
      </w:pPr>
      <w:r>
        <w:rPr>
          <w:rFonts w:eastAsia="Calibri" w:cs="Calibri"/>
          <w:b/>
          <w:bCs/>
          <w:i w:val="false"/>
          <w:iCs w:val="false"/>
          <w:color w:val="1A1A1A"/>
          <w:sz w:val="19"/>
          <w:szCs w:val="19"/>
        </w:rPr>
        <w:t>OhioHealth Neurological Rehabilitation — Upper Arlington</w:t>
      </w:r>
      <w:r>
        <w:rPr>
          <w:rFonts w:eastAsia="Calibri" w:cs="Calibri"/>
          <w:b w:val="false"/>
          <w:bCs w:val="false"/>
          <w:i w:val="false"/>
          <w:iCs w:val="false"/>
          <w:color w:val="555555"/>
          <w:sz w:val="18"/>
          <w:szCs w:val="18"/>
        </w:rPr>
        <w:t xml:space="preserve">  —  3363 Tremont Rd Suite 100, Columbus, OH 43221</w:t>
      </w:r>
      <w:r>
        <w:rPr>
          <w:rFonts w:eastAsia="Calibri" w:cs="Calibri"/>
          <w:b w:val="false"/>
          <w:bCs w:val="false"/>
          <w:i w:val="false"/>
          <w:iCs w:val="false"/>
          <w:color w:val="3E5871"/>
          <w:sz w:val="18"/>
          <w:szCs w:val="18"/>
        </w:rPr>
        <w:t xml:space="preserve">  ·  614-788-9242</w:t>
      </w:r>
    </w:p>
    <w:p>
      <w:pPr>
        <w:pStyle w:val="Normal"/>
        <w:keepNext w:val="true"/>
        <w:spacing w:before="150" w:after="60"/>
        <w:rPr/>
      </w:pPr>
      <w:r>
        <w:rPr>
          <w:rFonts w:eastAsia="Calibri" w:cs="Calibri"/>
          <w:b/>
          <w:bCs/>
          <w:i w:val="false"/>
          <w:iCs w:val="false"/>
          <w:color w:val="3E5871"/>
          <w:sz w:val="20"/>
          <w:szCs w:val="20"/>
        </w:rPr>
        <w:t>Cincinnati — verified named partners</w:t>
      </w:r>
    </w:p>
    <w:p>
      <w:pPr>
        <w:pStyle w:val="Normal"/>
        <w:spacing w:before="0" w:after="60"/>
        <w:rPr/>
      </w:pPr>
      <w:r>
        <w:rPr>
          <w:rFonts w:eastAsia="Calibri" w:cs="Calibri"/>
          <w:b/>
          <w:bCs/>
          <w:i w:val="false"/>
          <w:iCs w:val="false"/>
          <w:color w:val="1F3A5F"/>
          <w:sz w:val="19"/>
          <w:szCs w:val="19"/>
        </w:rPr>
        <w:t>Neuro-rehabilitation hospitals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Cincinnati Rehabilitation Hospital</w:t>
      </w:r>
      <w:r>
        <w:rPr>
          <w:rFonts w:eastAsia="Calibri" w:cs="Calibri"/>
          <w:b w:val="false"/>
          <w:bCs w:val="false"/>
          <w:i w:val="false"/>
          <w:iCs w:val="false"/>
          <w:color w:val="555555"/>
          <w:sz w:val="18"/>
          <w:szCs w:val="18"/>
        </w:rPr>
        <w:t xml:space="preserve">  —  4291 Parkview Dr, Blue Ash, OH 45242</w:t>
      </w:r>
      <w:r>
        <w:rPr>
          <w:rFonts w:eastAsia="Calibri" w:cs="Calibri"/>
          <w:b w:val="false"/>
          <w:bCs w:val="false"/>
          <w:i w:val="false"/>
          <w:iCs w:val="false"/>
          <w:color w:val="3E5871"/>
          <w:sz w:val="18"/>
          <w:szCs w:val="18"/>
        </w:rPr>
        <w:t xml:space="preserve">  ·  513-788-3313</w:t>
      </w:r>
    </w:p>
    <w:p>
      <w:pPr>
        <w:pStyle w:val="ListParagraph"/>
        <w:numPr>
          <w:ilvl w:val="0"/>
          <w:numId w:val="1"/>
        </w:numPr>
        <w:spacing w:lineRule="exact" w:line="264" w:before="0" w:after="70"/>
        <w:rPr/>
      </w:pPr>
      <w:r>
        <w:rPr>
          <w:rFonts w:eastAsia="Calibri" w:cs="Calibri"/>
          <w:b/>
          <w:bCs/>
          <w:i w:val="false"/>
          <w:iCs w:val="false"/>
          <w:color w:val="1A1A1A"/>
          <w:sz w:val="19"/>
          <w:szCs w:val="19"/>
        </w:rPr>
        <w:t>TriHealth Rehabilitation Hospital</w:t>
      </w:r>
      <w:r>
        <w:rPr>
          <w:rFonts w:eastAsia="Calibri" w:cs="Calibri"/>
          <w:b w:val="false"/>
          <w:bCs w:val="false"/>
          <w:i w:val="false"/>
          <w:iCs w:val="false"/>
          <w:color w:val="555555"/>
          <w:sz w:val="18"/>
          <w:szCs w:val="18"/>
        </w:rPr>
        <w:t xml:space="preserve">  —  2155 Dana Ave, Cincinnati, OH 45207</w:t>
      </w:r>
      <w:r>
        <w:rPr>
          <w:rFonts w:eastAsia="Calibri" w:cs="Calibri"/>
          <w:b w:val="false"/>
          <w:bCs w:val="false"/>
          <w:i w:val="false"/>
          <w:iCs w:val="false"/>
          <w:color w:val="3E5871"/>
          <w:sz w:val="18"/>
          <w:szCs w:val="18"/>
        </w:rPr>
        <w:t xml:space="preserve">  ·  513-601-0600</w:t>
      </w:r>
    </w:p>
    <w:p>
      <w:pPr>
        <w:pStyle w:val="ListParagraph"/>
        <w:numPr>
          <w:ilvl w:val="0"/>
          <w:numId w:val="1"/>
        </w:numPr>
        <w:spacing w:lineRule="exact" w:line="264" w:before="0" w:after="70"/>
        <w:rPr/>
      </w:pPr>
      <w:r>
        <w:rPr>
          <w:rFonts w:eastAsia="Calibri" w:cs="Calibri"/>
          <w:b/>
          <w:bCs/>
          <w:i w:val="false"/>
          <w:iCs w:val="false"/>
          <w:color w:val="1A1A1A"/>
          <w:sz w:val="19"/>
          <w:szCs w:val="19"/>
        </w:rPr>
        <w:t>Encompass Health Rehabilitation Hospital of Cincinnati</w:t>
      </w:r>
      <w:r>
        <w:rPr>
          <w:rFonts w:eastAsia="Calibri" w:cs="Calibri"/>
          <w:b w:val="false"/>
          <w:bCs w:val="false"/>
          <w:i w:val="false"/>
          <w:iCs w:val="false"/>
          <w:color w:val="555555"/>
          <w:sz w:val="18"/>
          <w:szCs w:val="18"/>
        </w:rPr>
        <w:t xml:space="preserve">  —  4953 Section Ave, Norwood, OH 45212</w:t>
      </w:r>
      <w:r>
        <w:rPr>
          <w:rFonts w:eastAsia="Calibri" w:cs="Calibri"/>
          <w:b w:val="false"/>
          <w:bCs w:val="false"/>
          <w:i w:val="false"/>
          <w:iCs w:val="false"/>
          <w:color w:val="3E5871"/>
          <w:sz w:val="18"/>
          <w:szCs w:val="18"/>
        </w:rPr>
        <w:t xml:space="preserve">  ·  513-712-9200</w:t>
      </w:r>
    </w:p>
    <w:p>
      <w:pPr>
        <w:pStyle w:val="Normal"/>
        <w:keepNext w:val="true"/>
        <w:spacing w:before="150" w:after="60"/>
        <w:rPr/>
      </w:pPr>
      <w:r>
        <w:rPr>
          <w:rFonts w:eastAsia="Calibri" w:cs="Calibri"/>
          <w:b/>
          <w:bCs/>
          <w:i w:val="false"/>
          <w:iCs w:val="false"/>
          <w:color w:val="3E5871"/>
          <w:sz w:val="20"/>
          <w:szCs w:val="20"/>
        </w:rPr>
        <w:t>Dayton — verified named partners</w:t>
      </w:r>
    </w:p>
    <w:p>
      <w:pPr>
        <w:pStyle w:val="Normal"/>
        <w:spacing w:before="0" w:after="60"/>
        <w:rPr/>
      </w:pPr>
      <w:r>
        <w:rPr>
          <w:rFonts w:eastAsia="Calibri" w:cs="Calibri"/>
          <w:b/>
          <w:bCs/>
          <w:i w:val="false"/>
          <w:iCs w:val="false"/>
          <w:color w:val="1F3A5F"/>
          <w:sz w:val="19"/>
          <w:szCs w:val="19"/>
        </w:rPr>
        <w:t>Neuro-rehabilitation hospitals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The Rehabilitation Institute of Ohio</w:t>
      </w:r>
      <w:r>
        <w:rPr>
          <w:rFonts w:eastAsia="Calibri" w:cs="Calibri"/>
          <w:b w:val="false"/>
          <w:bCs w:val="false"/>
          <w:i w:val="false"/>
          <w:iCs w:val="false"/>
          <w:color w:val="555555"/>
          <w:sz w:val="18"/>
          <w:szCs w:val="18"/>
        </w:rPr>
        <w:t xml:space="preserve">  —  835 S Main St, Dayton, OH 45402</w:t>
      </w:r>
      <w:r>
        <w:rPr>
          <w:rFonts w:eastAsia="Calibri" w:cs="Calibri"/>
          <w:b w:val="false"/>
          <w:bCs w:val="false"/>
          <w:i w:val="false"/>
          <w:iCs w:val="false"/>
          <w:color w:val="3E5871"/>
          <w:sz w:val="18"/>
          <w:szCs w:val="18"/>
        </w:rPr>
        <w:t xml:space="preserve">  ·  937-424-8200</w:t>
      </w:r>
    </w:p>
    <w:p>
      <w:pPr>
        <w:pStyle w:val="ListParagraph"/>
        <w:numPr>
          <w:ilvl w:val="0"/>
          <w:numId w:val="1"/>
        </w:numPr>
        <w:spacing w:lineRule="exact" w:line="264" w:before="0" w:after="70"/>
        <w:rPr/>
      </w:pPr>
      <w:r>
        <w:rPr>
          <w:rFonts w:eastAsia="Calibri" w:cs="Calibri"/>
          <w:b/>
          <w:bCs/>
          <w:i w:val="false"/>
          <w:iCs w:val="false"/>
          <w:color w:val="1A1A1A"/>
          <w:sz w:val="19"/>
          <w:szCs w:val="19"/>
        </w:rPr>
        <w:t>PAM Health Rehabilitation Hospital of Miamisburg</w:t>
      </w:r>
      <w:r>
        <w:rPr>
          <w:rFonts w:eastAsia="Calibri" w:cs="Calibri"/>
          <w:b w:val="false"/>
          <w:bCs w:val="false"/>
          <w:i w:val="false"/>
          <w:iCs w:val="false"/>
          <w:color w:val="555555"/>
          <w:sz w:val="18"/>
          <w:szCs w:val="18"/>
        </w:rPr>
        <w:t xml:space="preserve">  —  2310 Crosspointe Dr, Miamisburg, OH 45342</w:t>
      </w:r>
      <w:r>
        <w:rPr>
          <w:rFonts w:eastAsia="Calibri" w:cs="Calibri"/>
          <w:b w:val="false"/>
          <w:bCs w:val="false"/>
          <w:i w:val="false"/>
          <w:iCs w:val="false"/>
          <w:color w:val="3E5871"/>
          <w:sz w:val="18"/>
          <w:szCs w:val="18"/>
        </w:rPr>
        <w:t xml:space="preserve">  ·  937-617-0566</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placement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(case manager / rehab / clinic / org)</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Member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Acuity tier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Relationship Follow-Up Schedule  </w:t>
      </w:r>
    </w:p>
    <w:p>
      <w:pPr>
        <w:pStyle w:val="Normal"/>
        <w:spacing w:lineRule="exact" w:line="268" w:before="0" w:after="110"/>
        <w:jc w:val="start"/>
        <w:rPr/>
      </w:pPr>
      <w:r>
        <w:rPr>
          <w:rFonts w:eastAsia="Calibri" w:cs="Calibri"/>
          <w:b w:val="false"/>
          <w:bCs w:val="false"/>
          <w:i w:val="false"/>
          <w:iCs w:val="false"/>
          <w:color w:val="1A1A1A"/>
          <w:sz w:val="20"/>
          <w:szCs w:val="20"/>
        </w:rPr>
        <w:t>Keep your best relationships warm with a regular touch.</w:t>
      </w:r>
    </w:p>
    <w:tbl>
      <w:tblPr>
        <w:tblW w:w="9360" w:type="dxa"/>
        <w:jc w:val="start"/>
        <w:tblInd w:w="0" w:type="dxa"/>
        <w:tblLayout w:type="fixed"/>
        <w:tblCellMar>
          <w:top w:w="60" w:type="dxa"/>
          <w:start w:w="100" w:type="dxa"/>
          <w:bottom w:w="60" w:type="dxa"/>
          <w:end w:w="100" w:type="dxa"/>
        </w:tblCellMar>
      </w:tblPr>
      <w:tblGrid>
        <w:gridCol w:w="3759"/>
        <w:gridCol w:w="2801"/>
        <w:gridCol w:w="28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w:t>
            </w:r>
          </w:p>
        </w:tc>
        <w:tc>
          <w:tcPr>
            <w:tcW w:w="28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Last contact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touch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the Assisted Living Waiver Case Manager Relationship Map  </w:t>
      </w:r>
    </w:p>
    <w:p>
      <w:pPr>
        <w:pStyle w:val="Normal"/>
        <w:spacing w:lineRule="exact" w:line="268" w:before="0" w:after="110"/>
        <w:jc w:val="start"/>
        <w:rPr/>
      </w:pPr>
      <w:r>
        <w:rPr>
          <w:rFonts w:eastAsia="Calibri" w:cs="Calibri"/>
          <w:b w:val="false"/>
          <w:bCs w:val="false"/>
          <w:i w:val="false"/>
          <w:iCs w:val="false"/>
          <w:color w:val="1A1A1A"/>
          <w:sz w:val="20"/>
          <w:szCs w:val="20"/>
        </w:rPr>
        <w:t>Map the Area Agencies on Aging that serve your region — these are your highest-value relationships.</w:t>
      </w:r>
    </w:p>
    <w:tbl>
      <w:tblPr>
        <w:tblW w:w="9360" w:type="dxa"/>
        <w:jc w:val="start"/>
        <w:tblInd w:w="0" w:type="dxa"/>
        <w:tblLayout w:type="fixed"/>
        <w:tblCellMar>
          <w:top w:w="60" w:type="dxa"/>
          <w:start w:w="100" w:type="dxa"/>
          <w:bottom w:w="60" w:type="dxa"/>
          <w:end w:w="100" w:type="dxa"/>
        </w:tblCellMar>
      </w:tblPr>
      <w:tblGrid>
        <w:gridCol w:w="3360"/>
        <w:gridCol w:w="3200"/>
        <w:gridCol w:w="2800"/>
      </w:tblGrid>
      <w:tr>
        <w:trPr>
          <w:tblHeader w:val="true"/>
        </w:trPr>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case manager / region served</w:t>
            </w:r>
          </w:p>
        </w:tc>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Key contact &amp; role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 next step</w:t>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updates sent</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Ohio brain injury residential providers, not legal advice. Contacts, programs, and phone numbers change — verify each before you rely on it, and confirm the anti-kickback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Brain Injury Referral System — Ohio Edition  —  PolicyReady.org  —  Page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Brain Injury Referral System — Ohio Edition  —  PolicyReady.org  —  Page </w:t>
    </w: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2026-07-15T03:59:21Z</dcterms:created>
  <dc:creator>PolicyReady.org</dc:creator>
  <dc:description/>
  <dc:language>en-US</dc:language>
  <cp:lastModifiedBy>Un-named</cp:lastModifiedBy>
  <dcterms:modified xsi:type="dcterms:W3CDTF">2026-07-15T03:59:21Z</dcterms:modified>
  <cp:revision>1</cp:revision>
  <dc:subject/>
  <dc:title>The Brain Injury Referral System — Ohio Edition</dc:title>
</cp:coreProperties>
</file>