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300" w:after="0"/>
        <w:rPr/>
      </w:pPr>
      <w:r>
        <w:rPr/>
      </w:r>
    </w:p>
    <w:p>
      <w:pPr>
        <w:pStyle w:val="Normal"/>
        <w:spacing w:before="0" w:after="220"/>
        <w:jc w:val="center"/>
        <w:rPr/>
      </w:pPr>
      <w:r>
        <w:rPr>
          <w:rFonts w:eastAsia="Calibri" w:cs="Calibri"/>
          <w:b/>
          <w:bCs/>
          <w:i w:val="false"/>
          <w:iCs w:val="false"/>
          <w:color w:val="3E5871"/>
          <w:sz w:val="30"/>
          <w:szCs w:val="30"/>
        </w:rPr>
        <w:t>[AGENCY NAME]</w:t>
      </w:r>
    </w:p>
    <w:p>
      <w:pPr>
        <w:pStyle w:val="Normal"/>
        <w:spacing w:before="120" w:after="200"/>
        <w:jc w:val="center"/>
        <w:rPr/>
      </w:pPr>
      <w:r>
        <w:rPr>
          <w:rFonts w:eastAsia="Calibri" w:cs="Calibri"/>
          <w:b/>
          <w:bCs/>
          <w:i w:val="false"/>
          <w:iCs w:val="false"/>
          <w:color w:val="1F3A5F"/>
          <w:sz w:val="46"/>
          <w:szCs w:val="46"/>
        </w:rPr>
        <w:t>Direct Support Professional Handbook</w:t>
      </w:r>
    </w:p>
    <w:p>
      <w:pPr>
        <w:pStyle w:val="Normal"/>
        <w:spacing w:before="60" w:after="60"/>
        <w:jc w:val="center"/>
        <w:rPr/>
      </w:pPr>
      <w:r>
        <w:rPr>
          <w:rFonts w:eastAsia="Calibri" w:cs="Calibri"/>
          <w:b w:val="false"/>
          <w:bCs w:val="false"/>
          <w:i/>
          <w:iCs/>
          <w:color w:val="3E5871"/>
          <w:sz w:val="24"/>
          <w:szCs w:val="24"/>
        </w:rPr>
        <w:t>For Direct Support Professionals &amp; Residential Staff</w:t>
      </w:r>
    </w:p>
    <w:p>
      <w:pPr>
        <w:pStyle w:val="Normal"/>
        <w:spacing w:before="0" w:after="220"/>
        <w:jc w:val="center"/>
        <w:rPr/>
      </w:pPr>
      <w:r>
        <w:rPr>
          <w:rFonts w:eastAsia="Calibri" w:cs="Calibri"/>
          <w:b w:val="false"/>
          <w:bCs w:val="false"/>
          <w:i w:val="false"/>
          <w:iCs w:val="false"/>
          <w:color w:val="555555"/>
          <w:sz w:val="22"/>
          <w:szCs w:val="22"/>
        </w:rPr>
        <w:t>Community Residence (Group Home) — New Jersey</w:t>
      </w:r>
    </w:p>
    <w:p>
      <w:pPr>
        <w:pStyle w:val="Normal"/>
        <w:pBdr>
          <w:bottom w:val="single" w:sz="8" w:space="1" w:color="9DB1C7"/>
        </w:pBdr>
        <w:spacing w:before="60" w:after="120"/>
        <w:rPr/>
      </w:pPr>
      <w:r>
        <w:rPr/>
      </w:r>
    </w:p>
    <w:p>
      <w:pPr>
        <w:pStyle w:val="Normal"/>
        <w:spacing w:before="0" w:after="120"/>
        <w:jc w:val="center"/>
        <w:rPr/>
      </w:pPr>
      <w:r>
        <w:rPr>
          <w:rFonts w:eastAsia="Calibri" w:cs="Calibri"/>
          <w:b w:val="false"/>
          <w:bCs w:val="false"/>
          <w:i w:val="false"/>
          <w:iCs w:val="false"/>
          <w:color w:val="1A1A1A"/>
          <w:sz w:val="21"/>
          <w:szCs w:val="21"/>
        </w:rPr>
        <w:t>A guide to your role, your responsibilities, and your rights supporting individuals with developmental disabilities in New Jersey.</w:t>
      </w:r>
    </w:p>
    <w:p>
      <w:pPr>
        <w:pStyle w:val="Normal"/>
        <w:spacing w:before="0" w:after="0"/>
        <w:jc w:val="center"/>
        <w:rPr/>
      </w:pPr>
      <w:r>
        <w:rPr>
          <w:rFonts w:eastAsia="Calibri" w:cs="Calibri"/>
          <w:b w:val="false"/>
          <w:bCs w:val="false"/>
          <w:i/>
          <w:iCs/>
          <w:color w:val="555555"/>
          <w:sz w:val="18"/>
          <w:szCs w:val="18"/>
        </w:rPr>
        <w:t>This handbook is a template. Replace bracketed items with your agency’s details and adapt it to your operations and current New Jersey law. It is general information, not legal advice.</w:t>
      </w:r>
    </w:p>
    <w:p>
      <w:pPr>
        <w:pStyle w:val="Normal"/>
        <w:rPr/>
      </w:pPr>
      <w:r>
        <w:rPr/>
      </w:r>
      <w:r>
        <w:br w:type="page"/>
      </w:r>
    </w:p>
    <w:p>
      <w:pPr>
        <w:pStyle w:val="Normal"/>
        <w:spacing w:before="0" w:after="140"/>
        <w:rPr/>
      </w:pPr>
      <w:r>
        <w:rPr>
          <w:rFonts w:eastAsia="Calibri" w:cs="Calibri"/>
          <w:b/>
          <w:bCs/>
          <w:i w:val="false"/>
          <w:iCs w:val="false"/>
          <w:color w:val="1F3A5F"/>
          <w:sz w:val="30"/>
          <w:szCs w:val="30"/>
        </w:rPr>
        <w:t>Welcome to the Team</w:t>
      </w:r>
    </w:p>
    <w:p>
      <w:pPr>
        <w:pStyle w:val="Normal"/>
        <w:pBdr>
          <w:bottom w:val="single" w:sz="8" w:space="1" w:color="9DB1C7"/>
        </w:pBdr>
        <w:spacing w:before="60" w:after="120"/>
        <w:rPr/>
      </w:pPr>
      <w:r>
        <w:rPr/>
      </w:r>
    </w:p>
    <w:p>
      <w:pPr>
        <w:pStyle w:val="Normal"/>
        <w:spacing w:lineRule="exact" w:line="276" w:before="0" w:after="120"/>
        <w:jc w:val="start"/>
        <w:rPr/>
      </w:pPr>
      <w:r>
        <w:rPr>
          <w:rFonts w:eastAsia="Calibri" w:cs="Calibri"/>
          <w:b w:val="false"/>
          <w:bCs w:val="false"/>
          <w:i w:val="false"/>
          <w:iCs w:val="false"/>
          <w:color w:val="1A1A1A"/>
          <w:sz w:val="21"/>
          <w:szCs w:val="21"/>
        </w:rPr>
        <w:t>Welcome to [Agency Name]. As a Direct Support Professional, you are the heart of what we do. Every day, you help adults with intellectual and developmental disabilities live safely, fully, and with dignity in their own home — supporting them with daily living, health, community life, and the goals that matter to them. That work changes lives, and it is a privilege to do it well. We are glad you are here.</w:t>
      </w:r>
    </w:p>
    <w:p>
      <w:pPr>
        <w:pStyle w:val="Normal"/>
        <w:spacing w:lineRule="exact" w:line="276" w:before="0" w:after="120"/>
        <w:jc w:val="start"/>
        <w:rPr/>
      </w:pPr>
      <w:r>
        <w:rPr>
          <w:rFonts w:eastAsia="Calibri" w:cs="Calibri"/>
          <w:b w:val="false"/>
          <w:bCs w:val="false"/>
          <w:i w:val="false"/>
          <w:iCs w:val="false"/>
          <w:color w:val="1A1A1A"/>
          <w:sz w:val="21"/>
          <w:szCs w:val="21"/>
        </w:rPr>
        <w:t>This handbook is your guide. It explains what your job is and how we expect you to do it, how to support people safely and respectfully, how to protect the individuals you serve, and the rights and responsibilities you have as an employee in New Jersey. Read it carefully, keep it where you can find it, and come back to it whenever you have a question. If anything is unclear, ask your supervisor — we would always rather you ask than guess. Nothing here can cover every situation, and it is not a contract of employment; it is a foundation you build good judgment on top of.</w:t>
      </w:r>
    </w:p>
    <w:p>
      <w:pPr>
        <w:pStyle w:val="Normal"/>
        <w:spacing w:lineRule="exact" w:line="276" w:before="0" w:after="120"/>
        <w:jc w:val="start"/>
        <w:rPr/>
      </w:pPr>
      <w:r>
        <w:rPr>
          <w:rFonts w:eastAsia="Calibri" w:cs="Calibri"/>
          <w:b w:val="false"/>
          <w:bCs w:val="false"/>
          <w:i w:val="false"/>
          <w:iCs w:val="false"/>
          <w:color w:val="1A1A1A"/>
          <w:sz w:val="21"/>
          <w:szCs w:val="21"/>
        </w:rPr>
        <w:t xml:space="preserve">One note before you begin, because it shapes everything else: we operate a licensed </w:t>
      </w:r>
      <w:r>
        <w:rPr>
          <w:rFonts w:eastAsia="Calibri" w:cs="Calibri"/>
          <w:b/>
          <w:bCs/>
          <w:i w:val="false"/>
          <w:iCs w:val="false"/>
          <w:color w:val="1A1A1A"/>
          <w:sz w:val="21"/>
          <w:szCs w:val="21"/>
        </w:rPr>
        <w:t>community residence</w:t>
      </w:r>
      <w:r>
        <w:rPr>
          <w:rFonts w:eastAsia="Calibri" w:cs="Calibri"/>
          <w:b w:val="false"/>
          <w:bCs w:val="false"/>
          <w:i w:val="false"/>
          <w:iCs w:val="false"/>
          <w:color w:val="1A1A1A"/>
          <w:sz w:val="21"/>
          <w:szCs w:val="21"/>
        </w:rPr>
        <w:t xml:space="preserve"> — a group home for individuals with developmental disabilities, licensed by the New Jersey Department of Human Services, Office of Licensing, under N.J.A.C. 10:44A, and funded through the Division of Developmental Disabilities. The individuals here live in their own home, and you support them following each person’s Individualized Service Plan. Some tasks are reserved for nurses or trained, authorized staff; when you are unsure whether a task is part of your role, stop and ask. That single habit will keep you and the people you serve safe.</w:t>
      </w:r>
    </w:p>
    <w:p>
      <w:pPr>
        <w:pStyle w:val="Normal"/>
        <w:rPr/>
      </w:pPr>
      <w:r>
        <w:rPr/>
      </w:r>
      <w:r>
        <w:br w:type="page"/>
      </w:r>
    </w:p>
    <w:p>
      <w:pPr>
        <w:pStyle w:val="Normal"/>
        <w:spacing w:before="0" w:after="140"/>
        <w:rPr/>
      </w:pPr>
      <w:r>
        <w:rPr>
          <w:rFonts w:eastAsia="Calibri" w:cs="Calibri"/>
          <w:b/>
          <w:bCs/>
          <w:i w:val="false"/>
          <w:iCs w:val="false"/>
          <w:color w:val="1F3A5F"/>
          <w:sz w:val="30"/>
          <w:szCs w:val="30"/>
        </w:rPr>
        <w:t>What Is Inside This Handbook</w:t>
      </w:r>
    </w:p>
    <w:p>
      <w:pPr>
        <w:pStyle w:val="Normal"/>
        <w:pBdr>
          <w:bottom w:val="single" w:sz="8" w:space="1" w:color="9DB1C7"/>
        </w:pBdr>
        <w:spacing w:before="60" w:after="120"/>
        <w:rPr/>
      </w:pPr>
      <w:r>
        <w:rPr/>
      </w:r>
    </w:p>
    <w:p>
      <w:pPr>
        <w:pStyle w:val="Normal"/>
        <w:spacing w:lineRule="exact" w:line="276" w:before="0" w:after="120"/>
        <w:jc w:val="start"/>
        <w:rPr/>
      </w:pPr>
      <w:r>
        <w:rPr>
          <w:rFonts w:eastAsia="Calibri" w:cs="Calibri"/>
          <w:b w:val="false"/>
          <w:bCs w:val="false"/>
          <w:i w:val="false"/>
          <w:iCs w:val="false"/>
          <w:color w:val="1A1A1A"/>
          <w:sz w:val="21"/>
          <w:szCs w:val="21"/>
        </w:rPr>
        <w:t>This handbook moves from who you are and who you serve, into how to provide great support, then how to keep people healthy and safe, how to protect them, and finally what it means to be a professional. Here is the path:</w:t>
      </w:r>
    </w:p>
    <w:p>
      <w:pPr>
        <w:pStyle w:val="ListParagraph"/>
        <w:numPr>
          <w:ilvl w:val="0"/>
          <w:numId w:val="3"/>
        </w:numPr>
        <w:spacing w:lineRule="exact" w:line="276" w:before="0" w:after="70"/>
        <w:rPr/>
      </w:pPr>
      <w:r>
        <w:rPr>
          <w:rFonts w:eastAsia="Calibri" w:cs="Calibri"/>
          <w:b/>
          <w:bCs/>
          <w:i w:val="false"/>
          <w:iCs w:val="false"/>
          <w:color w:val="1A1A1A"/>
          <w:sz w:val="21"/>
          <w:szCs w:val="21"/>
        </w:rPr>
        <w:t xml:space="preserve">Your role and the people you serve </w:t>
      </w:r>
      <w:r>
        <w:rPr>
          <w:rFonts w:eastAsia="Calibri" w:cs="Calibri"/>
          <w:b w:val="false"/>
          <w:bCs w:val="false"/>
          <w:i w:val="false"/>
          <w:iCs w:val="false"/>
          <w:color w:val="1A1A1A"/>
          <w:sz w:val="21"/>
          <w:szCs w:val="21"/>
        </w:rPr>
        <w:t>— your job, the individuals you support, their rights, and person-centered support.</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Providing great support </w:t>
      </w:r>
      <w:r>
        <w:rPr>
          <w:rFonts w:eastAsia="Calibri" w:cs="Calibri"/>
          <w:b w:val="false"/>
          <w:bCs w:val="false"/>
          <w:i w:val="false"/>
          <w:iCs w:val="false"/>
          <w:color w:val="1A1A1A"/>
          <w:sz w:val="21"/>
          <w:szCs w:val="21"/>
        </w:rPr>
        <w:t>— daily living and habilitation, community life, communication, and supporting behavior positively.</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Health and safety </w:t>
      </w:r>
      <w:r>
        <w:rPr>
          <w:rFonts w:eastAsia="Calibri" w:cs="Calibri"/>
          <w:b w:val="false"/>
          <w:bCs w:val="false"/>
          <w:i w:val="false"/>
          <w:iCs w:val="false"/>
          <w:color w:val="1A1A1A"/>
          <w:sz w:val="21"/>
          <w:szCs w:val="21"/>
        </w:rPr>
        <w:t>— the service plan, medication, recognizing changes, Danielle’s Law and emergencies, fire safety, and infection control.</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Protecting the people you serve </w:t>
      </w:r>
      <w:r>
        <w:rPr>
          <w:rFonts w:eastAsia="Calibri" w:cs="Calibri"/>
          <w:b w:val="false"/>
          <w:bCs w:val="false"/>
          <w:i w:val="false"/>
          <w:iCs w:val="false"/>
          <w:color w:val="1A1A1A"/>
          <w:sz w:val="21"/>
          <w:szCs w:val="21"/>
        </w:rPr>
        <w:t>— preventing and reporting abuse, unusual incident reporting, confidentiality, and boundaries.</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Being a professional </w:t>
      </w:r>
      <w:r>
        <w:rPr>
          <w:rFonts w:eastAsia="Calibri" w:cs="Calibri"/>
          <w:b w:val="false"/>
          <w:bCs w:val="false"/>
          <w:i w:val="false"/>
          <w:iCs w:val="false"/>
          <w:color w:val="1A1A1A"/>
          <w:sz w:val="21"/>
          <w:szCs w:val="21"/>
        </w:rPr>
        <w:t>— documentation, conduct and background checks, your training, caring for yourself, and raising a concern.</w:t>
      </w:r>
    </w:p>
    <w:p>
      <w:pPr>
        <w:pStyle w:val="Normal"/>
        <w:rPr/>
      </w:pPr>
      <w:r>
        <w:rPr/>
      </w:r>
      <w:r>
        <w:br w:type="page"/>
      </w:r>
    </w:p>
    <w:p>
      <w:pPr>
        <w:pStyle w:val="Normal"/>
        <w:spacing w:before="0" w:after="140"/>
        <w:rPr/>
      </w:pPr>
      <w:r>
        <w:rPr>
          <w:rFonts w:eastAsia="Calibri" w:cs="Calibri"/>
          <w:b/>
          <w:bCs/>
          <w:i w:val="false"/>
          <w:iCs w:val="false"/>
          <w:color w:val="1F3A5F"/>
          <w:sz w:val="30"/>
          <w:szCs w:val="30"/>
        </w:rPr>
        <w:t>Quick Reference — Keep This Handy</w:t>
      </w:r>
    </w:p>
    <w:p>
      <w:pPr>
        <w:pStyle w:val="Normal"/>
        <w:pBdr>
          <w:bottom w:val="single" w:sz="8" w:space="1" w:color="9DB1C7"/>
        </w:pBdr>
        <w:spacing w:before="60" w:after="120"/>
        <w:rPr/>
      </w:pPr>
      <w:r>
        <w:rPr/>
      </w:r>
    </w:p>
    <w:p>
      <w:pPr>
        <w:pStyle w:val="Normal"/>
        <w:spacing w:lineRule="exact" w:line="276" w:before="0" w:after="120"/>
        <w:jc w:val="start"/>
        <w:rPr/>
      </w:pPr>
      <w:r>
        <w:rPr>
          <w:rFonts w:eastAsia="Calibri" w:cs="Calibri"/>
          <w:b w:val="false"/>
          <w:bCs w:val="false"/>
          <w:i/>
          <w:iCs/>
          <w:color w:val="555555"/>
          <w:sz w:val="21"/>
          <w:szCs w:val="21"/>
        </w:rPr>
        <w:t>Fill in your agency’s numbers and keep this page where you can find it fast.</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In a life-threatening emergency, call 911 first</w:t>
            </w:r>
          </w:p>
          <w:p>
            <w:pPr>
              <w:pStyle w:val="Normal"/>
              <w:spacing w:lineRule="exact" w:line="270" w:before="0" w:after="0"/>
              <w:rPr/>
            </w:pPr>
            <w:r>
              <w:rPr>
                <w:rFonts w:eastAsia="Calibri" w:cs="Calibri"/>
                <w:b w:val="false"/>
                <w:bCs w:val="false"/>
                <w:i w:val="false"/>
                <w:iCs w:val="false"/>
                <w:color w:val="1A1A1A"/>
                <w:sz w:val="20"/>
                <w:szCs w:val="20"/>
              </w:rPr>
              <w:t>Under Danielle’s Law, for a medical emergency, fire, or anyone in immediate danger, call 911 before anything else — do not wait to call a supervisor first — then notify your supervisor and report the call as required.</w:t>
            </w:r>
          </w:p>
        </w:tc>
      </w:tr>
    </w:tbl>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Report abuse, neglect, or exploitation: </w:t>
      </w:r>
      <w:r>
        <w:rPr>
          <w:rFonts w:eastAsia="Calibri" w:cs="Calibri"/>
          <w:b w:val="false"/>
          <w:bCs w:val="false"/>
          <w:i w:val="false"/>
          <w:iCs w:val="false"/>
          <w:color w:val="1A1A1A"/>
          <w:sz w:val="21"/>
          <w:szCs w:val="21"/>
        </w:rPr>
        <w:t>DDD Abuse &amp; Neglect Hotline — 1-800-832-9173 (press 1), available 24 hours a day</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Report an unusual incident: </w:t>
      </w:r>
      <w:r>
        <w:rPr>
          <w:rFonts w:eastAsia="Calibri" w:cs="Calibri"/>
          <w:b w:val="false"/>
          <w:bCs w:val="false"/>
          <w:i w:val="false"/>
          <w:iCs w:val="false"/>
          <w:color w:val="1A1A1A"/>
          <w:sz w:val="21"/>
          <w:szCs w:val="21"/>
        </w:rPr>
        <w:t>notify your supervisor and report through the agency’s incident process to the DDD Office of Risk Management</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If you or someone is in crisis: </w:t>
      </w:r>
      <w:r>
        <w:rPr>
          <w:rFonts w:eastAsia="Calibri" w:cs="Calibri"/>
          <w:b w:val="false"/>
          <w:bCs w:val="false"/>
          <w:i w:val="false"/>
          <w:iCs w:val="false"/>
          <w:color w:val="1A1A1A"/>
          <w:sz w:val="21"/>
          <w:szCs w:val="21"/>
        </w:rPr>
        <w:t>Suicide &amp; Crisis Lifeline — call or text 988</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Your supervisor: </w:t>
      </w:r>
      <w:r>
        <w:rPr>
          <w:rFonts w:eastAsia="Calibri" w:cs="Calibri"/>
          <w:b w:val="false"/>
          <w:bCs w:val="false"/>
          <w:i w:val="false"/>
          <w:iCs w:val="false"/>
          <w:color w:val="1A1A1A"/>
          <w:sz w:val="21"/>
          <w:szCs w:val="21"/>
        </w:rPr>
        <w:t>[Name] — [Phone] — [Hours]</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The agency office: </w:t>
      </w:r>
      <w:r>
        <w:rPr>
          <w:rFonts w:eastAsia="Calibri" w:cs="Calibri"/>
          <w:b w:val="false"/>
          <w:bCs w:val="false"/>
          <w:i w:val="false"/>
          <w:iCs w:val="false"/>
          <w:color w:val="1A1A1A"/>
          <w:sz w:val="21"/>
          <w:szCs w:val="21"/>
        </w:rPr>
        <w:t>[Agency Name] — [Phone] — [After-hours / on-call line]</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Poison Control (if a poisoning is suspected): </w:t>
      </w:r>
      <w:r>
        <w:rPr>
          <w:rFonts w:eastAsia="Calibri" w:cs="Calibri"/>
          <w:b w:val="false"/>
          <w:bCs w:val="false"/>
          <w:i w:val="false"/>
          <w:iCs w:val="false"/>
          <w:color w:val="1A1A1A"/>
          <w:sz w:val="21"/>
          <w:szCs w:val="21"/>
        </w:rPr>
        <w:t>1-800-222-1222</w:t>
      </w:r>
    </w:p>
    <w:p>
      <w:pPr>
        <w:pStyle w:val="Normal"/>
        <w:keepNext w:val="true"/>
        <w:spacing w:before="160" w:after="70"/>
        <w:rPr/>
      </w:pPr>
      <w:r>
        <w:rPr>
          <w:rFonts w:eastAsia="Calibri" w:cs="Calibri"/>
          <w:b/>
          <w:bCs/>
          <w:i w:val="false"/>
          <w:iCs w:val="false"/>
          <w:color w:val="3E5871"/>
          <w:sz w:val="22"/>
          <w:szCs w:val="22"/>
        </w:rPr>
        <w:t>Call your supervisor right away when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An individual’s condition changes — a fall, new pain, confusion, a wound, trouble breathing, or a change in appetite, mood, or behavior</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are asked to do something outside your assignment or the individual’s service plan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have a safety concern about the home or an individual</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suspect abuse, neglect, or exploitation (report it — do not wait)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cannot make a scheduled shift, for any reason</w:t>
      </w:r>
    </w:p>
    <w:p>
      <w:pPr>
        <w:pStyle w:val="Normal"/>
        <w:rPr/>
      </w:pPr>
      <w:r>
        <w:rPr/>
      </w:r>
      <w:r>
        <w:br w:type="page"/>
      </w:r>
    </w:p>
    <w:p>
      <w:pPr>
        <w:pStyle w:val="Normal"/>
        <w:spacing w:before="0" w:after="0"/>
        <w:jc w:val="center"/>
        <w:rPr/>
      </w:pPr>
      <w:r>
        <w:rPr>
          <w:rFonts w:eastAsia="Calibri" w:cs="Calibri"/>
          <w:b/>
          <w:bCs/>
          <w:i w:val="false"/>
          <w:iCs w:val="false"/>
          <w:color w:val="3E5871"/>
          <w:sz w:val="22"/>
          <w:szCs w:val="22"/>
        </w:rPr>
        <w:t>Part One</w:t>
      </w:r>
    </w:p>
    <w:p>
      <w:pPr>
        <w:pStyle w:val="Normal"/>
        <w:spacing w:before="100" w:after="60"/>
        <w:jc w:val="center"/>
        <w:rPr/>
      </w:pPr>
      <w:r>
        <w:rPr>
          <w:rFonts w:eastAsia="Calibri" w:cs="Calibri"/>
          <w:b/>
          <w:bCs/>
          <w:i w:val="false"/>
          <w:iCs w:val="false"/>
          <w:color w:val="1F3A5F"/>
          <w:sz w:val="40"/>
          <w:szCs w:val="40"/>
        </w:rPr>
        <w:t>Your Role &amp; The People You Serve</w:t>
      </w:r>
    </w:p>
    <w:p>
      <w:pPr>
        <w:pStyle w:val="Normal"/>
        <w:pBdr>
          <w:bottom w:val="single" w:sz="8" w:space="6" w:color="9DB1C7"/>
        </w:pBdr>
        <w:spacing w:before="40" w:after="200"/>
        <w:jc w:val="center"/>
        <w:rPr/>
      </w:pPr>
      <w:r>
        <w:rPr/>
      </w:r>
    </w:p>
    <w:p>
      <w:pPr>
        <w:pStyle w:val="Normal"/>
        <w:spacing w:lineRule="exact" w:line="276" w:before="0" w:after="90"/>
        <w:jc w:val="center"/>
        <w:rPr/>
      </w:pPr>
      <w:r>
        <w:rPr>
          <w:rFonts w:eastAsia="Calibri" w:cs="Calibri"/>
          <w:b w:val="false"/>
          <w:bCs w:val="false"/>
          <w:i w:val="false"/>
          <w:iCs w:val="false"/>
          <w:color w:val="3E5871"/>
          <w:sz w:val="22"/>
          <w:szCs w:val="22"/>
        </w:rPr>
        <w:t>Your Role as a Direct Support Professional</w:t>
      </w:r>
    </w:p>
    <w:p>
      <w:pPr>
        <w:pStyle w:val="Normal"/>
        <w:spacing w:lineRule="exact" w:line="276" w:before="0" w:after="90"/>
        <w:jc w:val="center"/>
        <w:rPr/>
      </w:pPr>
      <w:r>
        <w:rPr>
          <w:rFonts w:eastAsia="Calibri" w:cs="Calibri"/>
          <w:b w:val="false"/>
          <w:bCs w:val="false"/>
          <w:i w:val="false"/>
          <w:iCs w:val="false"/>
          <w:color w:val="3E5871"/>
          <w:sz w:val="22"/>
          <w:szCs w:val="22"/>
        </w:rPr>
        <w:t>The People You Serve &amp; Person-Centered Support</w:t>
      </w:r>
    </w:p>
    <w:p>
      <w:pPr>
        <w:pStyle w:val="Normal"/>
        <w:spacing w:lineRule="exact" w:line="276" w:before="0" w:after="90"/>
        <w:jc w:val="center"/>
        <w:rPr/>
      </w:pPr>
      <w:r>
        <w:rPr>
          <w:rFonts w:eastAsia="Calibri" w:cs="Calibri"/>
          <w:b w:val="false"/>
          <w:bCs w:val="false"/>
          <w:i w:val="false"/>
          <w:iCs w:val="false"/>
          <w:color w:val="3E5871"/>
          <w:sz w:val="22"/>
          <w:szCs w:val="22"/>
        </w:rPr>
        <w:t>Individual Rights, Dignity &amp; Privacy</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  —  Your Role as a Direct Support Professional  </w:t>
      </w:r>
    </w:p>
    <w:p>
      <w:pPr>
        <w:pStyle w:val="Normal"/>
        <w:spacing w:lineRule="exact" w:line="276" w:before="0" w:after="120"/>
        <w:jc w:val="start"/>
        <w:rPr/>
      </w:pPr>
      <w:r>
        <w:rPr>
          <w:rFonts w:eastAsia="Calibri" w:cs="Calibri"/>
          <w:b w:val="false"/>
          <w:bCs w:val="false"/>
          <w:i w:val="false"/>
          <w:iCs w:val="false"/>
          <w:color w:val="1A1A1A"/>
          <w:sz w:val="21"/>
          <w:szCs w:val="21"/>
        </w:rPr>
        <w:t>Your role is to support an individual to live safely, fully, and as independently as possible in their own home — doing things with them and, where needed, for them, always building toward their own goals. What you are assigned depends on your training and on each individual’s Individualized Service Plan. Your supervisor tells you exactly which tasks you are trained and assigned to do, and you never perform a task you have not been trained and found competent to do.</w:t>
      </w:r>
    </w:p>
    <w:p>
      <w:pPr>
        <w:pStyle w:val="Normal"/>
        <w:keepNext w:val="true"/>
        <w:spacing w:before="160" w:after="70"/>
        <w:rPr/>
      </w:pPr>
      <w:r>
        <w:rPr>
          <w:rFonts w:eastAsia="Calibri" w:cs="Calibri"/>
          <w:b/>
          <w:bCs/>
          <w:i w:val="false"/>
          <w:iCs w:val="false"/>
          <w:color w:val="3E5871"/>
          <w:sz w:val="22"/>
          <w:szCs w:val="22"/>
        </w:rPr>
        <w:t>What you do</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Daily living support: help with personal care, hygiene, dressing, mobility, meals, and household routines, as each person needs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Habilitation: support skill-building in cooking, money, transportation, health, relationships, and community participation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Community life: support work, day programs, activities, appointments, and relationships in the community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Medication: assist with or supervise medication only when trained and authorized, following N.J.A.C. 10:44A-5.2</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Observation and reporting: notice and report changes in health, behavior, or safety, and document your support</w:t>
      </w:r>
    </w:p>
    <w:p>
      <w:pPr>
        <w:pStyle w:val="Normal"/>
        <w:keepNext w:val="true"/>
        <w:spacing w:before="160" w:after="70"/>
        <w:rPr/>
      </w:pPr>
      <w:r>
        <w:rPr>
          <w:rFonts w:eastAsia="Calibri" w:cs="Calibri"/>
          <w:b/>
          <w:bCs/>
          <w:i w:val="false"/>
          <w:iCs w:val="false"/>
          <w:color w:val="3E5871"/>
          <w:sz w:val="22"/>
          <w:szCs w:val="22"/>
        </w:rPr>
        <w:t>Why it matters</w:t>
      </w:r>
    </w:p>
    <w:p>
      <w:pPr>
        <w:pStyle w:val="Normal"/>
        <w:spacing w:lineRule="exact" w:line="276" w:before="0" w:after="120"/>
        <w:jc w:val="start"/>
        <w:rPr/>
      </w:pPr>
      <w:r>
        <w:rPr>
          <w:rFonts w:eastAsia="Calibri" w:cs="Calibri"/>
          <w:b w:val="false"/>
          <w:bCs w:val="false"/>
          <w:i w:val="false"/>
          <w:iCs w:val="false"/>
          <w:color w:val="1A1A1A"/>
          <w:sz w:val="21"/>
          <w:szCs w:val="21"/>
        </w:rPr>
        <w:t>For the individuals you support, you are often the person who makes an ordinary, full life possible — and often the first to notice when something is wrong. Your steady attention, respect, and honest reporting are as important as any single task you do.</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The habit that keeps everyone safe</w:t>
            </w:r>
          </w:p>
          <w:p>
            <w:pPr>
              <w:pStyle w:val="Normal"/>
              <w:spacing w:lineRule="exact" w:line="270" w:before="0" w:after="0"/>
              <w:rPr/>
            </w:pPr>
            <w:r>
              <w:rPr>
                <w:rFonts w:eastAsia="Calibri" w:cs="Calibri"/>
                <w:b w:val="false"/>
                <w:bCs w:val="false"/>
                <w:i w:val="false"/>
                <w:iCs w:val="false"/>
                <w:color w:val="1A1A1A"/>
                <w:sz w:val="20"/>
                <w:szCs w:val="20"/>
              </w:rPr>
              <w:t>When an individual’s needs grow beyond what you are trained and assigned to do, that is not a failure — it is exactly the moment to stop and call your supervisor. Never guess on medication, a skilled task, or a situation you are unsure about.</w:t>
            </w:r>
          </w:p>
        </w:tc>
      </w:tr>
    </w:tbl>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2  —  The People You Serve &amp; Person-Centered Support  </w:t>
      </w:r>
    </w:p>
    <w:p>
      <w:pPr>
        <w:pStyle w:val="Normal"/>
        <w:spacing w:lineRule="exact" w:line="276" w:before="0" w:after="120"/>
        <w:jc w:val="start"/>
        <w:rPr/>
      </w:pPr>
      <w:r>
        <w:rPr>
          <w:rFonts w:eastAsia="Calibri" w:cs="Calibri"/>
          <w:b w:val="false"/>
          <w:bCs w:val="false"/>
          <w:i w:val="false"/>
          <w:iCs w:val="false"/>
          <w:color w:val="1A1A1A"/>
          <w:sz w:val="21"/>
          <w:szCs w:val="21"/>
        </w:rPr>
        <w:t>The people you support are adults with intellectual or developmental disabilities. Each is a whole person — with a history, preferences, relationships, and goals — who happens to need support in some areas of life. Person-centered support means the individual leads: their choices, routines, and goals drive the support you provide, not the other way around.</w:t>
      </w:r>
    </w:p>
    <w:p>
      <w:pPr>
        <w:pStyle w:val="Normal"/>
        <w:spacing w:lineRule="exact" w:line="276" w:before="0" w:after="120"/>
        <w:jc w:val="start"/>
        <w:rPr/>
      </w:pPr>
      <w:r>
        <w:rPr>
          <w:rFonts w:eastAsia="Calibri" w:cs="Calibri"/>
          <w:b w:val="false"/>
          <w:bCs w:val="false"/>
          <w:i w:val="false"/>
          <w:iCs w:val="false"/>
          <w:color w:val="1A1A1A"/>
          <w:sz w:val="21"/>
          <w:szCs w:val="21"/>
        </w:rPr>
        <w:t>Developmental disabilities are lifelong and vary widely. Some individuals need extensive help; others need only a little. Some communicate with words; others in other ways. Your job is to learn each person you support — how they communicate, what they like and dislike, what they are working toward — and to meet them as an individual, never as a diagnosis or a task list.</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Normalization and least restriction</w:t>
            </w:r>
          </w:p>
          <w:p>
            <w:pPr>
              <w:pStyle w:val="Normal"/>
              <w:spacing w:lineRule="exact" w:line="270" w:before="0" w:after="0"/>
              <w:rPr/>
            </w:pPr>
            <w:r>
              <w:rPr>
                <w:rFonts w:eastAsia="Calibri" w:cs="Calibri"/>
                <w:b w:val="false"/>
                <w:bCs w:val="false"/>
                <w:i w:val="false"/>
                <w:iCs w:val="false"/>
                <w:color w:val="1A1A1A"/>
                <w:sz w:val="20"/>
                <w:szCs w:val="20"/>
              </w:rPr>
              <w:t>New Jersey’s rules are built on normalization, age-appropriateness, and least restriction: individuals live as ordinary and self-directed a life as possible, and any limit on their freedom is the minimum necessary, justified, and temporary. Supporting choice and everyday risk is part of your job, not a departure from it.</w:t>
            </w:r>
          </w:p>
        </w:tc>
      </w:tr>
    </w:tbl>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3  —  Individual Rights, Dignity &amp; Privacy  </w:t>
      </w:r>
    </w:p>
    <w:p>
      <w:pPr>
        <w:pStyle w:val="Normal"/>
        <w:spacing w:lineRule="exact" w:line="276" w:before="0" w:after="120"/>
        <w:jc w:val="start"/>
        <w:rPr/>
      </w:pPr>
      <w:r>
        <w:rPr>
          <w:rFonts w:eastAsia="Calibri" w:cs="Calibri"/>
          <w:b w:val="false"/>
          <w:bCs w:val="false"/>
          <w:i w:val="false"/>
          <w:iCs w:val="false"/>
          <w:color w:val="1A1A1A"/>
          <w:sz w:val="21"/>
          <w:szCs w:val="21"/>
        </w:rPr>
        <w:t>Every individual you support has rights guaranteed by New Jersey law and by N.J.A.C. 10:44A, and honoring them is central to your job. Rights are protected in the ordinary texture of daily life, not just on paper.</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Dignity and respect, and freedom from abuse, neglect, exploitation, and unnecessary restriction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Privacy — in their bedroom, in personal care, in their relationships and communications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Choice — in daily routines, activities, food, friendships, and how they spend their time and money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To keep and use their own money and possessions to the extent they are able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To maintain relationships and contact with family, guardians, and friends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To voice a complaint or grievance without any fear of retaliation</w:t>
      </w:r>
    </w:p>
    <w:p>
      <w:pPr>
        <w:pStyle w:val="Normal"/>
        <w:spacing w:lineRule="exact" w:line="276" w:before="0" w:after="120"/>
        <w:jc w:val="start"/>
        <w:rPr/>
      </w:pPr>
      <w:r>
        <w:rPr>
          <w:rFonts w:eastAsia="Calibri" w:cs="Calibri"/>
          <w:b w:val="false"/>
          <w:bCs w:val="false"/>
          <w:i w:val="false"/>
          <w:iCs w:val="false"/>
          <w:color w:val="1A1A1A"/>
          <w:sz w:val="21"/>
          <w:szCs w:val="21"/>
        </w:rPr>
        <w:t>Quietly eroding these everyday freedoms — deciding for someone what they can decide for themselves, restricting a choice for staff convenience — is itself a rights violation. When you are unsure whether something limits a right, ask your supervisor.</w:t>
      </w:r>
    </w:p>
    <w:p>
      <w:pPr>
        <w:pStyle w:val="Normal"/>
        <w:spacing w:before="1900" w:after="0"/>
        <w:jc w:val="center"/>
        <w:rPr/>
      </w:pPr>
      <w:r>
        <w:rPr>
          <w:rFonts w:eastAsia="Calibri" w:cs="Calibri"/>
          <w:b/>
          <w:bCs/>
          <w:i w:val="false"/>
          <w:iCs w:val="false"/>
          <w:color w:val="3E5871"/>
          <w:sz w:val="22"/>
          <w:szCs w:val="22"/>
        </w:rPr>
        <w:t>Part Two</w:t>
      </w:r>
    </w:p>
    <w:p>
      <w:pPr>
        <w:pStyle w:val="Normal"/>
        <w:spacing w:before="100" w:after="60"/>
        <w:jc w:val="center"/>
        <w:rPr/>
      </w:pPr>
      <w:r>
        <w:rPr>
          <w:rFonts w:eastAsia="Calibri" w:cs="Calibri"/>
          <w:b/>
          <w:bCs/>
          <w:i w:val="false"/>
          <w:iCs w:val="false"/>
          <w:color w:val="1F3A5F"/>
          <w:sz w:val="40"/>
          <w:szCs w:val="40"/>
        </w:rPr>
        <w:t>Providing Great Support</w:t>
      </w:r>
    </w:p>
    <w:p>
      <w:pPr>
        <w:pStyle w:val="Normal"/>
        <w:pBdr>
          <w:bottom w:val="single" w:sz="8" w:space="6" w:color="9DB1C7"/>
        </w:pBdr>
        <w:spacing w:before="40" w:after="200"/>
        <w:jc w:val="center"/>
        <w:rPr/>
      </w:pPr>
      <w:r>
        <w:rPr/>
      </w:r>
    </w:p>
    <w:p>
      <w:pPr>
        <w:pStyle w:val="Normal"/>
        <w:spacing w:lineRule="exact" w:line="276" w:before="0" w:after="90"/>
        <w:jc w:val="center"/>
        <w:rPr/>
      </w:pPr>
      <w:r>
        <w:rPr>
          <w:rFonts w:eastAsia="Calibri" w:cs="Calibri"/>
          <w:b w:val="false"/>
          <w:bCs w:val="false"/>
          <w:i w:val="false"/>
          <w:iCs w:val="false"/>
          <w:color w:val="3E5871"/>
          <w:sz w:val="22"/>
          <w:szCs w:val="22"/>
        </w:rPr>
        <w:t>Daily Living, Habilitation &amp; Community Life</w:t>
      </w:r>
    </w:p>
    <w:p>
      <w:pPr>
        <w:pStyle w:val="Normal"/>
        <w:spacing w:lineRule="exact" w:line="276" w:before="0" w:after="90"/>
        <w:jc w:val="center"/>
        <w:rPr/>
      </w:pPr>
      <w:r>
        <w:rPr>
          <w:rFonts w:eastAsia="Calibri" w:cs="Calibri"/>
          <w:b w:val="false"/>
          <w:bCs w:val="false"/>
          <w:i w:val="false"/>
          <w:iCs w:val="false"/>
          <w:color w:val="3E5871"/>
          <w:sz w:val="22"/>
          <w:szCs w:val="22"/>
        </w:rPr>
        <w:t>Communication &amp; Building Trust</w:t>
      </w:r>
    </w:p>
    <w:p>
      <w:pPr>
        <w:pStyle w:val="Normal"/>
        <w:spacing w:lineRule="exact" w:line="276" w:before="0" w:after="90"/>
        <w:jc w:val="center"/>
        <w:rPr/>
      </w:pPr>
      <w:r>
        <w:rPr>
          <w:rFonts w:eastAsia="Calibri" w:cs="Calibri"/>
          <w:b w:val="false"/>
          <w:bCs w:val="false"/>
          <w:i w:val="false"/>
          <w:iCs w:val="false"/>
          <w:color w:val="3E5871"/>
          <w:sz w:val="22"/>
          <w:szCs w:val="22"/>
        </w:rPr>
        <w:t>Supporting Behavior Positively</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4  —  Daily Living, Habilitation &amp; Community Life  </w:t>
      </w:r>
    </w:p>
    <w:p>
      <w:pPr>
        <w:pStyle w:val="Normal"/>
        <w:spacing w:lineRule="exact" w:line="276" w:before="0" w:after="120"/>
        <w:jc w:val="start"/>
        <w:rPr/>
      </w:pPr>
      <w:r>
        <w:rPr>
          <w:rFonts w:eastAsia="Calibri" w:cs="Calibri"/>
          <w:b w:val="false"/>
          <w:bCs w:val="false"/>
          <w:i w:val="false"/>
          <w:iCs w:val="false"/>
          <w:color w:val="1A1A1A"/>
          <w:sz w:val="21"/>
          <w:szCs w:val="21"/>
        </w:rPr>
        <w:t>Most of your work is supporting the ordinary business of life — and using those everyday moments to build skills and independence. The goal is never simply to do things for people, but to support them to do as much as they can for themselves, in the least-restrictive way.</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Personal care and health. </w:t>
      </w:r>
      <w:r>
        <w:rPr>
          <w:rFonts w:eastAsia="Calibri" w:cs="Calibri"/>
          <w:b w:val="false"/>
          <w:bCs w:val="false"/>
          <w:i w:val="false"/>
          <w:iCs w:val="false"/>
          <w:color w:val="1A1A1A"/>
          <w:sz w:val="21"/>
          <w:szCs w:val="21"/>
        </w:rPr>
        <w:t>Support bathing, grooming, dressing, toileting, mobility, and nutrition with dignity and privacy, respecting each person’s preferences.</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Household life. </w:t>
      </w:r>
      <w:r>
        <w:rPr>
          <w:rFonts w:eastAsia="Calibri" w:cs="Calibri"/>
          <w:b w:val="false"/>
          <w:bCs w:val="false"/>
          <w:i w:val="false"/>
          <w:iCs w:val="false"/>
          <w:color w:val="1A1A1A"/>
          <w:sz w:val="21"/>
          <w:szCs w:val="21"/>
        </w:rPr>
        <w:t>Support cooking, cleaning, laundry, and shopping — with the individual, not just for them, as a chance to build skills.</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Habilitation goals. </w:t>
      </w:r>
      <w:r>
        <w:rPr>
          <w:rFonts w:eastAsia="Calibri" w:cs="Calibri"/>
          <w:b w:val="false"/>
          <w:bCs w:val="false"/>
          <w:i w:val="false"/>
          <w:iCs w:val="false"/>
          <w:color w:val="1A1A1A"/>
          <w:sz w:val="21"/>
          <w:szCs w:val="21"/>
        </w:rPr>
        <w:t>Work on the skills in each person’s service plan — money, transportation, health self-management, communication, relationships.</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Community participation. </w:t>
      </w:r>
      <w:r>
        <w:rPr>
          <w:rFonts w:eastAsia="Calibri" w:cs="Calibri"/>
          <w:b w:val="false"/>
          <w:bCs w:val="false"/>
          <w:i w:val="false"/>
          <w:iCs w:val="false"/>
          <w:color w:val="1A1A1A"/>
          <w:sz w:val="21"/>
          <w:szCs w:val="21"/>
        </w:rPr>
        <w:t>Support day programs, employment, activities, faith, and friendships — a life connected to the community, not confined to the home.</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5  —  Communication &amp; Building Trust  </w:t>
      </w:r>
    </w:p>
    <w:p>
      <w:pPr>
        <w:pStyle w:val="Normal"/>
        <w:spacing w:lineRule="exact" w:line="276" w:before="0" w:after="120"/>
        <w:jc w:val="start"/>
        <w:rPr/>
      </w:pPr>
      <w:r>
        <w:rPr>
          <w:rFonts w:eastAsia="Calibri" w:cs="Calibri"/>
          <w:b w:val="false"/>
          <w:bCs w:val="false"/>
          <w:i w:val="false"/>
          <w:iCs w:val="false"/>
          <w:color w:val="1A1A1A"/>
          <w:sz w:val="21"/>
          <w:szCs w:val="21"/>
        </w:rPr>
        <w:t>Good support rests on communication and trust. Learn how each individual communicates — words, gestures, devices, behavior — and give them your full attention. Speak to adults as adults, explain what you are doing and why, offer real choices, and give people time to respond. Trust is built in small, consistent, respectful moments over time.</w:t>
      </w:r>
    </w:p>
    <w:p>
      <w:pPr>
        <w:pStyle w:val="Normal"/>
        <w:spacing w:lineRule="exact" w:line="276" w:before="0" w:after="120"/>
        <w:jc w:val="start"/>
        <w:rPr/>
      </w:pPr>
      <w:r>
        <w:rPr>
          <w:rFonts w:eastAsia="Calibri" w:cs="Calibri"/>
          <w:b w:val="false"/>
          <w:bCs w:val="false"/>
          <w:i w:val="false"/>
          <w:iCs w:val="false"/>
          <w:color w:val="1A1A1A"/>
          <w:sz w:val="21"/>
          <w:szCs w:val="21"/>
        </w:rPr>
        <w:t>Behavior is communication too. When an individual is upset or acting differently, they are often telling you something — pain, fear, frustration, a need not being met. Your first job is to listen for what is behind the behavior, not just to manage the behavior itself.</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6  —  Supporting Behavior Positively  </w:t>
      </w:r>
    </w:p>
    <w:p>
      <w:pPr>
        <w:pStyle w:val="Normal"/>
        <w:spacing w:lineRule="exact" w:line="276" w:before="0" w:after="120"/>
        <w:jc w:val="start"/>
        <w:rPr/>
      </w:pPr>
      <w:r>
        <w:rPr>
          <w:rFonts w:eastAsia="Calibri" w:cs="Calibri"/>
          <w:b w:val="false"/>
          <w:bCs w:val="false"/>
          <w:i w:val="false"/>
          <w:iCs w:val="false"/>
          <w:color w:val="1A1A1A"/>
          <w:sz w:val="21"/>
          <w:szCs w:val="21"/>
        </w:rPr>
        <w:t>Some individuals have a behavior support plan developed through their team. When they do, you follow it — it is part of the service plan, built on positive, individualized approaches, and you are trained on it. Your everyday tools are prevention and relationship: knowing each person, keeping routines predictable, noticing early signs, and de-escalating calmly and respectfully.</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What we never do</w:t>
            </w:r>
          </w:p>
          <w:p>
            <w:pPr>
              <w:pStyle w:val="Normal"/>
              <w:spacing w:lineRule="exact" w:line="270" w:before="0" w:after="0"/>
              <w:rPr/>
            </w:pPr>
            <w:r>
              <w:rPr>
                <w:rFonts w:eastAsia="Calibri" w:cs="Calibri"/>
                <w:b w:val="false"/>
                <w:bCs w:val="false"/>
                <w:i w:val="false"/>
                <w:iCs w:val="false"/>
                <w:color w:val="1A1A1A"/>
                <w:sz w:val="20"/>
                <w:szCs w:val="20"/>
              </w:rPr>
              <w:t>We never use corporal punishment, humiliation, threats, or restriction as punishment or for convenience. Any restrictive intervention is limited to what a plan or an emergency to prevent imminent harm requires, is the least restrictive possible, and is documented and reported. If you are ever unsure, protect the person and call your supervisor.</w:t>
            </w:r>
          </w:p>
        </w:tc>
      </w:tr>
    </w:tbl>
    <w:p>
      <w:pPr>
        <w:pStyle w:val="Normal"/>
        <w:spacing w:before="1900" w:after="0"/>
        <w:jc w:val="center"/>
        <w:rPr/>
      </w:pPr>
      <w:r>
        <w:rPr>
          <w:rFonts w:eastAsia="Calibri" w:cs="Calibri"/>
          <w:b/>
          <w:bCs/>
          <w:i w:val="false"/>
          <w:iCs w:val="false"/>
          <w:color w:val="3E5871"/>
          <w:sz w:val="22"/>
          <w:szCs w:val="22"/>
        </w:rPr>
        <w:t>Part Three</w:t>
      </w:r>
    </w:p>
    <w:p>
      <w:pPr>
        <w:pStyle w:val="Normal"/>
        <w:spacing w:before="100" w:after="60"/>
        <w:jc w:val="center"/>
        <w:rPr/>
      </w:pPr>
      <w:r>
        <w:rPr>
          <w:rFonts w:eastAsia="Calibri" w:cs="Calibri"/>
          <w:b/>
          <w:bCs/>
          <w:i w:val="false"/>
          <w:iCs w:val="false"/>
          <w:color w:val="1F3A5F"/>
          <w:sz w:val="40"/>
          <w:szCs w:val="40"/>
        </w:rPr>
        <w:t>Health &amp; Safety</w:t>
      </w:r>
    </w:p>
    <w:p>
      <w:pPr>
        <w:pStyle w:val="Normal"/>
        <w:pBdr>
          <w:bottom w:val="single" w:sz="8" w:space="6" w:color="9DB1C7"/>
        </w:pBdr>
        <w:spacing w:before="40" w:after="200"/>
        <w:jc w:val="center"/>
        <w:rPr/>
      </w:pPr>
      <w:r>
        <w:rPr/>
      </w:r>
    </w:p>
    <w:p>
      <w:pPr>
        <w:pStyle w:val="Normal"/>
        <w:spacing w:lineRule="exact" w:line="276" w:before="0" w:after="90"/>
        <w:jc w:val="center"/>
        <w:rPr/>
      </w:pPr>
      <w:r>
        <w:rPr>
          <w:rFonts w:eastAsia="Calibri" w:cs="Calibri"/>
          <w:b w:val="false"/>
          <w:bCs w:val="false"/>
          <w:i w:val="false"/>
          <w:iCs w:val="false"/>
          <w:color w:val="3E5871"/>
          <w:sz w:val="22"/>
          <w:szCs w:val="22"/>
        </w:rPr>
        <w:t>The Individualized Service Plan &amp; Your Assignment</w:t>
      </w:r>
    </w:p>
    <w:p>
      <w:pPr>
        <w:pStyle w:val="Normal"/>
        <w:spacing w:lineRule="exact" w:line="276" w:before="0" w:after="90"/>
        <w:jc w:val="center"/>
        <w:rPr/>
      </w:pPr>
      <w:r>
        <w:rPr>
          <w:rFonts w:eastAsia="Calibri" w:cs="Calibri"/>
          <w:b w:val="false"/>
          <w:bCs w:val="false"/>
          <w:i w:val="false"/>
          <w:iCs w:val="false"/>
          <w:color w:val="3E5871"/>
          <w:sz w:val="22"/>
          <w:szCs w:val="22"/>
        </w:rPr>
        <w:t>Medication &amp; Your Role</w:t>
      </w:r>
    </w:p>
    <w:p>
      <w:pPr>
        <w:pStyle w:val="Normal"/>
        <w:spacing w:lineRule="exact" w:line="276" w:before="0" w:after="90"/>
        <w:jc w:val="center"/>
        <w:rPr/>
      </w:pPr>
      <w:r>
        <w:rPr>
          <w:rFonts w:eastAsia="Calibri" w:cs="Calibri"/>
          <w:b w:val="false"/>
          <w:bCs w:val="false"/>
          <w:i w:val="false"/>
          <w:iCs w:val="false"/>
          <w:color w:val="3E5871"/>
          <w:sz w:val="22"/>
          <w:szCs w:val="22"/>
        </w:rPr>
        <w:t>Health Monitoring &amp; Recognizing Changes</w:t>
      </w:r>
    </w:p>
    <w:p>
      <w:pPr>
        <w:pStyle w:val="Normal"/>
        <w:spacing w:lineRule="exact" w:line="276" w:before="0" w:after="90"/>
        <w:jc w:val="center"/>
        <w:rPr/>
      </w:pPr>
      <w:r>
        <w:rPr>
          <w:rFonts w:eastAsia="Calibri" w:cs="Calibri"/>
          <w:b w:val="false"/>
          <w:bCs w:val="false"/>
          <w:i w:val="false"/>
          <w:iCs w:val="false"/>
          <w:color w:val="3E5871"/>
          <w:sz w:val="22"/>
          <w:szCs w:val="22"/>
        </w:rPr>
        <w:t>Danielle’s Law &amp; Medical Emergencies</w:t>
      </w:r>
    </w:p>
    <w:p>
      <w:pPr>
        <w:pStyle w:val="Normal"/>
        <w:spacing w:lineRule="exact" w:line="276" w:before="0" w:after="90"/>
        <w:jc w:val="center"/>
        <w:rPr/>
      </w:pPr>
      <w:r>
        <w:rPr>
          <w:rFonts w:eastAsia="Calibri" w:cs="Calibri"/>
          <w:b w:val="false"/>
          <w:bCs w:val="false"/>
          <w:i w:val="false"/>
          <w:iCs w:val="false"/>
          <w:color w:val="3E5871"/>
          <w:sz w:val="22"/>
          <w:szCs w:val="22"/>
        </w:rPr>
        <w:t>Fire Safety &amp; Emergency Preparedness</w:t>
      </w:r>
    </w:p>
    <w:p>
      <w:pPr>
        <w:pStyle w:val="Normal"/>
        <w:spacing w:lineRule="exact" w:line="276" w:before="0" w:after="90"/>
        <w:jc w:val="center"/>
        <w:rPr/>
      </w:pPr>
      <w:r>
        <w:rPr>
          <w:rFonts w:eastAsia="Calibri" w:cs="Calibri"/>
          <w:b w:val="false"/>
          <w:bCs w:val="false"/>
          <w:i w:val="false"/>
          <w:iCs w:val="false"/>
          <w:color w:val="3E5871"/>
          <w:sz w:val="22"/>
          <w:szCs w:val="22"/>
        </w:rPr>
        <w:t>Infection Control &amp; a Safe Home</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7  —  The Individualized Service Plan &amp; Your Assignment  </w:t>
      </w:r>
    </w:p>
    <w:p>
      <w:pPr>
        <w:pStyle w:val="Normal"/>
        <w:spacing w:lineRule="exact" w:line="276" w:before="0" w:after="120"/>
        <w:jc w:val="start"/>
        <w:rPr/>
      </w:pPr>
      <w:r>
        <w:rPr>
          <w:rFonts w:eastAsia="Calibri" w:cs="Calibri"/>
          <w:b w:val="false"/>
          <w:bCs w:val="false"/>
          <w:i w:val="false"/>
          <w:iCs w:val="false"/>
          <w:color w:val="1A1A1A"/>
          <w:sz w:val="21"/>
          <w:szCs w:val="21"/>
        </w:rPr>
        <w:t>Each individual has an Individualized Service Plan (ISP), developed through person-centered planning with the individual, their guardian, their Support Coordinator, and the team. The ISP describes the person’s goals and the supports they receive, and the home carries out the residential goals it assigns. You need to know the plan for each person you support.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Know each individual’s goals, support needs, and any specific strategies or plans (behavior, health, communication, dietary)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Provide support consistent with the current plan, and only tasks you are assigned and trained for</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Report changes in an individual’s needs so the plan can be updated by the team</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Document your support meaningfully — what you did and how the person responded</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8  —  Medication &amp; Your Role  </w:t>
      </w:r>
    </w:p>
    <w:p>
      <w:pPr>
        <w:pStyle w:val="Normal"/>
        <w:spacing w:lineRule="exact" w:line="276" w:before="0" w:after="120"/>
        <w:jc w:val="start"/>
        <w:rPr/>
      </w:pPr>
      <w:r>
        <w:rPr>
          <w:rFonts w:eastAsia="Calibri" w:cs="Calibri"/>
          <w:b w:val="false"/>
          <w:bCs w:val="false"/>
          <w:i w:val="false"/>
          <w:iCs w:val="false"/>
          <w:color w:val="1A1A1A"/>
          <w:sz w:val="21"/>
          <w:szCs w:val="21"/>
        </w:rPr>
        <w:t>Medication is one of the highest-risk parts of your work, and New Jersey sets clear rules for it at N.J.A.C. 10:44A-5.2. Individuals take their own medication to the extent they are able, as assessed and documented. When an individual cannot, medication is assisted or supervised only by staff who are trained and authorized, exactly as prescribed.</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Support self-medication where an individual is assessed as able — encourage and enable their independence safely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If you are trained and authorized to assist with medication, follow the medication record exactly, and record what you give with your initials and signature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Document PRN (as-needed) medication with the time given, and tell the on-coming shift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give a medication you are unsure about, and report any medication error immediately — honesty about errors is what prevents the next one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Medication is stored securely in its original pharmacy containers; follow the agency’s storage and key procedures</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Report medication errors — always</w:t>
            </w:r>
          </w:p>
          <w:p>
            <w:pPr>
              <w:pStyle w:val="Normal"/>
              <w:spacing w:lineRule="exact" w:line="270" w:before="0" w:after="0"/>
              <w:rPr/>
            </w:pPr>
            <w:r>
              <w:rPr>
                <w:rFonts w:eastAsia="Calibri" w:cs="Calibri"/>
                <w:b w:val="false"/>
                <w:bCs w:val="false"/>
                <w:i w:val="false"/>
                <w:iCs w:val="false"/>
                <w:color w:val="1A1A1A"/>
                <w:sz w:val="20"/>
                <w:szCs w:val="20"/>
              </w:rPr>
              <w:t>If a medication is missed, given wrong, or given late, report it right away through the incident process. You will never be in more trouble for honestly reporting an error than for hiding one — and reporting protects the individual’s health.</w:t>
            </w:r>
          </w:p>
        </w:tc>
      </w:tr>
    </w:tbl>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9  —  Health Monitoring &amp; Recognizing Changes  </w:t>
      </w:r>
    </w:p>
    <w:p>
      <w:pPr>
        <w:pStyle w:val="Normal"/>
        <w:spacing w:lineRule="exact" w:line="276" w:before="0" w:after="120"/>
        <w:jc w:val="start"/>
        <w:rPr/>
      </w:pPr>
      <w:r>
        <w:rPr>
          <w:rFonts w:eastAsia="Calibri" w:cs="Calibri"/>
          <w:b w:val="false"/>
          <w:bCs w:val="false"/>
          <w:i w:val="false"/>
          <w:iCs w:val="false"/>
          <w:color w:val="1A1A1A"/>
          <w:sz w:val="21"/>
          <w:szCs w:val="21"/>
        </w:rPr>
        <w:t>Many individuals may not reliably tell you when something is wrong, so you are the first line of health monitoring. Learn each person’s normal, and act on changes — in condition, behavior, appetite, mobility, mood, or skin. Follow through on appointments and practitioner orders, and communicate health information clearly across shifts.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Watch for and report falls, new or worsening pain, wounds or skin changes, trouble breathing, fever, or changes in eating, elimination, mood, or behavior</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Follow through on medical appointments and any instructions from health providers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Communicate clearly at shift change so nothing falls through the gaps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When in doubt about an individual’s health, call your supervisor — and call 911 for anything life-threatening</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10  —  Danielle’s Law &amp; Medical Emergencies  </w:t>
      </w:r>
    </w:p>
    <w:p>
      <w:pPr>
        <w:pStyle w:val="Normal"/>
        <w:spacing w:lineRule="exact" w:line="276" w:before="0" w:after="120"/>
        <w:jc w:val="start"/>
        <w:rPr/>
      </w:pPr>
      <w:r>
        <w:rPr>
          <w:rFonts w:eastAsia="Calibri" w:cs="Calibri"/>
          <w:b w:val="false"/>
          <w:bCs w:val="false"/>
          <w:i w:val="false"/>
          <w:iCs w:val="false"/>
          <w:color w:val="1A1A1A"/>
          <w:sz w:val="21"/>
          <w:szCs w:val="21"/>
        </w:rPr>
        <w:t>Danielle’s Law (N.J.S.A. 30:6D-5.1 et seq.) requires staff serving individuals with developmental disabilities to call 911 in a life-threatening emergency and to report the call to the Department. This is a bright-line rule, not a judgment call.</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In a life-threatening emergency, call 911 first — do not delay to call a supervisor, nurse, or the agency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Give care within your training until help arrives, and stay with the individual</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Notify your supervisor and report the 911 call as the agency requires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Know where each individual’s emergency information is kept, and keep it with them when needed</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Hesitating is the danger</w:t>
            </w:r>
          </w:p>
          <w:p>
            <w:pPr>
              <w:pStyle w:val="Normal"/>
              <w:spacing w:lineRule="exact" w:line="270" w:before="0" w:after="0"/>
              <w:rPr/>
            </w:pPr>
            <w:r>
              <w:rPr>
                <w:rFonts w:eastAsia="Calibri" w:cs="Calibri"/>
                <w:b w:val="false"/>
                <w:bCs w:val="false"/>
                <w:i w:val="false"/>
                <w:iCs w:val="false"/>
                <w:color w:val="1A1A1A"/>
                <w:sz w:val="20"/>
                <w:szCs w:val="20"/>
              </w:rPr>
              <w:t>Danielle’s Law exists because delay costs lives. The mistake the law guards against is waiting to call 911 — not calling too soon. If a situation might be life-threatening, call.</w:t>
            </w:r>
          </w:p>
        </w:tc>
      </w:tr>
    </w:tbl>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11  —  Fire Safety &amp; Emergency Preparedness  </w:t>
      </w:r>
    </w:p>
    <w:p>
      <w:pPr>
        <w:pStyle w:val="Normal"/>
        <w:spacing w:lineRule="exact" w:line="276" w:before="0" w:after="120"/>
        <w:jc w:val="start"/>
        <w:rPr/>
      </w:pPr>
      <w:r>
        <w:rPr>
          <w:rFonts w:eastAsia="Calibri" w:cs="Calibri"/>
          <w:b w:val="false"/>
          <w:bCs w:val="false"/>
          <w:i w:val="false"/>
          <w:iCs w:val="false"/>
          <w:color w:val="1A1A1A"/>
          <w:sz w:val="21"/>
          <w:szCs w:val="21"/>
        </w:rPr>
        <w:t>A group home must be able to evacuate quickly — New Jersey uses a three-minute benchmark — and that depends on you as much as on the equipment. Know the home’s evacuation plan, the individuals who need help to evacuate, and how to use the fire alarm and extinguishers.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Know the evacuation plan for your home and each individual’s evacuation needs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Take fire drills seriously, across all shifts, and report any drill that cannot be completed safely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Keep exits clear and know where alarms, extinguishers, and emergency supplies are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Follow the agency’s emergency and disaster plan for New Jersey hazards — winter storms, flooding and hurricanes, extreme heat, and power outages</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12  —  Infection Control &amp; a Safe Home  </w:t>
      </w:r>
    </w:p>
    <w:p>
      <w:pPr>
        <w:pStyle w:val="Normal"/>
        <w:spacing w:lineRule="exact" w:line="276" w:before="0" w:after="120"/>
        <w:jc w:val="start"/>
        <w:rPr/>
      </w:pPr>
      <w:r>
        <w:rPr>
          <w:rFonts w:eastAsia="Calibri" w:cs="Calibri"/>
          <w:b w:val="false"/>
          <w:bCs w:val="false"/>
          <w:i w:val="false"/>
          <w:iCs w:val="false"/>
          <w:color w:val="1A1A1A"/>
          <w:sz w:val="21"/>
          <w:szCs w:val="21"/>
        </w:rPr>
        <w:t>Keep the home clean, sanitary, and safe, and protect individuals from illness and hazards. Use good hand hygiene and standard infection-prevention practices, handle food safely, and follow public-health guidance during any communicable-disease event.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Wash your hands and follow standard precautions; use gloves and cleaning practices as trained</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Store and prepare food safely, and follow any texture-modified or therapeutic diet orders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Keep the home free of hazards, and report anything unsafe — including a sustained unsafe indoor temperature — to your supervisor</w:t>
      </w:r>
    </w:p>
    <w:p>
      <w:pPr>
        <w:pStyle w:val="Normal"/>
        <w:spacing w:before="1900" w:after="0"/>
        <w:jc w:val="center"/>
        <w:rPr/>
      </w:pPr>
      <w:r>
        <w:rPr>
          <w:rFonts w:eastAsia="Calibri" w:cs="Calibri"/>
          <w:b/>
          <w:bCs/>
          <w:i w:val="false"/>
          <w:iCs w:val="false"/>
          <w:color w:val="3E5871"/>
          <w:sz w:val="22"/>
          <w:szCs w:val="22"/>
        </w:rPr>
        <w:t>Part Four</w:t>
      </w:r>
    </w:p>
    <w:p>
      <w:pPr>
        <w:pStyle w:val="Normal"/>
        <w:spacing w:before="100" w:after="60"/>
        <w:jc w:val="center"/>
        <w:rPr/>
      </w:pPr>
      <w:r>
        <w:rPr>
          <w:rFonts w:eastAsia="Calibri" w:cs="Calibri"/>
          <w:b/>
          <w:bCs/>
          <w:i w:val="false"/>
          <w:iCs w:val="false"/>
          <w:color w:val="1F3A5F"/>
          <w:sz w:val="40"/>
          <w:szCs w:val="40"/>
        </w:rPr>
        <w:t>Protecting the People You Serve</w:t>
      </w:r>
    </w:p>
    <w:p>
      <w:pPr>
        <w:pStyle w:val="Normal"/>
        <w:pBdr>
          <w:bottom w:val="single" w:sz="8" w:space="6" w:color="9DB1C7"/>
        </w:pBdr>
        <w:spacing w:before="40" w:after="200"/>
        <w:jc w:val="center"/>
        <w:rPr/>
      </w:pPr>
      <w:r>
        <w:rPr/>
      </w:r>
    </w:p>
    <w:p>
      <w:pPr>
        <w:pStyle w:val="Normal"/>
        <w:spacing w:lineRule="exact" w:line="276" w:before="0" w:after="90"/>
        <w:jc w:val="center"/>
        <w:rPr/>
      </w:pPr>
      <w:r>
        <w:rPr>
          <w:rFonts w:eastAsia="Calibri" w:cs="Calibri"/>
          <w:b w:val="false"/>
          <w:bCs w:val="false"/>
          <w:i w:val="false"/>
          <w:iCs w:val="false"/>
          <w:color w:val="3E5871"/>
          <w:sz w:val="22"/>
          <w:szCs w:val="22"/>
        </w:rPr>
        <w:t>Preventing &amp; Reporting Abuse, Neglect &amp; Exploitation</w:t>
      </w:r>
    </w:p>
    <w:p>
      <w:pPr>
        <w:pStyle w:val="Normal"/>
        <w:spacing w:lineRule="exact" w:line="276" w:before="0" w:after="90"/>
        <w:jc w:val="center"/>
        <w:rPr/>
      </w:pPr>
      <w:r>
        <w:rPr>
          <w:rFonts w:eastAsia="Calibri" w:cs="Calibri"/>
          <w:b w:val="false"/>
          <w:bCs w:val="false"/>
          <w:i w:val="false"/>
          <w:iCs w:val="false"/>
          <w:color w:val="3E5871"/>
          <w:sz w:val="22"/>
          <w:szCs w:val="22"/>
        </w:rPr>
        <w:t>Unusual Incident Reporting</w:t>
      </w:r>
    </w:p>
    <w:p>
      <w:pPr>
        <w:pStyle w:val="Normal"/>
        <w:spacing w:lineRule="exact" w:line="276" w:before="0" w:after="90"/>
        <w:jc w:val="center"/>
        <w:rPr/>
      </w:pPr>
      <w:r>
        <w:rPr>
          <w:rFonts w:eastAsia="Calibri" w:cs="Calibri"/>
          <w:b w:val="false"/>
          <w:bCs w:val="false"/>
          <w:i w:val="false"/>
          <w:iCs w:val="false"/>
          <w:color w:val="3E5871"/>
          <w:sz w:val="22"/>
          <w:szCs w:val="22"/>
        </w:rPr>
        <w:t>Confidentiality</w:t>
      </w:r>
    </w:p>
    <w:p>
      <w:pPr>
        <w:pStyle w:val="Normal"/>
        <w:spacing w:lineRule="exact" w:line="276" w:before="0" w:after="90"/>
        <w:jc w:val="center"/>
        <w:rPr/>
      </w:pPr>
      <w:r>
        <w:rPr>
          <w:rFonts w:eastAsia="Calibri" w:cs="Calibri"/>
          <w:b w:val="false"/>
          <w:bCs w:val="false"/>
          <w:i w:val="false"/>
          <w:iCs w:val="false"/>
          <w:color w:val="3E5871"/>
          <w:sz w:val="22"/>
          <w:szCs w:val="22"/>
        </w:rPr>
        <w:t>Professional Boundaries</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13  —  Preventing &amp; Reporting Abuse, Neglect &amp; Exploitation  </w:t>
      </w:r>
    </w:p>
    <w:p>
      <w:pPr>
        <w:pStyle w:val="Normal"/>
        <w:spacing w:lineRule="exact" w:line="276" w:before="0" w:after="120"/>
        <w:jc w:val="start"/>
        <w:rPr/>
      </w:pPr>
      <w:r>
        <w:rPr>
          <w:rFonts w:eastAsia="Calibri" w:cs="Calibri"/>
          <w:b w:val="false"/>
          <w:bCs w:val="false"/>
          <w:i w:val="false"/>
          <w:iCs w:val="false"/>
          <w:color w:val="1A1A1A"/>
          <w:sz w:val="21"/>
          <w:szCs w:val="21"/>
        </w:rPr>
        <w:t>Protecting the individuals you support from abuse, neglect, and exploitation is the most important responsibility you carry. Every staff member is a mandatory reporter under New Jersey law. If you have reasonable cause to believe an individual has been abused, neglected, or exploited — by anyone — you must report it.</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How to report — immediately</w:t>
            </w:r>
          </w:p>
          <w:p>
            <w:pPr>
              <w:pStyle w:val="Normal"/>
              <w:spacing w:lineRule="exact" w:line="270" w:before="0" w:after="0"/>
              <w:rPr/>
            </w:pPr>
            <w:r>
              <w:rPr>
                <w:rFonts w:eastAsia="Calibri" w:cs="Calibri"/>
                <w:b w:val="false"/>
                <w:bCs w:val="false"/>
                <w:i w:val="false"/>
                <w:iCs w:val="false"/>
                <w:color w:val="1A1A1A"/>
                <w:sz w:val="20"/>
                <w:szCs w:val="20"/>
              </w:rPr>
              <w:t>Report suspected abuse, neglect, or exploitation to the DDD Abuse &amp; Neglect Hotline at 1-800-832-9173 (press 1), available 24 hours a day. Call 911 for an emergency. Reporting through the agency’s incident system also satisfies your duty. Notify your supervisor — but never let anyone stop or delay your report.</w:t>
            </w:r>
          </w:p>
        </w:tc>
      </w:tr>
    </w:tbl>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Abuse includes physical, sexual, verbal, and emotional harm; neglect is failing to provide necessary care; exploitation is misusing an individual’s money or property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do not investigate or need to be certain — reasonable suspicion is enough; reporting is your job, not proving the case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A person substantiated for abuse, neglect, or exploitation may be placed on the Central Registry of Offenders Against Individuals with Developmental Disabilities and barred from this work</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Under Stephen Komninos’ Law, failing to report is a disorderly persons offense, with a penalty of $350 for each day a violation goes unreported</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are protected from retaliation for reporting in good faith — always</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14  —  Unusual Incident Reporting  </w:t>
      </w:r>
    </w:p>
    <w:p>
      <w:pPr>
        <w:pStyle w:val="Normal"/>
        <w:spacing w:lineRule="exact" w:line="276" w:before="0" w:after="120"/>
        <w:jc w:val="start"/>
        <w:rPr/>
      </w:pPr>
      <w:r>
        <w:rPr>
          <w:rFonts w:eastAsia="Calibri" w:cs="Calibri"/>
          <w:b w:val="false"/>
          <w:bCs w:val="false"/>
          <w:i w:val="false"/>
          <w:iCs w:val="false"/>
          <w:color w:val="1A1A1A"/>
          <w:sz w:val="21"/>
          <w:szCs w:val="21"/>
        </w:rPr>
        <w:t>Beyond abuse, many events — injuries, medication errors, falls, missing persons, hospitalizations, and other incidents affecting an individual’s health, safety, or welfare — must be reported as unusual incidents. Report them promptly and accurately; the point is not blame but protecting the individual and preventing the next incident.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Report an unusual incident to your supervisor and through the agency’s process to the DDD Office of Risk Management, within the required timeframes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Write down what happened factually — what you saw, when, and what you did</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The agency notifies the individual’s guardian within the required window — as fast as two hours for injuries tied to abuse, neglect, or exploitation or any moderate or major injury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delay or downplay a report; under-reporting is itself a serious problem</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15  —  Confidentiality  </w:t>
      </w:r>
    </w:p>
    <w:p>
      <w:pPr>
        <w:pStyle w:val="Normal"/>
        <w:spacing w:lineRule="exact" w:line="276" w:before="0" w:after="120"/>
        <w:jc w:val="start"/>
        <w:rPr/>
      </w:pPr>
      <w:r>
        <w:rPr>
          <w:rFonts w:eastAsia="Calibri" w:cs="Calibri"/>
          <w:b w:val="false"/>
          <w:bCs w:val="false"/>
          <w:i w:val="false"/>
          <w:iCs w:val="false"/>
          <w:color w:val="1A1A1A"/>
          <w:sz w:val="21"/>
          <w:szCs w:val="21"/>
        </w:rPr>
        <w:t>The individuals you support have a right to privacy, and their information is confidential under New Jersey rules (N.J.A.C. 10:41-2) and law. Share information about an individual only with people who need it to do their job, or as the agency authorizes. What you learn at work stays at work.</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discuss individuals with anyone outside the team, or in public places, or on social media — ever</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Access only the information you need for your role, and keep records secure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When someone asks about an individual, direct them to your supervisor</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16  —  Professional Boundaries  </w:t>
      </w:r>
    </w:p>
    <w:p>
      <w:pPr>
        <w:pStyle w:val="Normal"/>
        <w:spacing w:lineRule="exact" w:line="276" w:before="0" w:after="120"/>
        <w:jc w:val="start"/>
        <w:rPr/>
      </w:pPr>
      <w:r>
        <w:rPr>
          <w:rFonts w:eastAsia="Calibri" w:cs="Calibri"/>
          <w:b w:val="false"/>
          <w:bCs w:val="false"/>
          <w:i w:val="false"/>
          <w:iCs w:val="false"/>
          <w:color w:val="1A1A1A"/>
          <w:sz w:val="21"/>
          <w:szCs w:val="21"/>
        </w:rPr>
        <w:t>You will build close, caring relationships with the individuals you support — that is part of good support — but you keep professional boundaries that protect them and you. The relationship is centered on the individual’s needs, not yours.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borrow or lend money, accept gifts beyond what the agency allows, or mix your personal business with an individual’s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use an individual’s funds or property for yourself — this is exploitation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Keep relationships appropriate and report any situation that feels like a conflict of interest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Treat every individual with equal respect, free of favoritism or discrimination</w:t>
      </w:r>
    </w:p>
    <w:p>
      <w:pPr>
        <w:pStyle w:val="Normal"/>
        <w:spacing w:before="1900" w:after="0"/>
        <w:jc w:val="center"/>
        <w:rPr/>
      </w:pPr>
      <w:r>
        <w:rPr>
          <w:rFonts w:eastAsia="Calibri" w:cs="Calibri"/>
          <w:b/>
          <w:bCs/>
          <w:i w:val="false"/>
          <w:iCs w:val="false"/>
          <w:color w:val="3E5871"/>
          <w:sz w:val="22"/>
          <w:szCs w:val="22"/>
        </w:rPr>
        <w:t>Part Five</w:t>
      </w:r>
    </w:p>
    <w:p>
      <w:pPr>
        <w:pStyle w:val="Normal"/>
        <w:spacing w:before="100" w:after="60"/>
        <w:jc w:val="center"/>
        <w:rPr/>
      </w:pPr>
      <w:r>
        <w:rPr>
          <w:rFonts w:eastAsia="Calibri" w:cs="Calibri"/>
          <w:b/>
          <w:bCs/>
          <w:i w:val="false"/>
          <w:iCs w:val="false"/>
          <w:color w:val="1F3A5F"/>
          <w:sz w:val="40"/>
          <w:szCs w:val="40"/>
        </w:rPr>
        <w:t>Being a Professional</w:t>
      </w:r>
    </w:p>
    <w:p>
      <w:pPr>
        <w:pStyle w:val="Normal"/>
        <w:pBdr>
          <w:bottom w:val="single" w:sz="8" w:space="6" w:color="9DB1C7"/>
        </w:pBdr>
        <w:spacing w:before="40" w:after="200"/>
        <w:jc w:val="center"/>
        <w:rPr/>
      </w:pPr>
      <w:r>
        <w:rPr/>
      </w:r>
    </w:p>
    <w:p>
      <w:pPr>
        <w:pStyle w:val="Normal"/>
        <w:spacing w:lineRule="exact" w:line="276" w:before="0" w:after="90"/>
        <w:jc w:val="center"/>
        <w:rPr/>
      </w:pPr>
      <w:r>
        <w:rPr>
          <w:rFonts w:eastAsia="Calibri" w:cs="Calibri"/>
          <w:b w:val="false"/>
          <w:bCs w:val="false"/>
          <w:i w:val="false"/>
          <w:iCs w:val="false"/>
          <w:color w:val="3E5871"/>
          <w:sz w:val="22"/>
          <w:szCs w:val="22"/>
        </w:rPr>
        <w:t>Documentation &amp; Records</w:t>
      </w:r>
    </w:p>
    <w:p>
      <w:pPr>
        <w:pStyle w:val="Normal"/>
        <w:spacing w:lineRule="exact" w:line="276" w:before="0" w:after="90"/>
        <w:jc w:val="center"/>
        <w:rPr/>
      </w:pPr>
      <w:r>
        <w:rPr>
          <w:rFonts w:eastAsia="Calibri" w:cs="Calibri"/>
          <w:b w:val="false"/>
          <w:bCs w:val="false"/>
          <w:i w:val="false"/>
          <w:iCs w:val="false"/>
          <w:color w:val="3E5871"/>
          <w:sz w:val="22"/>
          <w:szCs w:val="22"/>
        </w:rPr>
        <w:t>Conduct, Attendance &amp; Background Checks</w:t>
      </w:r>
    </w:p>
    <w:p>
      <w:pPr>
        <w:pStyle w:val="Normal"/>
        <w:spacing w:lineRule="exact" w:line="276" w:before="0" w:after="90"/>
        <w:jc w:val="center"/>
        <w:rPr/>
      </w:pPr>
      <w:r>
        <w:rPr>
          <w:rFonts w:eastAsia="Calibri" w:cs="Calibri"/>
          <w:b w:val="false"/>
          <w:bCs w:val="false"/>
          <w:i w:val="false"/>
          <w:iCs w:val="false"/>
          <w:color w:val="3E5871"/>
          <w:sz w:val="22"/>
          <w:szCs w:val="22"/>
        </w:rPr>
        <w:t>Your Training</w:t>
      </w:r>
    </w:p>
    <w:p>
      <w:pPr>
        <w:pStyle w:val="Normal"/>
        <w:spacing w:lineRule="exact" w:line="276" w:before="0" w:after="90"/>
        <w:jc w:val="center"/>
        <w:rPr/>
      </w:pPr>
      <w:r>
        <w:rPr>
          <w:rFonts w:eastAsia="Calibri" w:cs="Calibri"/>
          <w:b w:val="false"/>
          <w:bCs w:val="false"/>
          <w:i w:val="false"/>
          <w:iCs w:val="false"/>
          <w:color w:val="3E5871"/>
          <w:sz w:val="22"/>
          <w:szCs w:val="22"/>
        </w:rPr>
        <w:t>Taking Care of Yourself &amp; Raising a Concern</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17  —  Documentation &amp; Records  </w:t>
      </w:r>
    </w:p>
    <w:p>
      <w:pPr>
        <w:pStyle w:val="Normal"/>
        <w:spacing w:lineRule="exact" w:line="276" w:before="0" w:after="120"/>
        <w:jc w:val="start"/>
        <w:rPr/>
      </w:pPr>
      <w:r>
        <w:rPr>
          <w:rFonts w:eastAsia="Calibri" w:cs="Calibri"/>
          <w:b w:val="false"/>
          <w:bCs w:val="false"/>
          <w:i w:val="false"/>
          <w:iCs w:val="false"/>
          <w:color w:val="1A1A1A"/>
          <w:sz w:val="21"/>
          <w:szCs w:val="21"/>
        </w:rPr>
        <w:t>If it is not documented, it did not happen — that is the rule of records. Your documentation shows the support an individual received, tracks their health and progress, and is part of the legal record. Write clearly, factually, and on time.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Document your support, medication given, incidents, and changes in condition accurately and promptly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Write facts, not opinions or labels; sign and date every entry with your full name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sign for support you did not provide or falsify a record — this is serious misconduct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Keep individual records at the home, secure and confidential, as property of the Department</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18  —  Conduct, Attendance &amp; Background Checks  </w:t>
      </w:r>
    </w:p>
    <w:p>
      <w:pPr>
        <w:pStyle w:val="Normal"/>
        <w:spacing w:lineRule="exact" w:line="276" w:before="0" w:after="120"/>
        <w:jc w:val="start"/>
        <w:rPr/>
      </w:pPr>
      <w:r>
        <w:rPr>
          <w:rFonts w:eastAsia="Calibri" w:cs="Calibri"/>
          <w:b w:val="false"/>
          <w:bCs w:val="false"/>
          <w:i w:val="false"/>
          <w:iCs w:val="false"/>
          <w:color w:val="1A1A1A"/>
          <w:sz w:val="21"/>
          <w:szCs w:val="21"/>
        </w:rPr>
        <w:t>You are trusted with vulnerable people’s home and care, and that trust carries responsibilities. Come to work reliably and on time — in a group home, a missed shift can leave individuals without the coverage they need. Conduct yourself professionally, honestly, and respectfully at all times.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Attendance matters for safety: give as much notice as possible if you cannot make a shift, and never leave until relief arrives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have cleared, and must continue to clear, the criminal-history, Child Abuse Record Information (CARI), and Central Registry checks and drug testing New Jersey requires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Report any arrest, charge, or change that could affect your eligibility to work in this field</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Follow the agency’s conduct, drug-free workplace, and personnel policies</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19  —  Your Training  </w:t>
      </w:r>
    </w:p>
    <w:p>
      <w:pPr>
        <w:pStyle w:val="Normal"/>
        <w:spacing w:lineRule="exact" w:line="276" w:before="0" w:after="120"/>
        <w:jc w:val="start"/>
        <w:rPr/>
      </w:pPr>
      <w:r>
        <w:rPr>
          <w:rFonts w:eastAsia="Calibri" w:cs="Calibri"/>
          <w:b w:val="false"/>
          <w:bCs w:val="false"/>
          <w:i w:val="false"/>
          <w:iCs w:val="false"/>
          <w:color w:val="1A1A1A"/>
          <w:sz w:val="21"/>
          <w:szCs w:val="21"/>
        </w:rPr>
        <w:t>New Jersey requires you to be prepared before you support individuals and to keep learning. You complete orientation before working independently — including unusual incident reporting, emergency procedures, an overview of developmental disabilities, and the Division’s life-threatening-emergency curriculum — and disability-specific and ongoing training on the required schedule.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Complete orientation and sign the acknowledgment before you work independently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Complete training specific to the individuals you support (for example, seizure care) and any required within your first ninety days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Keep your certifications current, and treat training as the foundation of safe support — not a formality</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20  —  Taking Care of Yourself &amp; Raising a Concern  </w:t>
      </w:r>
    </w:p>
    <w:p>
      <w:pPr>
        <w:pStyle w:val="Normal"/>
        <w:spacing w:lineRule="exact" w:line="276" w:before="0" w:after="120"/>
        <w:jc w:val="start"/>
        <w:rPr/>
      </w:pPr>
      <w:r>
        <w:rPr>
          <w:rFonts w:eastAsia="Calibri" w:cs="Calibri"/>
          <w:b w:val="false"/>
          <w:bCs w:val="false"/>
          <w:i w:val="false"/>
          <w:iCs w:val="false"/>
          <w:color w:val="1A1A1A"/>
          <w:sz w:val="21"/>
          <w:szCs w:val="21"/>
        </w:rPr>
        <w:t>This work is deeply rewarding and sometimes hard. Taking care of yourself — rest, support, and asking for help — is part of being able to support others well. And when something is wrong, bring it forward: problems get solved when they are raised early and honestly.</w:t>
      </w:r>
    </w:p>
    <w:p>
      <w:pPr>
        <w:pStyle w:val="Normal"/>
        <w:spacing w:lineRule="exact" w:line="276" w:before="0" w:after="120"/>
        <w:jc w:val="start"/>
        <w:rPr/>
      </w:pPr>
      <w:r>
        <w:rPr>
          <w:rFonts w:eastAsia="Calibri" w:cs="Calibri"/>
          <w:b w:val="false"/>
          <w:bCs w:val="false"/>
          <w:i w:val="false"/>
          <w:iCs w:val="false"/>
          <w:color w:val="1A1A1A"/>
          <w:sz w:val="21"/>
          <w:szCs w:val="21"/>
        </w:rPr>
        <w:t>Start with your supervisor, who is your first point of contact for questions and concerns. If a concern is about an individual’s safety or possible abuse, report it immediately as described earlier — do not wait. You have the right to raise a concern or grievance in good faith without any fear of punishment or retaliation. We would rather hear a concern ten times than miss it once.</w:t>
      </w:r>
    </w:p>
    <w:p>
      <w:pPr>
        <w:pStyle w:val="Normal"/>
        <w:pBdr>
          <w:bottom w:val="single" w:sz="8" w:space="1" w:color="9DB1C7"/>
        </w:pBdr>
        <w:spacing w:before="60" w:after="120"/>
        <w:rPr/>
      </w:pPr>
      <w:r>
        <w:rPr/>
      </w:r>
    </w:p>
    <w:p>
      <w:pPr>
        <w:pStyle w:val="Normal"/>
        <w:spacing w:lineRule="exact" w:line="276" w:before="0" w:after="120"/>
        <w:jc w:val="start"/>
        <w:rPr/>
      </w:pPr>
      <w:r>
        <w:rPr>
          <w:rFonts w:eastAsia="Calibri" w:cs="Calibri"/>
          <w:b/>
          <w:bCs/>
          <w:i w:val="false"/>
          <w:iCs w:val="false"/>
          <w:color w:val="3E5871"/>
          <w:sz w:val="21"/>
          <w:szCs w:val="21"/>
        </w:rPr>
        <w:t xml:space="preserve">Acknowledgment. </w:t>
      </w:r>
      <w:r>
        <w:rPr>
          <w:rFonts w:eastAsia="Calibri" w:cs="Calibri"/>
          <w:b w:val="false"/>
          <w:bCs w:val="false"/>
          <w:i w:val="false"/>
          <w:iCs w:val="false"/>
          <w:color w:val="1A1A1A"/>
          <w:sz w:val="21"/>
          <w:szCs w:val="21"/>
        </w:rPr>
        <w:t>I have received, read, and understood the [Agency Name] Direct Support Professional Handbook. I understand my role and the limits of my training; individual rights, dignity, and confidentiality; how to provide daily living, habilitation, and community support; the Individualized Service Plan; medication and my role under N.J.A.C. 10:44A-5.2; my duty under Danielle’s Law to call 911 in a life-threatening emergency; my duty to report abuse, neglect, exploitation, and unusual incidents, including to the DDD hotline at 1-800-832-9173; and my responsibilities for documentation, conduct, attendance, background checks, and training. I understand this handbook is a guide and is not a contract of employment.</w:t>
      </w:r>
    </w:p>
    <w:p>
      <w:pPr>
        <w:pStyle w:val="Normal"/>
        <w:spacing w:before="240" w:after="0"/>
        <w:rPr/>
      </w:pPr>
      <w:r>
        <w:rPr>
          <w:rFonts w:eastAsia="Calibri" w:cs="Calibri"/>
          <w:b w:val="false"/>
          <w:bCs w:val="false"/>
          <w:i w:val="false"/>
          <w:iCs w:val="false"/>
          <w:color w:val="1A1A1A"/>
          <w:sz w:val="21"/>
          <w:szCs w:val="21"/>
        </w:rPr>
        <w:t>Staff signature: ______________________________     Date: ______________</w:t>
      </w:r>
    </w:p>
    <w:p>
      <w:pPr>
        <w:pStyle w:val="Normal"/>
        <w:spacing w:before="180" w:after="0"/>
        <w:rPr/>
      </w:pPr>
      <w:r>
        <w:rPr>
          <w:rFonts w:eastAsia="Calibri" w:cs="Calibri"/>
          <w:b w:val="false"/>
          <w:bCs w:val="false"/>
          <w:i w:val="false"/>
          <w:iCs w:val="false"/>
          <w:color w:val="1A1A1A"/>
          <w:sz w:val="21"/>
          <w:szCs w:val="21"/>
        </w:rPr>
        <w:t>Print name: ______________________________</w:t>
      </w:r>
    </w:p>
    <w:p>
      <w:pPr>
        <w:pStyle w:val="Normal"/>
        <w:spacing w:before="180" w:after="0"/>
        <w:rPr/>
      </w:pPr>
      <w:r>
        <w:rPr>
          <w:rFonts w:eastAsia="Calibri" w:cs="Calibri"/>
          <w:b w:val="false"/>
          <w:bCs w:val="false"/>
          <w:i w:val="false"/>
          <w:iCs w:val="false"/>
          <w:color w:val="1A1A1A"/>
          <w:sz w:val="21"/>
          <w:szCs w:val="21"/>
        </w:rPr>
        <w:t>Supervisor signature: ______________________________     Date: ______________</w:t>
      </w:r>
    </w:p>
    <w:sectPr>
      <w:footerReference w:type="even" r:id="rId2"/>
      <w:footerReference w:type="default" r:id="rId3"/>
      <w:footerReference w:type="first" r:id="rId4"/>
      <w:type w:val="nextPage"/>
      <w:pgSz w:w="12240" w:h="15840"/>
      <w:pgMar w:left="1440" w:right="1440" w:gutter="0" w:header="0" w:top="1200" w:footer="708" w:bottom="120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[Agency Name] DSP Handbook  —  Community Residence (Group Home), New Jersey  —  Page </w:t>
    </w:r>
    <w:r>
      <w:rPr/>
      <w:fldChar w:fldCharType="begin"/>
    </w:r>
    <w:r>
      <w:rPr/>
      <w:instrText xml:space="preserve"> PAGE </w:instrText>
    </w:r>
    <w:r>
      <w:rPr/>
      <w:fldChar w:fldCharType="separate"/>
    </w:r>
    <w:r>
      <w:rPr/>
      <w:t>16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[Agency Name] DSP Handbook  —  Community Residence (Group Home), New Jersey  —  Page </w:t>
    </w:r>
    <w:r>
      <w:rPr/>
      <w:fldChar w:fldCharType="begin"/>
    </w:r>
    <w:r>
      <w:rPr/>
      <w:instrText xml:space="preserve"> PAGE </w:instrText>
    </w:r>
    <w:r>
      <w:rPr/>
      <w:fldChar w:fldCharType="separate"/>
    </w:r>
    <w:r>
      <w:rPr/>
      <w:t>16</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00" w:hanging="2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1"/>
      <w:szCs w:val="21"/>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1"/>
      <w:szCs w:val="21"/>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2026-07-14T10:04:02Z</dcterms:created>
  <dc:creator>PolicyReady.org</dc:creator>
  <dc:description/>
  <dc:language>en-US</dc:language>
  <cp:lastModifiedBy>Un-named</cp:lastModifiedBy>
  <dcterms:modified xsi:type="dcterms:W3CDTF">2026-07-14T10:04:02Z</dcterms:modified>
  <cp:revision>1</cp:revision>
  <dc:subject/>
  <dc:title>New Jersey Community Residence (Group Home) — Direct Support Professional Handbook</dc:title>
</cp:coreProperties>
</file>