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Policy &amp; Procedure Manual</w:t>
      </w:r>
    </w:p>
    <w:p>
      <w:pPr>
        <w:pStyle w:val="Normal"/>
        <w:spacing w:before="60" w:after="20"/>
        <w:jc w:val="center"/>
        <w:rPr/>
      </w:pPr>
      <w:r>
        <w:rPr>
          <w:rFonts w:eastAsia="Calibri" w:cs="Calibri"/>
          <w:b w:val="false"/>
          <w:bCs w:val="false"/>
          <w:i/>
          <w:iCs/>
          <w:color w:val="3E5871"/>
          <w:sz w:val="24"/>
          <w:szCs w:val="24"/>
        </w:rPr>
        <w:t>Personal Support Services Agency (Tennessee)</w:t>
      </w:r>
    </w:p>
    <w:p>
      <w:pPr>
        <w:pStyle w:val="Normal"/>
        <w:spacing w:before="0" w:after="200"/>
        <w:jc w:val="center"/>
        <w:rPr/>
      </w:pPr>
      <w:r>
        <w:rPr>
          <w:rFonts w:eastAsia="Calibri" w:cs="Calibri"/>
          <w:b w:val="false"/>
          <w:bCs w:val="false"/>
          <w:i w:val="false"/>
          <w:iCs w:val="false"/>
          <w:color w:val="555555"/>
          <w:sz w:val="20"/>
          <w:szCs w:val="20"/>
        </w:rPr>
        <w:t>Built to Tenn. Comp. R. &amp; Regs. 0940-05-38 (TDMHSAS personal support services agency license)</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The Tennessee personal support services agency licensing rule, Tenn. Comp. R. &amp; Regs. Chapter 0940-05-38 (Minimum Program Requirements for Personal Support Services Agencies), adopted under the Tennessee Mental Health and Developmental Disabilities laws (Title 33, including T.C.A. § 33-2-421). Licensed and overseen by the Tennessee Department of Mental Health and Substance Abuse Services (TDMHSAS), Office of Licensure. This is a NON-MEDICAL personal support services agency: it provides personal care and assistance with daily living, homemaker, sitter/companion, and in-home respite services in the service recipient’s residence. It does not provide skilled nursing or any medical service. Tennessee Medicaid (TennCare) long-term services are delivered through TennCare CHOICES and its managed care organizations.</w:t>
      </w:r>
    </w:p>
    <w:p>
      <w:pPr>
        <w:pStyle w:val="Normal"/>
        <w:pBdr>
          <w:bottom w:val="single" w:sz="8" w:space="1" w:color="9DB1C7"/>
        </w:pBdr>
        <w:spacing w:before="100" w:after="140"/>
        <w:rPr/>
      </w:pPr>
      <w:r>
        <w:rPr/>
      </w:r>
    </w:p>
    <w:p>
      <w:pPr>
        <w:pStyle w:val="Normal"/>
        <w:spacing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 Tennessee reviewers verify that your policies reference Chapter 0940-05-38 specifically — generic or other-state policies are rejected.</w:t>
      </w:r>
    </w:p>
    <w:p>
      <w:pPr>
        <w:pStyle w:val="Normal"/>
        <w:spacing w:before="0" w:after="20"/>
        <w:jc w:val="center"/>
        <w:rPr/>
      </w:pPr>
      <w:r>
        <w:rPr>
          <w:rFonts w:eastAsia="Calibri" w:cs="Calibri"/>
          <w:b w:val="false"/>
          <w:bCs w:val="false"/>
          <w:i w:val="false"/>
          <w:iCs w:val="false"/>
          <w:color w:val="1A1A1A"/>
          <w:sz w:val="21"/>
          <w:szCs w:val="21"/>
        </w:rPr>
        <w:t>Approved By: [Administrator Name]</w:t>
      </w:r>
    </w:p>
    <w:p>
      <w:pPr>
        <w:pStyle w:val="Normal"/>
        <w:spacing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in compliance with the following Tennessee authorities, which form the basis for this manual. This organization is licensed as a personal support services agency and provides non-medical personal support services — personal care and assistance with daily living, homemaker, sitter and companion, and in-home respite — in the service recipient’s residence. It does not provide skilled nursing or any medical service:</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The personal support services agency licensing rule, Tenn. Comp. R. &amp; Regs. Chapter 0940-05-38 (Minimum Program Requirements for Personal Support Services Agencies), adopted under Title 33 of the Tennessee Code (including T.C.A. § 33-2-421), which governs the licensure, governance, policies, personnel, training, records, and rights standards for personal support services agencies in Tennessee.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Licensed and overseen by the Tennessee Department of Mental Health and Substance Abuse Services (TDMHSAS), Office of Licensure, through its regional offices. Personal support services agencies are licensed by TDMHSAS — not by the Tennessee Health Facilities Commission (which licenses skilled home health agencies) and not by the Department of Disability and Aging. The initial licensure inspection is conducted as an electronic desk audit; there is no Certificate of Need and no life-safety/fire inspection for a personal support services agency.</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SCOPE: a personal support services agency provides non-medical services in the service recipient’s permanent or temporary residence — self-care assistance and activities of daily living (bathing, dressing, grooming, toileting, eating, mobility, and transfer assistance), homemaker services, sitter and companion services, and in-home respite. It does not provide skilled nursing, therapy, or medical care. A personal support services worker may provide medication assistance only if the agency offers that service, only with written authorization, and only after documented training conducted by or under the general supervision of a registered nurse (T.C.A. § 63-7-102).</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The written policies and procedures required by 0940-05-38-.06, including a description of services with enrollment and termination criteria; an organizational chart showing lines of authority; a worker-absence plan and an alternate staffing plan; a schedule of fees; the statement of service recipient rights and the grievance procedure; a confidentiality policy; emergency (fire and natural disaster) plans; abuse/neglect and critical-incident reporting and investigation; communicable-disease prevention; receipt and disbursement of service recipient funds; department access for investigations; medication-assistance, transportation, and assistive-device (gait belt, mechanical lift) procedures; and categorization of the majority of the agency’s client population.</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Service recipient rights under 0940-05-38-.10: the right to be fully informed of rights and responsibilities before services begin (with a statement of rights, the grievance procedure, a listing of available advocacy services, and a copy of pertinent agency rules); the right to voice grievances free from restraint, coercion, discrimination, or reprisal; the right to consideration, respect, and full recognition of dignity and individuality; the right to be protected from neglect and physical, verbal, and emotional abuse and from all misappropriation and exploitation; and the right to be assisted in exercising civil rights.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Personnel screening before any service recipient contact: background screening including the sex-offender registry, a parole and probation check, and the Tennessee elder/vulnerable-adult abuse registry, with documentation maintained in the personnel record and re-screening on the required schedule; and a health history consistent with the agency’s communicable-disease prevention procedures.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Worker competency and training under 0940-05-38-.08: each personal support services worker demonstrates documented basic competency — before beginning work with service recipients — in observing and reporting changes in daily living skills; abuse, neglect, and exploitation detection, reporting, and prevention; service recipient rights; universal health precautions and infection control; assisting with personal hygiene; service recipient safety; and emergency and disaster procedures; with job-related training at least annually and training specific to each service recipient’s needs.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On-site supervision of service delivery, with a documented supervisory visit on the schedule required by the licensing authority (an on-site supervisory visit no less often than every thirty days), and service recipient and personnel records maintained as required by 0940-05-38-.09 and .07.</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Reporting of suspected abuse, neglect, mistreatment, misappropriation, or exploitation of a service recipient to the TDMHSAS Office of Licensure and to Tennessee Adult Protective Services (Department of Human Services) under the Adult Protection Act (T.C.A. Title 71, Chapter 6; statewide intake 1-888-277-8366), and cooperation with all department investigations.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If serving TennCare recipients: enrollment and contracting with the TennCare CHOICES managed care organizations and Area Agencies on Aging and Disability, electronic visit verification as TennCare requires, Tennessee and federal labor law (the federal Fair Labor Standards Act, since Tennessee has no state minimum wage; caregivers employed as W-2 employees), workers’ compensation and liability insurance as required, HIPAA privacy and security, and a quality and program-review process. This manual provides general information and is not legal advice; verify current statute, rule, and payer requirements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rule,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Licensing, Administration &amp; Governance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Service Recipient Rights, Intake &amp; Service Planning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Personnel, Screening &amp; Training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Service Delivery &amp; Supervision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Safety &amp; Emergency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Compliance, Quality &amp; Business</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Licensing, Administration &amp; Governance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Personal Support Services Agency License and Governing Authority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Scope of Services and Non-Medical Boundary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Governance and Lines of Authority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Responsibilities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Population Categorization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Worker-Absence and Alternate Staffing Plan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Licensure, Desk Audit, and Renewal</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Business Registration, Insurance, and Fees</w:t>
            </w:r>
          </w:p>
        </w:tc>
      </w:tr>
    </w:tbl>
    <w:p>
      <w:pPr>
        <w:pStyle w:val="Normal"/>
        <w:spacing w:before="140" w:after="60"/>
        <w:rPr/>
      </w:pPr>
      <w:r>
        <w:rPr>
          <w:rFonts w:eastAsia="Calibri" w:cs="Calibri"/>
          <w:b/>
          <w:bCs/>
          <w:i w:val="false"/>
          <w:iCs w:val="false"/>
          <w:color w:val="1F3A5F"/>
          <w:sz w:val="22"/>
          <w:szCs w:val="22"/>
        </w:rPr>
        <w:t>Section 2 — Service Recipient Rights, Intake &amp; Service Planning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Recipient Rights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Informing Recipients of Rights and Grievance Procedures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Enrollment, Intake, and Termination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Plan and Individualized Needs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and Records Privacy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Receipt and Disbursement of Service Recipient Funds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Coordination and Continuity of Services</w:t>
            </w:r>
          </w:p>
        </w:tc>
      </w:tr>
    </w:tbl>
    <w:p>
      <w:pPr>
        <w:pStyle w:val="Normal"/>
        <w:spacing w:before="140" w:after="60"/>
        <w:rPr/>
      </w:pPr>
      <w:r>
        <w:rPr>
          <w:rFonts w:eastAsia="Calibri" w:cs="Calibri"/>
          <w:b/>
          <w:bCs/>
          <w:i w:val="false"/>
          <w:iCs w:val="false"/>
          <w:color w:val="1F3A5F"/>
          <w:sz w:val="22"/>
          <w:szCs w:val="22"/>
        </w:rPr>
        <w:t>Section 3 — Personnel, Screening &amp; Training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Qualifications and Employment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Background Screening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Employee Health and Communicable Disease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Worker Competency Before Service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Annual and Recipient-Specific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Medication-Assistance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Orientation and Ongoing Staff Education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Records</w:t>
            </w:r>
          </w:p>
        </w:tc>
      </w:tr>
    </w:tbl>
    <w:p>
      <w:pPr>
        <w:pStyle w:val="Normal"/>
        <w:spacing w:before="140" w:after="60"/>
        <w:rPr/>
      </w:pPr>
      <w:r>
        <w:rPr>
          <w:rFonts w:eastAsia="Calibri" w:cs="Calibri"/>
          <w:b/>
          <w:bCs/>
          <w:i w:val="false"/>
          <w:iCs w:val="false"/>
          <w:color w:val="1F3A5F"/>
          <w:sz w:val="22"/>
          <w:szCs w:val="22"/>
        </w:rPr>
        <w:t>Section 4 — Service Delivery &amp; Supervision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Delivery of Personal Support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On-Site Supervision of Service Delivery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Documentation and Service Recipient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Recipient Safety in the Home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 Assistance Boundary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Assistive Devices (Gait Belt, Mechanical Lift)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Transportation of Service Recipients</w:t>
            </w:r>
          </w:p>
        </w:tc>
      </w:tr>
    </w:tbl>
    <w:p>
      <w:pPr>
        <w:pStyle w:val="Normal"/>
        <w:spacing w:before="140" w:after="60"/>
        <w:rPr/>
      </w:pPr>
      <w:r>
        <w:rPr>
          <w:rFonts w:eastAsia="Calibri" w:cs="Calibri"/>
          <w:b/>
          <w:bCs/>
          <w:i w:val="false"/>
          <w:iCs w:val="false"/>
          <w:color w:val="1F3A5F"/>
          <w:sz w:val="22"/>
          <w:szCs w:val="22"/>
        </w:rPr>
        <w:t>Section 5 — Health, Safety &amp; Emergency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Communicable Disease Prevention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Reporting Abuse, Neglect, and Exploitation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Universal Precautions and Infection Control</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Critical Incident Reporting and Investigation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and Disaster Preparedness</w:t>
            </w:r>
          </w:p>
        </w:tc>
      </w:tr>
    </w:tbl>
    <w:p>
      <w:pPr>
        <w:pStyle w:val="Normal"/>
        <w:spacing w:before="140" w:after="60"/>
        <w:rPr/>
      </w:pPr>
      <w:r>
        <w:rPr>
          <w:rFonts w:eastAsia="Calibri" w:cs="Calibri"/>
          <w:b/>
          <w:bCs/>
          <w:i w:val="false"/>
          <w:iCs w:val="false"/>
          <w:color w:val="1F3A5F"/>
          <w:sz w:val="22"/>
          <w:szCs w:val="22"/>
        </w:rPr>
        <w:t>Section 6 — Compliance, Quality &amp; Business</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and Program Review</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Cooperation with Department Access and Investigations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TennCare CHOICES, MCO/AAAD Contracting, and EVV</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Billing Integrity and Anti-Fraud</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Labor, Wage, and Workers’ Compensation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Records Retention and Document Control</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LICENSING, ADMINISTRATION &amp; GOVERNANCE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Tennessee personal support services agency licensing rule, Tenn. Comp. R. &amp; Regs. Chapter 0940-05-38 (Minimum Program Requirements for Personal Support Services Agencies), adopted under the Tennessee Mental Health and Developmental Disabilities laws (Title 33, including T.C.A. § 33-2-421). Licensed and overseen by the Tennessee Department of Mental Health and Substance Abuse Services (TDMHSAS), Office of Licensure. This is a NON-MEDICAL personal support services agency: it provides personal care and assistance with daily living, homemaker, sitter/companion, and in-home respite services in the service recipient’s residence. It does not provide skilled nursing or any medical service. Tennessee Medicaid (TennCare) long-term services are delivered through TennCare CHOICES and its managed care organizations.</w:t>
      </w:r>
    </w:p>
    <w:p>
      <w:pPr>
        <w:pStyle w:val="Normal"/>
        <w:spacing w:lineRule="exact" w:line="276" w:before="0" w:after="120"/>
        <w:jc w:val="start"/>
        <w:rPr/>
      </w:pPr>
      <w:r>
        <w:rPr>
          <w:rFonts w:eastAsia="Calibri" w:cs="Calibri"/>
          <w:b w:val="false"/>
          <w:bCs w:val="false"/>
          <w:i/>
          <w:iCs/>
          <w:color w:val="555555"/>
          <w:sz w:val="20"/>
          <w:szCs w:val="20"/>
        </w:rPr>
        <w:t>This section establishes the agency’s legal foundation as a licensed Tennessee personal support services agency: the license and the rule behind it, the non-medical scope, the governing structure and administrator, the description of services with enrollment and termination criteria, the client-population categorization, the alternate staffing plan, and the licensure and business requirements that keep the agency in good standing with the TDMHSAS Office of Licensure.</w:t>
      </w:r>
    </w:p>
    <w:p>
      <w:pPr>
        <w:pStyle w:val="Normal"/>
        <w:keepNext w:val="true"/>
        <w:spacing w:before="240" w:after="100"/>
        <w:rPr/>
      </w:pPr>
      <w:r>
        <w:rPr>
          <w:rFonts w:eastAsia="Calibri" w:cs="Calibri"/>
          <w:b/>
          <w:bCs/>
          <w:i w:val="false"/>
          <w:iCs w:val="false"/>
          <w:color w:val="1F3A5F"/>
          <w:sz w:val="24"/>
          <w:szCs w:val="24"/>
        </w:rPr>
        <w:t>Policy 1.1 — Personal Support Services Agency License and Governing Authority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Personal Support Services Agency License and Governing Authority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Tenn. Comp. R. &amp; Regs. 0940-05-38; T.C.A. § 33-2-421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[Agency Name] operates only under a valid Tennessee personal support services agency license issued by TDMHSAS, and to identify the rule and statutes that govern the agency, so that every practice in this manual traces to a specific legal authority.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support services agency (PSSA) — </w:t>
      </w:r>
      <w:r>
        <w:rPr>
          <w:rFonts w:eastAsia="Calibri" w:cs="Calibri"/>
          <w:b w:val="false"/>
          <w:bCs w:val="false"/>
          <w:i w:val="false"/>
          <w:iCs w:val="false"/>
          <w:color w:val="1A1A1A"/>
          <w:sz w:val="21"/>
          <w:szCs w:val="21"/>
        </w:rPr>
        <w:t>an agency licensed under Tenn. Comp. R. &amp; Regs. 0940-05-38 to provide non-medical personal support services to service recipients in their residence.</w:t>
      </w:r>
    </w:p>
    <w:p>
      <w:pPr>
        <w:pStyle w:val="Normal"/>
        <w:spacing w:lineRule="exact" w:line="276" w:before="0" w:after="70"/>
        <w:rPr/>
      </w:pPr>
      <w:r>
        <w:rPr>
          <w:rFonts w:eastAsia="Calibri" w:cs="Calibri"/>
          <w:b/>
          <w:bCs/>
          <w:i w:val="false"/>
          <w:iCs w:val="false"/>
          <w:color w:val="1A1A1A"/>
          <w:sz w:val="21"/>
          <w:szCs w:val="21"/>
        </w:rPr>
        <w:t xml:space="preserve">Licensing authority — </w:t>
      </w:r>
      <w:r>
        <w:rPr>
          <w:rFonts w:eastAsia="Calibri" w:cs="Calibri"/>
          <w:b w:val="false"/>
          <w:bCs w:val="false"/>
          <w:i w:val="false"/>
          <w:iCs w:val="false"/>
          <w:color w:val="1A1A1A"/>
          <w:sz w:val="21"/>
          <w:szCs w:val="21"/>
        </w:rPr>
        <w:t>the Tennessee Department of Mental Health and Substance Abuse Services (TDMHSAS), Office of Licensure.</w:t>
      </w:r>
    </w:p>
    <w:p>
      <w:pPr>
        <w:pStyle w:val="Normal"/>
        <w:spacing w:lineRule="exact" w:line="276" w:before="0" w:after="70"/>
        <w:rPr/>
      </w:pPr>
      <w:r>
        <w:rPr>
          <w:rFonts w:eastAsia="Calibri" w:cs="Calibri"/>
          <w:b/>
          <w:bCs/>
          <w:i w:val="false"/>
          <w:iCs w:val="false"/>
          <w:color w:val="1A1A1A"/>
          <w:sz w:val="21"/>
          <w:szCs w:val="21"/>
        </w:rPr>
        <w:t xml:space="preserve">Service recipient — </w:t>
      </w:r>
      <w:r>
        <w:rPr>
          <w:rFonts w:eastAsia="Calibri" w:cs="Calibri"/>
          <w:b w:val="false"/>
          <w:bCs w:val="false"/>
          <w:i w:val="false"/>
          <w:iCs w:val="false"/>
          <w:color w:val="1A1A1A"/>
          <w:sz w:val="21"/>
          <w:szCs w:val="21"/>
        </w:rPr>
        <w:t>an individual who receives personal support services from the agency.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only under a current Tennessee personal support services agency license and complies with Tenn. Comp. R. &amp; Regs. Chapter 0940-05-38 (Minimum Program Requirements for Personal Support Services Agencies), adopted under Title 33 of the Tennessee Code, including T.C.A. § 33-2-421. The agency provides non-medical personal support services — personal care and assistance with daily living, homemaker, sitter and companion, and in-home respite — in the service recipient’s residence, and does not provide skilled nursing, therapy, or any medical service.</w:t>
      </w:r>
    </w:p>
    <w:p>
      <w:pPr>
        <w:pStyle w:val="Normal"/>
        <w:spacing w:lineRule="exact" w:line="276" w:before="0" w:after="120"/>
        <w:jc w:val="start"/>
        <w:rPr/>
      </w:pPr>
      <w:r>
        <w:rPr>
          <w:rFonts w:eastAsia="Calibri" w:cs="Calibri"/>
          <w:b w:val="false"/>
          <w:bCs w:val="false"/>
          <w:i w:val="false"/>
          <w:iCs w:val="false"/>
          <w:color w:val="1A1A1A"/>
          <w:sz w:val="21"/>
          <w:szCs w:val="21"/>
        </w:rPr>
        <w:t>The agency understands that it is licensed and overseen by the TDMHSAS Office of Licensure through its regional offices, not by the Tennessee Health Facilities Commission (which licenses skilled home health agencies) and not by the Department of Disability and Aging. The Administrator keeps a current copy of Chapter 0940-05-38 available to staff and ensures that this manual references the rule specifically, because Tennessee reviewers verify that policies cite 0940-05-38 and reject generic or other-state policies.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is responsible for maintaining the license, complying with 0940-05-38, and ensuring this manual is reviewed at least annually and upon any change to an applicable rule. Where any provision of this manual conflicts with current law, the law controls and the agency updates the manual.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Obtain and maintain a current Tennessee personal support services agency license before providing any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only non-medical personal support services in the service recipient’s residence.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a current copy of Chapter 0940-05-38 available to staff.</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Reference 0940-05-38 specifically throughout the agency’s policies.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Recognize TDMHSAS Office of Licensure as the licensing authority (not the Health Facilities Commission or DDA).</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Review this manual at least annually and upon any applicable rule change.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Update the manual whenever law or rule changes; the law controls over any conflicting provision.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Keep the license current and posted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PSSA License &amp; Governing Authority Record · Regulatory Reference &amp; Crosswalk List · Annual Manual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1.2 — Scope of Services and Non-Medical Boundary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Scope of Services and Non-Medical Boundary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0940-05-38-.03, .06(a)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non-medical scope of services and the boundary against any skilled or medical service, so that the agency provides only what it is licensed to provide.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support services — </w:t>
      </w:r>
      <w:r>
        <w:rPr>
          <w:rFonts w:eastAsia="Calibri" w:cs="Calibri"/>
          <w:b w:val="false"/>
          <w:bCs w:val="false"/>
          <w:i w:val="false"/>
          <w:iCs w:val="false"/>
          <w:color w:val="1A1A1A"/>
          <w:sz w:val="21"/>
          <w:szCs w:val="21"/>
        </w:rPr>
        <w:t>non-medical services provided in the residence: self-care assistance and activities of daily living, homemaker, sitter and companion, and in-home respite.</w:t>
      </w:r>
    </w:p>
    <w:p>
      <w:pPr>
        <w:pStyle w:val="Normal"/>
        <w:spacing w:lineRule="exact" w:line="276" w:before="0" w:after="70"/>
        <w:rPr/>
      </w:pPr>
      <w:r>
        <w:rPr>
          <w:rFonts w:eastAsia="Calibri" w:cs="Calibri"/>
          <w:b/>
          <w:bCs/>
          <w:i w:val="false"/>
          <w:iCs w:val="false"/>
          <w:color w:val="1A1A1A"/>
          <w:sz w:val="21"/>
          <w:szCs w:val="21"/>
        </w:rPr>
        <w:t xml:space="preserve">Non-medical boundary — </w:t>
      </w:r>
      <w:r>
        <w:rPr>
          <w:rFonts w:eastAsia="Calibri" w:cs="Calibri"/>
          <w:b w:val="false"/>
          <w:bCs w:val="false"/>
          <w:i w:val="false"/>
          <w:iCs w:val="false"/>
          <w:color w:val="1A1A1A"/>
          <w:sz w:val="21"/>
          <w:szCs w:val="21"/>
        </w:rPr>
        <w:t>the line the agency and its workers do not cross — no skilled nursing, therapy, or medical service.</w:t>
      </w:r>
    </w:p>
    <w:p>
      <w:pPr>
        <w:pStyle w:val="Normal"/>
        <w:spacing w:lineRule="exact" w:line="276" w:before="0" w:after="70"/>
        <w:rPr/>
      </w:pPr>
      <w:r>
        <w:rPr>
          <w:rFonts w:eastAsia="Calibri" w:cs="Calibri"/>
          <w:b/>
          <w:bCs/>
          <w:i w:val="false"/>
          <w:iCs w:val="false"/>
          <w:color w:val="1A1A1A"/>
          <w:sz w:val="21"/>
          <w:szCs w:val="21"/>
        </w:rPr>
        <w:t xml:space="preserve">Medication assistance — </w:t>
      </w:r>
      <w:r>
        <w:rPr>
          <w:rFonts w:eastAsia="Calibri" w:cs="Calibri"/>
          <w:b w:val="false"/>
          <w:bCs w:val="false"/>
          <w:i w:val="false"/>
          <w:iCs w:val="false"/>
          <w:color w:val="1A1A1A"/>
          <w:sz w:val="21"/>
          <w:szCs w:val="21"/>
        </w:rPr>
        <w:t>limited, non-medical help with self-administered medications, provided only if the agency offers it and only under the conditions in Policy 4.5.</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only non-medical personal support services described in 0940-05-38-.03: self-care assistance and activities of daily living (bathing, dressing, grooming, toileting, eating, mobility, and transfer assistance), homemaker services (meal preparation, light housekeeping, laundry, and errands), sitter and companion services, and in-home respite. The agency maintains a written description of the services it provides, including enrollment and termination criteria, and provides only services within its description and its workers’ documented competency.</w:t>
      </w:r>
    </w:p>
    <w:p>
      <w:pPr>
        <w:pStyle w:val="Normal"/>
        <w:spacing w:lineRule="exact" w:line="276" w:before="0" w:after="120"/>
        <w:jc w:val="start"/>
        <w:rPr/>
      </w:pPr>
      <w:r>
        <w:rPr>
          <w:rFonts w:eastAsia="Calibri" w:cs="Calibri"/>
          <w:b w:val="false"/>
          <w:bCs w:val="false"/>
          <w:i w:val="false"/>
          <w:iCs w:val="false"/>
          <w:color w:val="1A1A1A"/>
          <w:sz w:val="21"/>
          <w:szCs w:val="21"/>
        </w:rPr>
        <w:t>The agency and its personal support services workers do not provide skilled nursing, therapy, or any medical service. Where a service recipient needs care beyond the agency’s non-medical scope, the agency refers or coordinates appropriately and documents the referral. Any medication assistance the agency chooses to offer is limited and governed by Policy 4.5, and the use of assistive devices such as a gait belt or mechanical lift is governed by Policy 4.6.</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its scope through its quality process and aligns its advertising and enrollment with its licensed non-medical scope.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only the non-medical personal support services in the agency’s written description.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a service description that includes enrollment and termination criteria.</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provide skilled nursing, therapy, or medical services.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Refer or coordinate when a need is beyond non-medical scope; document it.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Limit any medication assistance to the conditions in Policy 4.5.</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Govern assistive-device use under Policy 4.6.</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Align advertising and enrollment with the licensed non-medical scope.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scope through the quality process.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Description &amp; Enrollment/Termination Criteria · Scope of Services Statement · Referral &amp; Coordination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1.3 — Governance and Lines of Authority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Governance and Lines of Authority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0940-05-38-.05, .06(b)</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the agency’s governing structure and clear lines of authority, so responsibility for the agency’s operation and compliance is defined and accountable.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Licensee — </w:t>
      </w:r>
      <w:r>
        <w:rPr>
          <w:rFonts w:eastAsia="Calibri" w:cs="Calibri"/>
          <w:b w:val="false"/>
          <w:bCs w:val="false"/>
          <w:i w:val="false"/>
          <w:iCs w:val="false"/>
          <w:color w:val="1A1A1A"/>
          <w:sz w:val="21"/>
          <w:szCs w:val="21"/>
        </w:rPr>
        <w:t>the person or entity to whom the license is issued, who assumes full legal authority and responsibility for the agency’s operation.</w:t>
      </w:r>
    </w:p>
    <w:p>
      <w:pPr>
        <w:pStyle w:val="Normal"/>
        <w:spacing w:lineRule="exact" w:line="276" w:before="0" w:after="70"/>
        <w:rPr/>
      </w:pPr>
      <w:r>
        <w:rPr>
          <w:rFonts w:eastAsia="Calibri" w:cs="Calibri"/>
          <w:b/>
          <w:bCs/>
          <w:i w:val="false"/>
          <w:iCs w:val="false"/>
          <w:color w:val="1A1A1A"/>
          <w:sz w:val="21"/>
          <w:szCs w:val="21"/>
        </w:rPr>
        <w:t xml:space="preserve">Organizational chart — </w:t>
      </w:r>
      <w:r>
        <w:rPr>
          <w:rFonts w:eastAsia="Calibri" w:cs="Calibri"/>
          <w:b w:val="false"/>
          <w:bCs w:val="false"/>
          <w:i w:val="false"/>
          <w:iCs w:val="false"/>
          <w:color w:val="1A1A1A"/>
          <w:sz w:val="21"/>
          <w:szCs w:val="21"/>
        </w:rPr>
        <w:t>the chart that clearly shows or describes the agency’s lines of authority, from the licensee through the administrator to the workers.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Name]’s licensee assumes full legal authority and responsibility for the operation of the agency and its compliance with 0940-05-38. The agency maintains an organizational chart that clearly shows or describes its lines of authority — from the licensee through the Administrator to supervisors and personal support services workers — so that every staff member knows to whom they report and who is accountable for each function.</w:t>
      </w:r>
    </w:p>
    <w:p>
      <w:pPr>
        <w:pStyle w:val="Normal"/>
        <w:spacing w:lineRule="exact" w:line="276" w:before="0" w:after="120"/>
        <w:jc w:val="start"/>
        <w:rPr/>
      </w:pPr>
      <w:r>
        <w:rPr>
          <w:rFonts w:eastAsia="Calibri" w:cs="Calibri"/>
          <w:b w:val="false"/>
          <w:bCs w:val="false"/>
          <w:i w:val="false"/>
          <w:iCs w:val="false"/>
          <w:color w:val="1A1A1A"/>
          <w:sz w:val="21"/>
          <w:szCs w:val="21"/>
        </w:rPr>
        <w:t>The agency discloses the name and address of each owner and controlling interest as required, provides the resources needed to operate in compliance, and keeps its governance records current. The governing structure ensures the agency has a qualified Administrator and the personnel needed to serve its service recipients safely and lawfully.</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its governance structure, ownership, and organizational chart, and keeps them available for the licensing authority.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Have the licensee assume full legal authority and responsibility for the agency.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an organizational chart showing lines of authority.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Ensure every staff member knows their reporting line and accountability.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Disclose owners and controlling interests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the resources needed to operate in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Appoint and support a qualified Administrator.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governance and ownership records current.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Make governance records available to the licensing authority.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Organizational Chart &amp; Lines of Authority · Ownership Disclosure Record · Governance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1.4 — Administrator Responsibilities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Administrator Responsibilities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is led by a qualified Administrator who directs day-to-day operations and holds administrative responsibility for compliance, quality, and personnel.</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Administrator — </w:t>
      </w:r>
      <w:r>
        <w:rPr>
          <w:rFonts w:eastAsia="Calibri" w:cs="Calibri"/>
          <w:b w:val="false"/>
          <w:bCs w:val="false"/>
          <w:i w:val="false"/>
          <w:iCs w:val="false"/>
          <w:color w:val="1A1A1A"/>
          <w:sz w:val="21"/>
          <w:szCs w:val="21"/>
        </w:rPr>
        <w:t>the individual designated by the licensee to organize and direct the agency’s ongoing functions and ensure compliance.</w:t>
      </w:r>
    </w:p>
    <w:p>
      <w:pPr>
        <w:pStyle w:val="Normal"/>
        <w:spacing w:lineRule="exact" w:line="276" w:before="0" w:after="70"/>
        <w:rPr/>
      </w:pPr>
      <w:r>
        <w:rPr>
          <w:rFonts w:eastAsia="Calibri" w:cs="Calibri"/>
          <w:b/>
          <w:bCs/>
          <w:i w:val="false"/>
          <w:iCs w:val="false"/>
          <w:color w:val="1A1A1A"/>
          <w:sz w:val="21"/>
          <w:szCs w:val="21"/>
        </w:rPr>
        <w:t xml:space="preserve">Designee — </w:t>
      </w:r>
      <w:r>
        <w:rPr>
          <w:rFonts w:eastAsia="Calibri" w:cs="Calibri"/>
          <w:b w:val="false"/>
          <w:bCs w:val="false"/>
          <w:i w:val="false"/>
          <w:iCs w:val="false"/>
          <w:color w:val="1A1A1A"/>
          <w:sz w:val="21"/>
          <w:szCs w:val="21"/>
        </w:rPr>
        <w:t>a qualified person authorized to act for the Administrator in the Administrator’s absence.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designates a qualified Administrator who organizes and directs the agency’s ongoing functions; employs qualified personnel and ensures they are screened, competent, and trained; ensures accurate public information; oversees the budgeting and financial operations; and is responsible for the agency’s compliance with 0940-05-38. The Administrator maintains communication among the licensee, supervisors, and workers, and serves as the agency’s point of contact for the TDMHSAS Office of Licensure.</w:t>
      </w:r>
    </w:p>
    <w:p>
      <w:pPr>
        <w:pStyle w:val="Normal"/>
        <w:spacing w:lineRule="exact" w:line="276" w:before="0" w:after="120"/>
        <w:jc w:val="start"/>
        <w:rPr/>
      </w:pPr>
      <w:r>
        <w:rPr>
          <w:rFonts w:eastAsia="Calibri" w:cs="Calibri"/>
          <w:b w:val="false"/>
          <w:bCs w:val="false"/>
          <w:i w:val="false"/>
          <w:iCs w:val="false"/>
          <w:color w:val="1A1A1A"/>
          <w:sz w:val="21"/>
          <w:szCs w:val="21"/>
        </w:rPr>
        <w:t>A qualified designee is authorized to act in the Administrator’s absence so that supervision and operations continue without interruption. The Administrator ensures required reports and notifications to the licensing authority are timely and cooperates fully with department inspections and investigations.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Administrator’s designation and the designee authorization, and the Administrator reviews this manual at least annually.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Designate a qualified Administrator to direct operations and ensure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Give the Administrator authority over personnel, screening, training, finances, and information.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Authorize a qualified designee to act in the Administrator’s absence.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Make the Administrator the point of contact for the Office of Licensure.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Ensure required reports and notifications are timely.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Cooperate fully with department inspections and investigations.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the designation and designee authorization.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Have the Administrator review this manual at least annually.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Administrator Designation Record · Designee Authorization · Delegation-of-Authority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1.5 — Client Population Categorization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Population Categorization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0940-05-38-.06(o)</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identify and document the majority population the agency serves, so services, competencies, and training are matched to the people actually served.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population base — </w:t>
      </w:r>
      <w:r>
        <w:rPr>
          <w:rFonts w:eastAsia="Calibri" w:cs="Calibri"/>
          <w:b w:val="false"/>
          <w:bCs w:val="false"/>
          <w:i w:val="false"/>
          <w:iCs w:val="false"/>
          <w:color w:val="1A1A1A"/>
          <w:sz w:val="21"/>
          <w:szCs w:val="21"/>
        </w:rPr>
        <w:t>the categories of service recipients the agency serves (for example, older adults, adults with physical disabilities, or individuals needing respite).</w:t>
      </w:r>
    </w:p>
    <w:p>
      <w:pPr>
        <w:pStyle w:val="Normal"/>
        <w:spacing w:lineRule="exact" w:line="276" w:before="0" w:after="70"/>
        <w:rPr/>
      </w:pPr>
      <w:r>
        <w:rPr>
          <w:rFonts w:eastAsia="Calibri" w:cs="Calibri"/>
          <w:b/>
          <w:bCs/>
          <w:i w:val="false"/>
          <w:iCs w:val="false"/>
          <w:color w:val="1A1A1A"/>
          <w:sz w:val="21"/>
          <w:szCs w:val="21"/>
        </w:rPr>
        <w:t xml:space="preserve">Majority categorization — </w:t>
      </w:r>
      <w:r>
        <w:rPr>
          <w:rFonts w:eastAsia="Calibri" w:cs="Calibri"/>
          <w:b w:val="false"/>
          <w:bCs w:val="false"/>
          <w:i w:val="false"/>
          <w:iCs w:val="false"/>
          <w:color w:val="1A1A1A"/>
          <w:sz w:val="21"/>
          <w:szCs w:val="21"/>
        </w:rPr>
        <w:t>the identification of the category that makes up more than fifty percent of the agency’s service recipients.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identifies and documents the categorization of the majority (over fifty percent) of its client population base, as required by 0940-05-38-.06(o). The agency uses this categorization to align its services, worker competencies, training topics, and supervision with the needs of the people it primarily serves.</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its client-population categorization periodically and updates it as the population it serves changes, so that training and service delivery remain matched to actual needs. The categorization informs the individualized, recipient-specific training required under Policy 3.5.</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its client-population categorization and the reviews of it, and keeps them available for the licensing authority.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Identify the category that makes up over fifty percent of service recipients.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the majority client-population categorization.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Align services, competencies, and training with that population.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Use the categorization to inform recipient-specific training (Policy 3.5).</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the categorization periodically.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Update it as the served population changes.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the categorization records available to the licensing authority.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Reflect population needs in supervision and quality review.</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Population Categorization Record · Population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1.6 — Worker-Absence and Alternate Staffing Plan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Worker-Absence and Alternate Staffing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0940-05-38-.06(c), .06(q)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service recipients are protected when a scheduled worker is absent, through a defined worker-absence procedure and an alternate staffing plan.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Worker-absence plan — </w:t>
      </w:r>
      <w:r>
        <w:rPr>
          <w:rFonts w:eastAsia="Calibri" w:cs="Calibri"/>
          <w:b w:val="false"/>
          <w:bCs w:val="false"/>
          <w:i w:val="false"/>
          <w:iCs w:val="false"/>
          <w:color w:val="1A1A1A"/>
          <w:sz w:val="21"/>
          <w:szCs w:val="21"/>
        </w:rPr>
        <w:t>the plan of action followed when a personal support services worker is absent, including notice to the service recipient, the action to be taken, and the timeframes.</w:t>
      </w:r>
    </w:p>
    <w:p>
      <w:pPr>
        <w:pStyle w:val="Normal"/>
        <w:spacing w:lineRule="exact" w:line="276" w:before="0" w:after="70"/>
        <w:rPr/>
      </w:pPr>
      <w:r>
        <w:rPr>
          <w:rFonts w:eastAsia="Calibri" w:cs="Calibri"/>
          <w:b/>
          <w:bCs/>
          <w:i w:val="false"/>
          <w:iCs w:val="false"/>
          <w:color w:val="1A1A1A"/>
          <w:sz w:val="21"/>
          <w:szCs w:val="21"/>
        </w:rPr>
        <w:t xml:space="preserve">Alternate staffing plan — </w:t>
      </w:r>
      <w:r>
        <w:rPr>
          <w:rFonts w:eastAsia="Calibri" w:cs="Calibri"/>
          <w:b w:val="false"/>
          <w:bCs w:val="false"/>
          <w:i w:val="false"/>
          <w:iCs w:val="false"/>
          <w:color w:val="1A1A1A"/>
          <w:sz w:val="21"/>
          <w:szCs w:val="21"/>
        </w:rPr>
        <w:t>the plan prepared in advance to staff a service recipient’s services when the assigned worker is absent.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written plan of action to be followed when a personal support services worker is absent, including notice to the service recipient, the action the agency will take, and the timeframes for that action, as required by 0940-05-38-.06(c). The agency also maintains an alternate staffing plan, prepared in advance, so that a service recipient’s needed services continue when the assigned worker is absent (0940-05-38-.06(q)).</w:t>
      </w:r>
    </w:p>
    <w:p>
      <w:pPr>
        <w:pStyle w:val="Normal"/>
        <w:spacing w:lineRule="exact" w:line="276" w:before="0" w:after="120"/>
        <w:jc w:val="start"/>
        <w:rPr/>
      </w:pPr>
      <w:r>
        <w:rPr>
          <w:rFonts w:eastAsia="Calibri" w:cs="Calibri"/>
          <w:b w:val="false"/>
          <w:bCs w:val="false"/>
          <w:i w:val="false"/>
          <w:iCs w:val="false"/>
          <w:color w:val="1A1A1A"/>
          <w:sz w:val="21"/>
          <w:szCs w:val="21"/>
        </w:rPr>
        <w:t>When a worker is absent, the agency notifies the service recipient promptly, arranges a qualified alternate worker where services are needed, and documents the absence and the action taken. The agency does not leave a service recipient who depends on personal support services without arranged coverage or notice.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worker absences, notices, and alternate staffing, and reviews absence patterns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worker-absence plan (notice, action, timeframes).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an alternate staffing plan prepared in advance.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Notify the service recipient promptly when a worker is absent.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Arrange a qualified alternate worker where services are needed.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absence and the action taken.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 not leave a dependent recipient without coverage or notice.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absence patterns through quality.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Confirm alternate workers are screened and competent before assignment.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Worker-Absence Plan · Alternate Staffing Plan · Absence &amp; Coverage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1.7 — Licensure, Desk Audit, and Renewal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Licensure, Desk Audit, and Renewal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0940-05-38-.04</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completes licensure correctly, is prepared for the licensure inspection, and renews on time so its authority to operate is never interrupted.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Electronic desk audit — </w:t>
      </w:r>
      <w:r>
        <w:rPr>
          <w:rFonts w:eastAsia="Calibri" w:cs="Calibri"/>
          <w:b w:val="false"/>
          <w:bCs w:val="false"/>
          <w:i w:val="false"/>
          <w:iCs w:val="false"/>
          <w:color w:val="1A1A1A"/>
          <w:sz w:val="21"/>
          <w:szCs w:val="21"/>
        </w:rPr>
        <w:t>the initial licensure inspection for a personal support services agency, conducted by a Licensure surveyor as a review of submitted documentation rather than an on-site visit.</w:t>
      </w:r>
    </w:p>
    <w:p>
      <w:pPr>
        <w:pStyle w:val="Normal"/>
        <w:spacing w:lineRule="exact" w:line="276" w:before="0" w:after="70"/>
        <w:rPr/>
      </w:pPr>
      <w:r>
        <w:rPr>
          <w:rFonts w:eastAsia="Calibri" w:cs="Calibri"/>
          <w:b/>
          <w:bCs/>
          <w:i w:val="false"/>
          <w:iCs w:val="false"/>
          <w:color w:val="1A1A1A"/>
          <w:sz w:val="21"/>
          <w:szCs w:val="21"/>
        </w:rPr>
        <w:t xml:space="preserve">Plan of correction — </w:t>
      </w:r>
      <w:r>
        <w:rPr>
          <w:rFonts w:eastAsia="Calibri" w:cs="Calibri"/>
          <w:b w:val="false"/>
          <w:bCs w:val="false"/>
          <w:i w:val="false"/>
          <w:iCs w:val="false"/>
          <w:color w:val="1A1A1A"/>
          <w:sz w:val="21"/>
          <w:szCs w:val="21"/>
        </w:rPr>
        <w:t>the agency’s written response correcting any deficiency identified by the licensing authority.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applies for licensure to the appropriate TDMHSAS regional Office of Licensure, submitting the required application, policies, financial documentation, insurance, background-screening evidence, and other required documents. Because a personal support services agency does not admit recipients to a facility, there is no Certificate of Need and no life-safety/fire inspection; the initial licensure inspection is conducted as an electronic desk audit by a Licensure surveyor. The agency maintains continuous survey readiness so that a review at any time would find it in compliance.</w:t>
      </w:r>
    </w:p>
    <w:p>
      <w:pPr>
        <w:pStyle w:val="Normal"/>
        <w:spacing w:lineRule="exact" w:line="276" w:before="0" w:after="120"/>
        <w:jc w:val="start"/>
        <w:rPr/>
      </w:pPr>
      <w:r>
        <w:rPr>
          <w:rFonts w:eastAsia="Calibri" w:cs="Calibri"/>
          <w:b w:val="false"/>
          <w:bCs w:val="false"/>
          <w:i w:val="false"/>
          <w:iCs w:val="false"/>
          <w:color w:val="1A1A1A"/>
          <w:sz w:val="21"/>
          <w:szCs w:val="21"/>
        </w:rPr>
        <w:t>When the licensing authority identifies a deficiency, the agency submits an acceptable plan of correction within the required timeframe, implements it, and addresses root causes through quality. The agency renews its license before it expires, submits required renewal materials and fees, and keeps its policies, screening, training, and records current between reviews.</w:t>
      </w:r>
    </w:p>
    <w:p>
      <w:pPr>
        <w:pStyle w:val="Normal"/>
        <w:spacing w:lineRule="exact" w:line="276" w:before="0" w:after="120"/>
        <w:jc w:val="start"/>
        <w:rPr/>
      </w:pPr>
      <w:r>
        <w:rPr>
          <w:rFonts w:eastAsia="Calibri" w:cs="Calibri"/>
          <w:b w:val="false"/>
          <w:bCs w:val="false"/>
          <w:i w:val="false"/>
          <w:iCs w:val="false"/>
          <w:color w:val="1A1A1A"/>
          <w:sz w:val="21"/>
          <w:szCs w:val="21"/>
        </w:rPr>
        <w:t>The agency tracks its license expiration, maintains a survey-readiness file the Administrator can produce on request, and cooperates fully with all reviews and investigations.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Submit the licensure application and required documents to the regional Office of Licensure.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Prepare for the initial electronic desk audit by keeping documentation complete.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continuous survey readiness across policies, screening, training, and records.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On any deficiency, submit and implement a plan of correction within the required timeframe.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Address root causes of deficiencies through quality.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Renew the license before it expires with required materials and fees.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a survey-readiness file available on request.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Cooperate fully with all reviews and investigations.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Licensure Application Checklist · Plan of Correction Template · License Renewal Tracker · Survey Readiness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1.8 — Business Registration, Insurance, and Fees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Business Registration, Insurance, and Fees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0940-05-38-.04, .06(d)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registers its business correctly, carries required coverage, and maintains a schedule of fees, so its operations rest on a sound legal and financial base.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Liability and workers’ compensation coverage — </w:t>
      </w:r>
      <w:r>
        <w:rPr>
          <w:rFonts w:eastAsia="Calibri" w:cs="Calibri"/>
          <w:b w:val="false"/>
          <w:bCs w:val="false"/>
          <w:i w:val="false"/>
          <w:iCs w:val="false"/>
          <w:color w:val="1A1A1A"/>
          <w:sz w:val="21"/>
          <w:szCs w:val="21"/>
        </w:rPr>
        <w:t>the insurance the agency carries appropriate to a personal support services agency and as required for licensure.</w:t>
      </w:r>
    </w:p>
    <w:p>
      <w:pPr>
        <w:pStyle w:val="Normal"/>
        <w:spacing w:lineRule="exact" w:line="276" w:before="0" w:after="70"/>
        <w:rPr/>
      </w:pPr>
      <w:r>
        <w:rPr>
          <w:rFonts w:eastAsia="Calibri" w:cs="Calibri"/>
          <w:b/>
          <w:bCs/>
          <w:i w:val="false"/>
          <w:iCs w:val="false"/>
          <w:color w:val="1A1A1A"/>
          <w:sz w:val="21"/>
          <w:szCs w:val="21"/>
        </w:rPr>
        <w:t xml:space="preserve">Schedule of fees — </w:t>
      </w:r>
      <w:r>
        <w:rPr>
          <w:rFonts w:eastAsia="Calibri" w:cs="Calibri"/>
          <w:b w:val="false"/>
          <w:bCs w:val="false"/>
          <w:i w:val="false"/>
          <w:iCs w:val="false"/>
          <w:color w:val="1A1A1A"/>
          <w:sz w:val="21"/>
          <w:szCs w:val="21"/>
        </w:rPr>
        <w:t>the written schedule of the agency’s fees for services, when applicable.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registers its entity with the Tennessee Secretary of State, obtains an EIN and, where needed, a National Provider Identifier, and registers for applicable Tennessee business taxes. The agency carries liability insurance and workers’ compensation coverage appropriate to a personal support services agency and as required for licensure, and maintains proof of coverage. The agency maintains the financial documentation the licensing authority requires, such as evidence of the ability to meet operating expenses.</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written schedule of fees when applicable (0940-05-38-.06(d)), discloses fees to service recipients before services begin, and applies them consistently. The agency’s name and advertising describe its licensed non-medical services accurately and do not misrepresent its scope.</w:t>
      </w:r>
    </w:p>
    <w:p>
      <w:pPr>
        <w:pStyle w:val="Normal"/>
        <w:spacing w:lineRule="exact" w:line="276" w:before="0" w:after="120"/>
        <w:jc w:val="start"/>
        <w:rPr/>
      </w:pPr>
      <w:r>
        <w:rPr>
          <w:rFonts w:eastAsia="Calibri" w:cs="Calibri"/>
          <w:b w:val="false"/>
          <w:bCs w:val="false"/>
          <w:i w:val="false"/>
          <w:iCs w:val="false"/>
          <w:color w:val="1A1A1A"/>
          <w:sz w:val="21"/>
          <w:szCs w:val="21"/>
        </w:rPr>
        <w:t>The agency keeps its registrations, insurance, financial documentation, and fee schedule current in its administrative records.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Register the entity with the Tennessee Secretary of State; obtain an EIN and NPI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Register for applicable Tennessee business taxes.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Carry liability and workers’ compensation coverage as required; maintain proof.</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required financial documentation for licensure.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a written schedule of fees when applicable and disclose it before services.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Ensure the agency name and advertising accurately describe the non-medical scope.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registrations, insurance, and fee schedule current.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Retain these records in administrative files.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Business Registration &amp; Tax Record · Insurance Coverage Record · Schedule of Fees · Financial Documentation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SERVICE RECIPIENT RIGHTS, INTAKE &amp; SERVICE PLANNING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Tennessee personal support services agency licensing rule, Tenn. Comp. R. &amp; Regs. Chapter 0940-05-38 (Minimum Program Requirements for Personal Support Services Agencies), adopted under the Tennessee Mental Health and Developmental Disabilities laws (Title 33, including T.C.A. § 33-2-421). Licensed and overseen by the Tennessee Department of Mental Health and Substance Abuse Services (TDMHSAS), Office of Licensure. This is a NON-MEDICAL personal support services agency: it provides personal care and assistance with daily living, homemaker, sitter/companion, and in-home respite services in the service recipient’s residence. It does not provide skilled nursing or any medical service. Tennessee Medicaid (TennCare) long-term services are delivered through TennCare CHOICES and its managed care organizations.</w:t>
      </w:r>
    </w:p>
    <w:p>
      <w:pPr>
        <w:pStyle w:val="Normal"/>
        <w:spacing w:lineRule="exact" w:line="276" w:before="0" w:after="120"/>
        <w:jc w:val="start"/>
        <w:rPr/>
      </w:pPr>
      <w:r>
        <w:rPr>
          <w:rFonts w:eastAsia="Calibri" w:cs="Calibri"/>
          <w:b w:val="false"/>
          <w:bCs w:val="false"/>
          <w:i/>
          <w:iCs/>
          <w:color w:val="555555"/>
          <w:sz w:val="20"/>
          <w:szCs w:val="20"/>
        </w:rPr>
        <w:t>This section governs the relationship with each service recipient from first contact through the delivery of services: the rights the agency must honor under 0940-05-38-.10, how the agency informs recipients of those rights and their grievance options, enrollment and intake within scope, the service plan, confidentiality, and the handling of service recipient funds.</w:t>
      </w:r>
    </w:p>
    <w:p>
      <w:pPr>
        <w:pStyle w:val="Normal"/>
        <w:keepNext w:val="true"/>
        <w:spacing w:before="240" w:after="100"/>
        <w:rPr/>
      </w:pPr>
      <w:r>
        <w:rPr>
          <w:rFonts w:eastAsia="Calibri" w:cs="Calibri"/>
          <w:b/>
          <w:bCs/>
          <w:i w:val="false"/>
          <w:iCs w:val="false"/>
          <w:color w:val="1F3A5F"/>
          <w:sz w:val="24"/>
          <w:szCs w:val="24"/>
        </w:rPr>
        <w:t>Policy 2.1 — Service Recipient Rights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Recipient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service recipient is afforded and can exercise the rights guaranteed by 0940-05-38-.10 throughout their services.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recipient rights — </w:t>
      </w:r>
      <w:r>
        <w:rPr>
          <w:rFonts w:eastAsia="Calibri" w:cs="Calibri"/>
          <w:b w:val="false"/>
          <w:bCs w:val="false"/>
          <w:i w:val="false"/>
          <w:iCs w:val="false"/>
          <w:color w:val="1A1A1A"/>
          <w:sz w:val="21"/>
          <w:szCs w:val="21"/>
        </w:rPr>
        <w:t>the rights guaranteed to all individuals receiving personal support services under 0940-05-38-.10.</w:t>
      </w:r>
    </w:p>
    <w:p>
      <w:pPr>
        <w:pStyle w:val="Normal"/>
        <w:spacing w:lineRule="exact" w:line="276" w:before="0" w:after="70"/>
        <w:rPr/>
      </w:pPr>
      <w:r>
        <w:rPr>
          <w:rFonts w:eastAsia="Calibri" w:cs="Calibri"/>
          <w:b/>
          <w:bCs/>
          <w:i w:val="false"/>
          <w:iCs w:val="false"/>
          <w:color w:val="1A1A1A"/>
          <w:sz w:val="21"/>
          <w:szCs w:val="21"/>
        </w:rPr>
        <w:t xml:space="preserve">Advocacy services — </w:t>
      </w:r>
      <w:r>
        <w:rPr>
          <w:rFonts w:eastAsia="Calibri" w:cs="Calibri"/>
          <w:b w:val="false"/>
          <w:bCs w:val="false"/>
          <w:i w:val="false"/>
          <w:iCs w:val="false"/>
          <w:color w:val="1A1A1A"/>
          <w:sz w:val="21"/>
          <w:szCs w:val="21"/>
        </w:rPr>
        <w:t>outside organizations that help service recipients understand and exercise their rights, which the agency lists for recipients.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affords every service recipient the rights guaranteed by 0940-05-38-.10 and protects and promotes those rights throughout services. Each service recipient has the right to be fully informed, before services begin, of their rights and responsibilities and of any limitations; to voice grievances to the agency and to outside representatives of their choice free from restraint, interference, coercion, discrimination, or reprisal; to be treated with consideration, respect, and full recognition of their dignity and individuality; to be protected from neglect and from physical, verbal, and emotional abuse (including corporal punishment) and from all misappropriation and exploitation; and to be assisted by the agency in the exercise of their civil rights.</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permit any practice that violates a service recipient’s rights, trains staff on rights at orientation and at least annually, and responds to any rights concern promptly. The agency honors each recipient’s right to accept or refuse services and treats each recipient’s person, property, and privacy with respect.</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that each recipient was afforded their rights, keeps the signed acknowledgment in the record, and reviews adherence to rights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Afford every service recipient the rights in 0940-05-38-.10.</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Inform each recipient of rights and responsibilities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Honor the right to voice grievances free from reprisal.</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Treat each recipient with dignity, respect, and recognition of individuality.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Protect recipients from neglect, abuse, misappropriation, and exploitation.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Assist recipients in exercising their civil rights.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Train staff on rights at orientation and at least annually.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Obtain and file the signed rights acknowledgment; review adherence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Recipient Rights Statement · Rights Acknowledgment · Advocacy Services Listing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2.2 — Informing Recipients of Rights and Grievance Procedures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Informing Recipients of Rights and Grievance Procedures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0940-05-38-.10(1)(a), .06(e)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service recipient receives, before services begin, understandable information about their rights, the grievance procedure, advocacy services, and pertinent agency rules.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Rights information — </w:t>
      </w:r>
      <w:r>
        <w:rPr>
          <w:rFonts w:eastAsia="Calibri" w:cs="Calibri"/>
          <w:b w:val="false"/>
          <w:bCs w:val="false"/>
          <w:i w:val="false"/>
          <w:iCs w:val="false"/>
          <w:color w:val="1A1A1A"/>
          <w:sz w:val="21"/>
          <w:szCs w:val="21"/>
        </w:rPr>
        <w:t>the oral and/or written information the agency provides that includes the statement of rights, the grievance procedure, a listing of advocacy services, and pertinent agency rules.</w:t>
      </w:r>
    </w:p>
    <w:p>
      <w:pPr>
        <w:pStyle w:val="Normal"/>
        <w:spacing w:lineRule="exact" w:line="276" w:before="0" w:after="70"/>
        <w:rPr/>
      </w:pPr>
      <w:r>
        <w:rPr>
          <w:rFonts w:eastAsia="Calibri" w:cs="Calibri"/>
          <w:b/>
          <w:bCs/>
          <w:i w:val="false"/>
          <w:iCs w:val="false"/>
          <w:color w:val="1A1A1A"/>
          <w:sz w:val="21"/>
          <w:szCs w:val="21"/>
        </w:rPr>
        <w:t xml:space="preserve">Grievance procedure — </w:t>
      </w:r>
      <w:r>
        <w:rPr>
          <w:rFonts w:eastAsia="Calibri" w:cs="Calibri"/>
          <w:b w:val="false"/>
          <w:bCs w:val="false"/>
          <w:i w:val="false"/>
          <w:iCs w:val="false"/>
          <w:color w:val="1A1A1A"/>
          <w:sz w:val="21"/>
          <w:szCs w:val="21"/>
        </w:rPr>
        <w:t>the process a service recipient uses to report a suspected violation of rights or dissatisfaction, and the agency’s process for resolving it.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services begin, [Agency Name] gives each service recipient, orally and/or in writing, information that includes at least a statement of the specific rights guaranteed by 0940-05-38 and applicable state law, a description of the agency’s grievance procedures, a listing of available advocacy services, and a copy of the agency rules and regulations pertinent to the recipient. The information is presented in a manner that promotes understanding, and the recipient is given the opportunity to ask questions.</w:t>
      </w:r>
    </w:p>
    <w:p>
      <w:pPr>
        <w:pStyle w:val="Normal"/>
        <w:spacing w:lineRule="exact" w:line="276" w:before="0" w:after="120"/>
        <w:jc w:val="start"/>
        <w:rPr/>
      </w:pPr>
      <w:r>
        <w:rPr>
          <w:rFonts w:eastAsia="Calibri" w:cs="Calibri"/>
          <w:b w:val="false"/>
          <w:bCs w:val="false"/>
          <w:i w:val="false"/>
          <w:iCs w:val="false"/>
          <w:color w:val="1A1A1A"/>
          <w:sz w:val="21"/>
          <w:szCs w:val="21"/>
        </w:rPr>
        <w:t>If a service recipient is unable to understand the information at the start of services but later becomes able to, the agency presents it at that time; if the recipient is likely to remain unable to understand it, the agency promptly attempts to provide the information to a guardian, other appropriate person, or an agency responsible for protecting the recipient’s rights. The agency receives and resolves grievances without restraint, coercion, discrimination, or reprisal, documents them, and uses grievance trends to improve.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that rights and grievance information was provided, the recipient’s acknowledgment, and each grievance and its resolution, and reviews grievance trends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rights information orally and/or in writing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Include the statement of rights, grievance procedure, advocacy-services listing, and pertinent agency rules.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Present the information understandably and invite questions.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Re-present later if the recipient becomes able to understand.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the information to a guardian or protective agency if the recipient cannot understand it.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Receive and resolve grievances without reprisal; document them.</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Communicate grievance resolutions to the recipient.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grievance trends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Rights &amp; Grievance Information Acknowledgment · Grievance Form &amp; Log · Advocacy Services Listing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2.3 — Enrollment, Intake, and Termination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Enrollment, Intake, and Termination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0940-05-38-.06(a)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enrolls only service recipients it can serve safely within its non-medical scope, using defined enrollment and termination criteria.</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Enrollment criteria — </w:t>
      </w:r>
      <w:r>
        <w:rPr>
          <w:rFonts w:eastAsia="Calibri" w:cs="Calibri"/>
          <w:b w:val="false"/>
          <w:bCs w:val="false"/>
          <w:i w:val="false"/>
          <w:iCs w:val="false"/>
          <w:color w:val="1A1A1A"/>
          <w:sz w:val="21"/>
          <w:szCs w:val="21"/>
        </w:rPr>
        <w:t>the written criteria the agency uses to determine whether it can accept an individual for personal support services.</w:t>
      </w:r>
    </w:p>
    <w:p>
      <w:pPr>
        <w:pStyle w:val="Normal"/>
        <w:spacing w:lineRule="exact" w:line="276" w:before="0" w:after="70"/>
        <w:rPr/>
      </w:pPr>
      <w:r>
        <w:rPr>
          <w:rFonts w:eastAsia="Calibri" w:cs="Calibri"/>
          <w:b/>
          <w:bCs/>
          <w:i w:val="false"/>
          <w:iCs w:val="false"/>
          <w:color w:val="1A1A1A"/>
          <w:sz w:val="21"/>
          <w:szCs w:val="21"/>
        </w:rPr>
        <w:t xml:space="preserve">Termination criteria — </w:t>
      </w:r>
      <w:r>
        <w:rPr>
          <w:rFonts w:eastAsia="Calibri" w:cs="Calibri"/>
          <w:b w:val="false"/>
          <w:bCs w:val="false"/>
          <w:i w:val="false"/>
          <w:iCs w:val="false"/>
          <w:color w:val="1A1A1A"/>
          <w:sz w:val="21"/>
          <w:szCs w:val="21"/>
        </w:rPr>
        <w:t>the written criteria and process for ending services appropriately.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enrolls a service recipient only after determining, using its written enrollment criteria, that the individual’s needs are within the agency’s non-medical scope and capacity and that qualified, competent workers are available. At intake the agency gathers the information needed to plan and deliver services, provides the rights and grievance information (Policy 2.2), confirms any fees and the payer source, and establishes the service plan (Policy 2.4) before services begin.</w:t>
      </w:r>
    </w:p>
    <w:p>
      <w:pPr>
        <w:pStyle w:val="Normal"/>
        <w:spacing w:lineRule="exact" w:line="276" w:before="0" w:after="120"/>
        <w:jc w:val="start"/>
        <w:rPr/>
      </w:pPr>
      <w:r>
        <w:rPr>
          <w:rFonts w:eastAsia="Calibri" w:cs="Calibri"/>
          <w:b w:val="false"/>
          <w:bCs w:val="false"/>
          <w:i w:val="false"/>
          <w:iCs w:val="false"/>
          <w:color w:val="1A1A1A"/>
          <w:sz w:val="21"/>
          <w:szCs w:val="21"/>
        </w:rPr>
        <w:t>The agency ends services according to its written termination criteria — for example, when the recipient no longer needs or wants services, when needs exceed the agency’s non-medical scope, or when services cannot be provided safely — with appropriate notice and, where ongoing care is needed, assistance with referral or coordination. The agency does not abandon a service recipient.</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enrollment and termination decision and the basis for it, and reviews enrollment and termination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Apply written enrollment criteria before accepting a service recipient.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needs are within non-medical scope and capacity and that competent workers are available.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Gather intake information and provide rights and grievance information.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Confirm fees and payer source; establish the service plan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Apply written termination criteria when ending services.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Give appropriate notice and assist with referral/coordination where needed.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 not abandon a service recipient.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enrollment and termination decisions and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Enrollment &amp; Intake Form · Enrollment/Termination Criteria · Service Termination &amp; Referral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2.4 — Service Plan and Individualized Needs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Plan and Individualized Needs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0940-05-38-.08(1)(d), .09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services are delivered under a service plan that reflects each recipient’s needs, choices, and schedule, so care is individualized and consistent.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plan — </w:t>
      </w:r>
      <w:r>
        <w:rPr>
          <w:rFonts w:eastAsia="Calibri" w:cs="Calibri"/>
          <w:b w:val="false"/>
          <w:bCs w:val="false"/>
          <w:i w:val="false"/>
          <w:iCs w:val="false"/>
          <w:color w:val="1A1A1A"/>
          <w:sz w:val="21"/>
          <w:szCs w:val="21"/>
        </w:rPr>
        <w:t>the written plan describing the personal support services to be provided to a service recipient, their frequency and schedule, and any special instructions.</w:t>
      </w:r>
    </w:p>
    <w:p>
      <w:pPr>
        <w:pStyle w:val="Normal"/>
        <w:spacing w:lineRule="exact" w:line="276" w:before="0" w:after="70"/>
        <w:rPr/>
      </w:pPr>
      <w:r>
        <w:rPr>
          <w:rFonts w:eastAsia="Calibri" w:cs="Calibri"/>
          <w:b/>
          <w:bCs/>
          <w:i w:val="false"/>
          <w:iCs w:val="false"/>
          <w:color w:val="1A1A1A"/>
          <w:sz w:val="21"/>
          <w:szCs w:val="21"/>
        </w:rPr>
        <w:t xml:space="preserve">Individualized needs — </w:t>
      </w:r>
      <w:r>
        <w:rPr>
          <w:rFonts w:eastAsia="Calibri" w:cs="Calibri"/>
          <w:b w:val="false"/>
          <w:bCs w:val="false"/>
          <w:i w:val="false"/>
          <w:iCs w:val="false"/>
          <w:color w:val="1A1A1A"/>
          <w:sz w:val="21"/>
          <w:szCs w:val="21"/>
        </w:rPr>
        <w:t>the specific self-care, household-management, and community-living needs of the service recipient that shape the service plan and worker training.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services under a written service plan developed with each service recipient (and representative, where applicable) that describes the personal support services to be provided, their frequency and schedule, the tasks assigned, and any special instructions or preferences. The service plan reflects the recipient’s individual needs in the areas of self-care, household management, and community living, and workers provide services in accordance with it.</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and updates the service plan as the recipient’s needs or preferences change, and it uses each recipient’s individualized needs to inform the recipient-specific training required under Policy 3.5. Workers do not add or drop tasks outside the service plan on their own; changes are made through the agency and reflected in the plan.</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service plan, its reviews and revisions, and the services delivered, in the service recipient record, and reviews service-plan adherence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Develop a written service plan with each recipient (and representative).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Describe services, frequency, schedule, tasks, and special instructions.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Reflect the recipient’s self-care, household-management, and community-living needs.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Have workers provide services in accordance with the plan.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and update the plan as needs or preferences change.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Use individualized needs to inform recipient-specific training (Policy 3.5).</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Make task changes through the agency, not by workers alone.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the plan, revisions, and services delivered; review adherence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Plan · Individualized Needs Assessment · Service Plan Review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2.5 — Confidentiality and Records Privacy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and Records Privacy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0940-05-38-.06(f); 45 CFR Parts 160 and 164</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the confidentiality of service recipient information consistent with the rule and with HIPAA, including limits on public statements and photographs.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Confidential information — </w:t>
      </w:r>
      <w:r>
        <w:rPr>
          <w:rFonts w:eastAsia="Calibri" w:cs="Calibri"/>
          <w:b w:val="false"/>
          <w:bCs w:val="false"/>
          <w:i w:val="false"/>
          <w:iCs w:val="false"/>
          <w:color w:val="1A1A1A"/>
          <w:sz w:val="21"/>
          <w:szCs w:val="21"/>
        </w:rPr>
        <w:t>individually identifiable information about a service recipient that the agency creates or maintains.</w:t>
      </w:r>
    </w:p>
    <w:p>
      <w:pPr>
        <w:pStyle w:val="Normal"/>
        <w:spacing w:lineRule="exact" w:line="276" w:before="0" w:after="70"/>
        <w:rPr/>
      </w:pPr>
      <w:r>
        <w:rPr>
          <w:rFonts w:eastAsia="Calibri" w:cs="Calibri"/>
          <w:b/>
          <w:bCs/>
          <w:i w:val="false"/>
          <w:iCs w:val="false"/>
          <w:color w:val="1A1A1A"/>
          <w:sz w:val="21"/>
          <w:szCs w:val="21"/>
        </w:rPr>
        <w:t xml:space="preserve">Consent for photographs — </w:t>
      </w:r>
      <w:r>
        <w:rPr>
          <w:rFonts w:eastAsia="Calibri" w:cs="Calibri"/>
          <w:b w:val="false"/>
          <w:bCs w:val="false"/>
          <w:i w:val="false"/>
          <w:iCs w:val="false"/>
          <w:color w:val="1A1A1A"/>
          <w:sz w:val="21"/>
          <w:szCs w:val="21"/>
        </w:rPr>
        <w:t>the written, signed consent of the individual or the individual’s legal guardian and/or conservator required before using identifiable photographs.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protects the confidentiality of service recipient information. Personal support services workers comply with applicable confidentiality laws and regulations and, where HIPAA applies, with the HIPAA Privacy and Security Rules. The agency does not require a service recipient to make public statements acknowledging gratitude to the agency or for its services, and it does not use identifiable photographs of a service recipient without the written and signed consent of the individual or the individual’s legal guardian and/or conservator.</w:t>
      </w:r>
    </w:p>
    <w:p>
      <w:pPr>
        <w:pStyle w:val="Normal"/>
        <w:spacing w:lineRule="exact" w:line="276" w:before="0" w:after="120"/>
        <w:jc w:val="start"/>
        <w:rPr/>
      </w:pPr>
      <w:r>
        <w:rPr>
          <w:rFonts w:eastAsia="Calibri" w:cs="Calibri"/>
          <w:b w:val="false"/>
          <w:bCs w:val="false"/>
          <w:i w:val="false"/>
          <w:iCs w:val="false"/>
          <w:color w:val="1A1A1A"/>
          <w:sz w:val="21"/>
          <w:szCs w:val="21"/>
        </w:rPr>
        <w:t>Staff keep service recipient information confidential in the home, in the office, and in transit, safeguard records against loss and unauthorized access, and use or disclose information only as permitted or required by law — including required reports of abuse, neglect, or exploitation, which are permitted disclosures. The agency provides any required privacy notice and trains staff on confidentiality.</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confidentiality training and consents, retains records securely, and reviews privacy practices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Comply with applicable confidentiality laws and, where applicable, HIPAA.</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 not require recipients to make public gratitude statements.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use identifiable photographs without written signed consent.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recipient information confidential in the home, office, and transit.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Safeguard records against loss and unauthorized access.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Use or disclose information only as permitted or required by law.</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Train staff on confidentiality and obtain required consents.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Retain records securely and review privacy practices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Confidentiality Policy &amp; Acknowledgment · Photograph/Media Consent · Authorization for Release of Information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2.6 — Receipt and Disbursement of Service Recipient Funds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Receipt and Disbursement of Service Recipient Funds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0940-05-38-.06(j)</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service recipients from financial harm by governing any receipt or disbursement of their money by the agency or its workers.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recipient funds — </w:t>
      </w:r>
      <w:r>
        <w:rPr>
          <w:rFonts w:eastAsia="Calibri" w:cs="Calibri"/>
          <w:b w:val="false"/>
          <w:bCs w:val="false"/>
          <w:i w:val="false"/>
          <w:iCs w:val="false"/>
          <w:color w:val="1A1A1A"/>
          <w:sz w:val="21"/>
          <w:szCs w:val="21"/>
        </w:rPr>
        <w:t>money belonging to a service recipient that the agency or a worker receives, holds, or disburses on the recipient’s behalf.</w:t>
      </w:r>
    </w:p>
    <w:p>
      <w:pPr>
        <w:pStyle w:val="Normal"/>
        <w:spacing w:lineRule="exact" w:line="276" w:before="0" w:after="70"/>
        <w:rPr/>
      </w:pPr>
      <w:r>
        <w:rPr>
          <w:rFonts w:eastAsia="Calibri" w:cs="Calibri"/>
          <w:b/>
          <w:bCs/>
          <w:i w:val="false"/>
          <w:iCs w:val="false"/>
          <w:color w:val="1A1A1A"/>
          <w:sz w:val="21"/>
          <w:szCs w:val="21"/>
        </w:rPr>
        <w:t xml:space="preserve">Financial safeguard — </w:t>
      </w:r>
      <w:r>
        <w:rPr>
          <w:rFonts w:eastAsia="Calibri" w:cs="Calibri"/>
          <w:b w:val="false"/>
          <w:bCs w:val="false"/>
          <w:i w:val="false"/>
          <w:iCs w:val="false"/>
          <w:color w:val="1A1A1A"/>
          <w:sz w:val="21"/>
          <w:szCs w:val="21"/>
        </w:rPr>
        <w:t>a control — such as authorization, documentation, and receipts — that protects a recipient’s funds from misuse.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written procedures for the receipt and disbursement of money on behalf of service recipients, as required by 0940-05-38-.06(j). Any handling of a service recipient’s funds is authorized, documented, receipted, and limited to the recipient’s benefit; the agency and its workers do not borrow from, lend to, commingle funds with, or accept gifts or bequests from service recipients, and do not use a recipient’s money, property, or accounts for any unauthorized purpose.</w:t>
      </w:r>
    </w:p>
    <w:p>
      <w:pPr>
        <w:pStyle w:val="Normal"/>
        <w:spacing w:lineRule="exact" w:line="276" w:before="0" w:after="120"/>
        <w:jc w:val="start"/>
        <w:rPr/>
      </w:pPr>
      <w:r>
        <w:rPr>
          <w:rFonts w:eastAsia="Calibri" w:cs="Calibri"/>
          <w:b w:val="false"/>
          <w:bCs w:val="false"/>
          <w:i w:val="false"/>
          <w:iCs w:val="false"/>
          <w:color w:val="1A1A1A"/>
          <w:sz w:val="21"/>
          <w:szCs w:val="21"/>
        </w:rPr>
        <w:t>Workers who make authorized purchases or errands for a recipient document the transaction and return receipts and change. The agency treats any misappropriation or exploitation of a recipient’s funds as a reportable matter under Policy 5.2 and takes immediate protective and corrective action.</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fund-handling authorizations and transactions and reviews them through its quality process to detect and prevent financial harm.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written procedures for receipt and disbursement of recipient funds.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Authorize, document, and receipt any handling of a recipient’s funds.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Limit fund handling to the recipient’s benefit.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borrowing, lending, commingling, gifts, and unauthorized use.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purchases/errands and return receipts and change.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Report any misappropriation or exploitation under Policy 5.2.</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Take immediate protective and corrective action on financial harm.</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fund-handling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Recipient Funds Authorization &amp; Ledger · Purchase/Errand Receipt Log · Financial Safeguards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2.7 — Coordination and Continuity of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Coordination and Continuity of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services are coordinated among the agency, the recipient and family, and any other providers, so services are continuous and consistent.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Coordination — </w:t>
      </w:r>
      <w:r>
        <w:rPr>
          <w:rFonts w:eastAsia="Calibri" w:cs="Calibri"/>
          <w:b w:val="false"/>
          <w:bCs w:val="false"/>
          <w:i w:val="false"/>
          <w:iCs w:val="false"/>
          <w:color w:val="1A1A1A"/>
          <w:sz w:val="21"/>
          <w:szCs w:val="21"/>
        </w:rPr>
        <w:t>communication among the agency, the service recipient and family or representative, and any other providers to keep services aligned with the service plan.</w:t>
      </w:r>
    </w:p>
    <w:p>
      <w:pPr>
        <w:pStyle w:val="Normal"/>
        <w:spacing w:lineRule="exact" w:line="276" w:before="0" w:after="70"/>
        <w:rPr/>
      </w:pPr>
      <w:r>
        <w:rPr>
          <w:rFonts w:eastAsia="Calibri" w:cs="Calibri"/>
          <w:b/>
          <w:bCs/>
          <w:i w:val="false"/>
          <w:iCs w:val="false"/>
          <w:color w:val="1A1A1A"/>
          <w:sz w:val="21"/>
          <w:szCs w:val="21"/>
        </w:rPr>
        <w:t xml:space="preserve">Continuity — </w:t>
      </w:r>
      <w:r>
        <w:rPr>
          <w:rFonts w:eastAsia="Calibri" w:cs="Calibri"/>
          <w:b w:val="false"/>
          <w:bCs w:val="false"/>
          <w:i w:val="false"/>
          <w:iCs w:val="false"/>
          <w:color w:val="1A1A1A"/>
          <w:sz w:val="21"/>
          <w:szCs w:val="21"/>
        </w:rPr>
        <w:t>the consistent delivery of services, including through worker changes and any transfer or termination.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coordinates each service recipient’s services among the agency’s supervisor and workers, the recipient and family or representative, and, where applicable, TennCare care coordinators and other providers, so that services stay aligned with the service plan. When a worker changes, the agency provides continuity through its scheduling and alternate staffing (Policy 1.6) and clear task instructions.</w:t>
      </w:r>
    </w:p>
    <w:p>
      <w:pPr>
        <w:pStyle w:val="Normal"/>
        <w:spacing w:lineRule="exact" w:line="276" w:before="0" w:after="120"/>
        <w:jc w:val="start"/>
        <w:rPr/>
      </w:pPr>
      <w:r>
        <w:rPr>
          <w:rFonts w:eastAsia="Calibri" w:cs="Calibri"/>
          <w:b w:val="false"/>
          <w:bCs w:val="false"/>
          <w:i w:val="false"/>
          <w:iCs w:val="false"/>
          <w:color w:val="1A1A1A"/>
          <w:sz w:val="21"/>
          <w:szCs w:val="21"/>
        </w:rPr>
        <w:t>When services are transferred or terminated, the agency provides appropriate notice and, where ongoing care is needed, assists with referral or coordination, and documents the recipient’s status. The agency manages these transitions to protect the recipient’s safety and continuity.</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coordination activities and transitions in the service recipient record and reviews coordination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Coordinate services among the agency, recipient/family, and other providers.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services aligned with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continuity through scheduling, alternate staffing, and clear instructions when workers change.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Give appropriate notice on transfer or termination.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Assist with referral or coordination where ongoing care is needed.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the recipient’s status at transition.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Manage transitions to protect safety and continuity.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coordination and review it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Care Coordination Note · Transition/Referral Record · Continuity of Services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PERSONNEL, SCREENING &amp; TRAINING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Tennessee personal support services agency licensing rule, Tenn. Comp. R. &amp; Regs. Chapter 0940-05-38 (Minimum Program Requirements for Personal Support Services Agencies), adopted under the Tennessee Mental Health and Developmental Disabilities laws (Title 33, including T.C.A. § 33-2-421). Licensed and overseen by the Tennessee Department of Mental Health and Substance Abuse Services (TDMHSAS), Office of Licensure. This is a NON-MEDICAL personal support services agency: it provides personal care and assistance with daily living, homemaker, sitter/companion, and in-home respite services in the service recipient’s residence. It does not provide skilled nursing or any medical service. Tennessee Medicaid (TennCare) long-term services are delivered through TennCare CHOICES and its managed care organizations.</w:t>
      </w:r>
    </w:p>
    <w:p>
      <w:pPr>
        <w:pStyle w:val="Normal"/>
        <w:spacing w:lineRule="exact" w:line="276" w:before="0" w:after="120"/>
        <w:jc w:val="start"/>
        <w:rPr/>
      </w:pPr>
      <w:r>
        <w:rPr>
          <w:rFonts w:eastAsia="Calibri" w:cs="Calibri"/>
          <w:b w:val="false"/>
          <w:bCs w:val="false"/>
          <w:i/>
          <w:iCs/>
          <w:color w:val="555555"/>
          <w:sz w:val="20"/>
          <w:szCs w:val="20"/>
        </w:rPr>
        <w:t>This section governs who the agency employs and how it prepares them: the background screening required before any service recipient contact, health history and communicable-disease clearance, the documented basic competencies each worker must demonstrate before beginning work, annual and recipient-specific training, medication-assistance training conducted under a registered nurse, and the personnel records the rule requires.</w:t>
      </w:r>
    </w:p>
    <w:p>
      <w:pPr>
        <w:pStyle w:val="Normal"/>
        <w:keepNext w:val="true"/>
        <w:spacing w:before="240" w:after="100"/>
        <w:rPr/>
      </w:pPr>
      <w:r>
        <w:rPr>
          <w:rFonts w:eastAsia="Calibri" w:cs="Calibri"/>
          <w:b/>
          <w:bCs/>
          <w:i w:val="false"/>
          <w:iCs w:val="false"/>
          <w:color w:val="1F3A5F"/>
          <w:sz w:val="24"/>
          <w:szCs w:val="24"/>
        </w:rPr>
        <w:t>Policy 3.1 — Personnel Qualifications and Employment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Qualifications and Employment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employs qualified personal support services workers who are competent for their assigned tasks and employed as required, so service recipients receive safe, reliable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support services worker (PSSW) — </w:t>
      </w:r>
      <w:r>
        <w:rPr>
          <w:rFonts w:eastAsia="Calibri" w:cs="Calibri"/>
          <w:b w:val="false"/>
          <w:bCs w:val="false"/>
          <w:i w:val="false"/>
          <w:iCs w:val="false"/>
          <w:color w:val="1A1A1A"/>
          <w:sz w:val="21"/>
          <w:szCs w:val="21"/>
        </w:rPr>
        <w:t>an individual employed by the agency to provide non-medical personal support services to service recipients.</w:t>
      </w:r>
    </w:p>
    <w:p>
      <w:pPr>
        <w:pStyle w:val="Normal"/>
        <w:spacing w:lineRule="exact" w:line="276" w:before="0" w:after="70"/>
        <w:rPr/>
      </w:pPr>
      <w:r>
        <w:rPr>
          <w:rFonts w:eastAsia="Calibri" w:cs="Calibri"/>
          <w:b/>
          <w:bCs/>
          <w:i w:val="false"/>
          <w:iCs w:val="false"/>
          <w:color w:val="1A1A1A"/>
          <w:sz w:val="21"/>
          <w:szCs w:val="21"/>
        </w:rPr>
        <w:t xml:space="preserve">Qualification — </w:t>
      </w:r>
      <w:r>
        <w:rPr>
          <w:rFonts w:eastAsia="Calibri" w:cs="Calibri"/>
          <w:b w:val="false"/>
          <w:bCs w:val="false"/>
          <w:i w:val="false"/>
          <w:iCs w:val="false"/>
          <w:color w:val="1A1A1A"/>
          <w:sz w:val="21"/>
          <w:szCs w:val="21"/>
        </w:rPr>
        <w:t>the screening, competency, health clearance, and training that qualify a worker for assignment.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employs personal support services workers who are qualified for their assigned tasks — screened (Policy 3.2), health-cleared (Policy 3.3), competent (Policy 3.4), and trained (Policy 3.5) — before they provide services to a recipient. Workers are employed by the agency (as W-2 employees, consistent with applicable law and payer requirements) rather than engaged as independent contractors for the provision of personal support services, so the agency retains supervision and responsibility for their work.</w:t>
      </w:r>
    </w:p>
    <w:p>
      <w:pPr>
        <w:pStyle w:val="Normal"/>
        <w:spacing w:lineRule="exact" w:line="276" w:before="0" w:after="120"/>
        <w:jc w:val="start"/>
        <w:rPr/>
      </w:pPr>
      <w:r>
        <w:rPr>
          <w:rFonts w:eastAsia="Calibri" w:cs="Calibri"/>
          <w:b w:val="false"/>
          <w:bCs w:val="false"/>
          <w:i w:val="false"/>
          <w:iCs w:val="false"/>
          <w:color w:val="1A1A1A"/>
          <w:sz w:val="21"/>
          <w:szCs w:val="21"/>
        </w:rPr>
        <w:t>The agency assigns work matched to each worker’s competency and to the needs of the service recipient, and it does not assign a worker to a task the worker has not been found competent to perform. The agency maintains a job description for each position and confirms that workers understand their role, scope, and the non-medical boundary.</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qualifications and assignments and reviews personnel qualifications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Employ workers who are screened, health-cleared, competent, and trained before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Employ personal support services workers as W-2 employees consistent with law and payer rules.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Retain agency supervision and responsibility for workers.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Assign work matched to each worker’s competency and the recipient’s needs.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 not assign tasks a worker is not found competent to perform.</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Maintain a job description for each position.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Confirm workers understand role, scope, and the non-medical boundary.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qualifications and assignments;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Job Description &amp; Role Acknowledgment · Worker Qualification Record · Assignment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3.2 — Background Screening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Background Screening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0940-05-38-.07; T.C.A. Title 71, Ch. 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required background screening is completed before any service recipient contact and repeated on schedule, so that no disqualified person provides personal support services.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Background screening — </w:t>
      </w:r>
      <w:r>
        <w:rPr>
          <w:rFonts w:eastAsia="Calibri" w:cs="Calibri"/>
          <w:b w:val="false"/>
          <w:bCs w:val="false"/>
          <w:i w:val="false"/>
          <w:iCs w:val="false"/>
          <w:color w:val="1A1A1A"/>
          <w:sz w:val="21"/>
          <w:szCs w:val="21"/>
        </w:rPr>
        <w:t>the screening completed on each worker with service recipient contact, including a criminal background check, the sex-offender registry, a parole and probation check, and the Tennessee elder/vulnerable-adult abuse registry.</w:t>
      </w:r>
    </w:p>
    <w:p>
      <w:pPr>
        <w:pStyle w:val="Normal"/>
        <w:spacing w:lineRule="exact" w:line="276" w:before="0" w:after="70"/>
        <w:rPr/>
      </w:pPr>
      <w:r>
        <w:rPr>
          <w:rFonts w:eastAsia="Calibri" w:cs="Calibri"/>
          <w:b/>
          <w:bCs/>
          <w:i w:val="false"/>
          <w:iCs w:val="false"/>
          <w:color w:val="1A1A1A"/>
          <w:sz w:val="21"/>
          <w:szCs w:val="21"/>
        </w:rPr>
        <w:t xml:space="preserve">Disqualifying result — </w:t>
      </w:r>
      <w:r>
        <w:rPr>
          <w:rFonts w:eastAsia="Calibri" w:cs="Calibri"/>
          <w:b w:val="false"/>
          <w:bCs w:val="false"/>
          <w:i w:val="false"/>
          <w:iCs w:val="false"/>
          <w:color w:val="1A1A1A"/>
          <w:sz w:val="21"/>
          <w:szCs w:val="21"/>
        </w:rPr>
        <w:t>a result that bars an individual from providing personal support services under applicable law and agency policy.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completes background screening on every worker who has contact with a service recipient before that contact begins, including a criminal background check, a check of the sex-offender registry, a parole and probation check, and a check of the Tennessee registry of persons who have abused, neglected, or exploited vulnerable adults. The agency does not employ, in a role with service recipient contact, an individual whose screening produces a disqualifying result, and it maintains documentation of each screening in the personnel record.</w:t>
      </w:r>
    </w:p>
    <w:p>
      <w:pPr>
        <w:pStyle w:val="Normal"/>
        <w:spacing w:lineRule="exact" w:line="276" w:before="0" w:after="120"/>
        <w:jc w:val="start"/>
        <w:rPr/>
      </w:pPr>
      <w:r>
        <w:rPr>
          <w:rFonts w:eastAsia="Calibri" w:cs="Calibri"/>
          <w:b w:val="false"/>
          <w:bCs w:val="false"/>
          <w:i w:val="false"/>
          <w:iCs w:val="false"/>
          <w:color w:val="1A1A1A"/>
          <w:sz w:val="21"/>
          <w:szCs w:val="21"/>
        </w:rPr>
        <w:t>The agency re-screens workers on the required schedule (no less often than every two years) and whenever otherwise required, and it acts promptly on any new disqualifying information. Screening is completed and documented before assignment, and the agency does not rely on a single hire-date check alone where re-screening is required.</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screening and result, tracks re-screening due dates, and reviews screening compliance through quality so no disqualified person provides services.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background screening before any service recipient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Include criminal background, sex-offender registry, parole/probation, and vulnerable-adult abuse registry checks.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employ anyone with a disqualifying result in a role with recipient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each screening and result in the personnel record.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Re-screen no less often than every two years and when otherwise required.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Act promptly on any new disqualifying information.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re-screening due dates.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screening compliance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Background Screening Record · Registry Check Record · Re-Screening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3.3 — Employee Health and Communicable Disease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Employee Health and Communicable Disease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0940-05-38-.06(i)</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service recipients and workers by ensuring workers meet health-history requirements and follow communicable-disease detection and prevention procedures.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Health history — </w:t>
      </w:r>
      <w:r>
        <w:rPr>
          <w:rFonts w:eastAsia="Calibri" w:cs="Calibri"/>
          <w:b w:val="false"/>
          <w:bCs w:val="false"/>
          <w:i w:val="false"/>
          <w:iCs w:val="false"/>
          <w:color w:val="1A1A1A"/>
          <w:sz w:val="21"/>
          <w:szCs w:val="21"/>
        </w:rPr>
        <w:t>the health information and any screening the agency requires to confirm a worker can safely provide services.</w:t>
      </w:r>
    </w:p>
    <w:p>
      <w:pPr>
        <w:pStyle w:val="Normal"/>
        <w:spacing w:lineRule="exact" w:line="276" w:before="0" w:after="70"/>
        <w:rPr/>
      </w:pPr>
      <w:r>
        <w:rPr>
          <w:rFonts w:eastAsia="Calibri" w:cs="Calibri"/>
          <w:b/>
          <w:bCs/>
          <w:i w:val="false"/>
          <w:iCs w:val="false"/>
          <w:color w:val="1A1A1A"/>
          <w:sz w:val="21"/>
          <w:szCs w:val="21"/>
        </w:rPr>
        <w:t xml:space="preserve">Communicable-disease procedures — </w:t>
      </w:r>
      <w:r>
        <w:rPr>
          <w:rFonts w:eastAsia="Calibri" w:cs="Calibri"/>
          <w:b w:val="false"/>
          <w:bCs w:val="false"/>
          <w:i w:val="false"/>
          <w:iCs w:val="false"/>
          <w:color w:val="1A1A1A"/>
          <w:sz w:val="21"/>
          <w:szCs w:val="21"/>
        </w:rPr>
        <w:t>the agency’s procedures for detection and prevention of communicable diseases, consistent with Tennessee Department of Health procedures.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requires that each worker with service recipient contact meet the agency’s health-history requirements and comply with procedures for the detection and prevention of communicable diseases consistent with the procedures of the Tennessee Department of Health, as required by 0940-05-38-.06(i). Workers apply universal health precautions and infection-control practices (Policy 5.3), and a worker who is ill with a communicable condition does not have service recipient contact until it is safe.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health-history information and any required clearances in the personnel record, provides guidance and supplies appropriate to safe service delivery, and follows applicable public-health guidance, including during outbreaks. Workers report illnesses and exposures to the agency.</w:t>
      </w:r>
    </w:p>
    <w:p>
      <w:pPr>
        <w:pStyle w:val="Normal"/>
        <w:spacing w:lineRule="exact" w:line="276" w:before="0" w:after="120"/>
        <w:jc w:val="start"/>
        <w:rPr/>
      </w:pPr>
      <w:r>
        <w:rPr>
          <w:rFonts w:eastAsia="Calibri" w:cs="Calibri"/>
          <w:b w:val="false"/>
          <w:bCs w:val="false"/>
          <w:i w:val="false"/>
          <w:iCs w:val="false"/>
          <w:color w:val="1A1A1A"/>
          <w:sz w:val="21"/>
          <w:szCs w:val="21"/>
        </w:rPr>
        <w:t>The agency tracks health and clearance requirements, and reviews communicable-disease compliance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workers with recipient contact to meet health-history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Follow communicable-disease detection/prevention procedures per TN Dept of Health.</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Apply universal precautions and infection control (Policy 5.3).</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ill workers from recipient contact until safe.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health history and clearances in the personnel record.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Provide guidance and supplies for safe service delivery.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Require workers to report illnesses and exposures.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Track health/clearance requirements and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Employee Health &amp; Communicable Disease Record · Fitness-for-Duty Clearance · Exposure/Illness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3.4 — Worker Competency Before Service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Worker Competency Before Service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0940-05-38-.08(1)(a)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personal support services worker demonstrates documented basic competency in the required areas before beginning work with service recipients.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Basic competency — </w:t>
      </w:r>
      <w:r>
        <w:rPr>
          <w:rFonts w:eastAsia="Calibri" w:cs="Calibri"/>
          <w:b w:val="false"/>
          <w:bCs w:val="false"/>
          <w:i w:val="false"/>
          <w:iCs w:val="false"/>
          <w:color w:val="1A1A1A"/>
          <w:sz w:val="21"/>
          <w:szCs w:val="21"/>
        </w:rPr>
        <w:t>the demonstrated skill and knowledge, documented by the agency, that a worker must have before beginning work with service recipients.</w:t>
      </w:r>
    </w:p>
    <w:p>
      <w:pPr>
        <w:pStyle w:val="Normal"/>
        <w:spacing w:lineRule="exact" w:line="276" w:before="0" w:after="70"/>
        <w:rPr/>
      </w:pPr>
      <w:r>
        <w:rPr>
          <w:rFonts w:eastAsia="Calibri" w:cs="Calibri"/>
          <w:b/>
          <w:bCs/>
          <w:i w:val="false"/>
          <w:iCs w:val="false"/>
          <w:color w:val="1A1A1A"/>
          <w:sz w:val="21"/>
          <w:szCs w:val="21"/>
        </w:rPr>
        <w:t xml:space="preserve">Competency documentation — </w:t>
      </w:r>
      <w:r>
        <w:rPr>
          <w:rFonts w:eastAsia="Calibri" w:cs="Calibri"/>
          <w:b w:val="false"/>
          <w:bCs w:val="false"/>
          <w:i w:val="false"/>
          <w:iCs w:val="false"/>
          <w:color w:val="1A1A1A"/>
          <w:sz w:val="21"/>
          <w:szCs w:val="21"/>
        </w:rPr>
        <w:t>the agency’s record that a worker demonstrated competency in each required area.</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ensures and documents that each individual who provides personal support services demonstrates basic competency, before beginning work with service recipients, in each area required by 0940-05-38-.08(1)(a): observing, reporting, and documenting changes in a service recipient’s daily living skills; the detection, reporting, and prevention of abuse, neglect, and exploitation; service recipient rights; universal health precautions, including infection control; how to assist service recipients with personal hygiene; service recipient safety; and the procedures to be followed in an emergency or disaster, including emergency transportation, emergency medical care, and staff coverage.</w:t>
      </w:r>
    </w:p>
    <w:p>
      <w:pPr>
        <w:pStyle w:val="Normal"/>
        <w:spacing w:lineRule="exact" w:line="276" w:before="0" w:after="120"/>
        <w:jc w:val="start"/>
        <w:rPr/>
      </w:pPr>
      <w:r>
        <w:rPr>
          <w:rFonts w:eastAsia="Calibri" w:cs="Calibri"/>
          <w:b w:val="false"/>
          <w:bCs w:val="false"/>
          <w:i w:val="false"/>
          <w:iCs w:val="false"/>
          <w:color w:val="1A1A1A"/>
          <w:sz w:val="21"/>
          <w:szCs w:val="21"/>
        </w:rPr>
        <w:t>A worker does not begin providing services until competency in these areas is demonstrated and documented. The agency evaluates competency through instruction and demonstration appropriate to each area, and re-establishes competency where a worker’s performance or a change in duties requires it.</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worker’s competency in the personnel record and reviews competency completion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Ensure each worker demonstrates basic competency before beginning work.</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Cover observing/reporting/documenting changes in daily living skills.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Cover abuse/neglect/exploitation detection, reporting, and prevention, and recipient rights.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Cover universal precautions/infection control and assisting with personal hygiene.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Cover service recipient safety and emergency/disaster procedures.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 not let a worker begin services until competency is documented.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Re-establish competency where performance or duties require.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competency in the personnel record;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Worker Competency Checklist &amp; Record · Competency Evaluation Form · Competency Completion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3.5 — Annual and Recipient-Specific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Annual and Recipient-Specific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0940-05-38-.08(1)(c), (d)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workers receive job-related training at least annually and training specific to the needs of the service recipients they serve.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Annual training — </w:t>
      </w:r>
      <w:r>
        <w:rPr>
          <w:rFonts w:eastAsia="Calibri" w:cs="Calibri"/>
          <w:b w:val="false"/>
          <w:bCs w:val="false"/>
          <w:i w:val="false"/>
          <w:iCs w:val="false"/>
          <w:color w:val="1A1A1A"/>
          <w:sz w:val="21"/>
          <w:szCs w:val="21"/>
        </w:rPr>
        <w:t>job-related training provided to each worker at least once every year.</w:t>
      </w:r>
    </w:p>
    <w:p>
      <w:pPr>
        <w:pStyle w:val="Normal"/>
        <w:spacing w:lineRule="exact" w:line="276" w:before="0" w:after="70"/>
        <w:rPr/>
      </w:pPr>
      <w:r>
        <w:rPr>
          <w:rFonts w:eastAsia="Calibri" w:cs="Calibri"/>
          <w:b/>
          <w:bCs/>
          <w:i w:val="false"/>
          <w:iCs w:val="false"/>
          <w:color w:val="1A1A1A"/>
          <w:sz w:val="21"/>
          <w:szCs w:val="21"/>
        </w:rPr>
        <w:t xml:space="preserve">Recipient-specific training — </w:t>
      </w:r>
      <w:r>
        <w:rPr>
          <w:rFonts w:eastAsia="Calibri" w:cs="Calibri"/>
          <w:b w:val="false"/>
          <w:bCs w:val="false"/>
          <w:i w:val="false"/>
          <w:iCs w:val="false"/>
          <w:color w:val="1A1A1A"/>
          <w:sz w:val="21"/>
          <w:szCs w:val="21"/>
        </w:rPr>
        <w:t>documented training specific to meeting an individual service recipient’s needs in self-care, household management, and community living, and methodologies for service delivery.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ensures that each personal support services worker receives training on job-related topics at least annually, and that workers receive documented training specific to meeting individual service recipients’ needs in the areas of self-care, household management, and community living, and in methodologies for service delivery (0940-05-38-.08(1)(c) and (d)). Training topics are informed by supervisory findings, incidents and grievances, changes in practice, the agency’s majority client-population categorization (Policy 1.5), and the needs of specific recipients.</w:t>
      </w:r>
    </w:p>
    <w:p>
      <w:pPr>
        <w:pStyle w:val="Normal"/>
        <w:spacing w:lineRule="exact" w:line="276" w:before="0" w:after="120"/>
        <w:jc w:val="start"/>
        <w:rPr/>
      </w:pPr>
      <w:r>
        <w:rPr>
          <w:rFonts w:eastAsia="Calibri" w:cs="Calibri"/>
          <w:b w:val="false"/>
          <w:bCs w:val="false"/>
          <w:i w:val="false"/>
          <w:iCs w:val="false"/>
          <w:color w:val="1A1A1A"/>
          <w:sz w:val="21"/>
          <w:szCs w:val="21"/>
        </w:rPr>
        <w:t>Before a worker serves a recipient whose needs call for specific approaches, the agency provides and documents the recipient-specific training needed for safe, appropriate service. The agency uses training to maintain and improve competency over time.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annual and recipient-specific training in the personnel record, tracks due dates so none is missed, and reviews training completion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job-related training to each worker at least annually.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documented recipient-specific training (self-care, household management, community living, service-delivery methodologies).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Base training topics on supervision, incidents, grievances, population, and recipient needs.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recipient-specific training before serving recipients who need specific approaches.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Use training to maintain and improve competency.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annual and recipient-specific training in the personnel record.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training due dates so none is missed.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training completion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Annual Training Log · Recipient-Specific Training Record · Training Due-Date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3.6 — Medication-Assistance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Medication-Assistance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0940-05-38-.06(l), .08(1)(b); T.C.A. § 63-7-102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that, if the agency offers medication assistance, workers are trained for it under a registered nurse and provide it only within strict limits.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Medication assistance — </w:t>
      </w:r>
      <w:r>
        <w:rPr>
          <w:rFonts w:eastAsia="Calibri" w:cs="Calibri"/>
          <w:b w:val="false"/>
          <w:bCs w:val="false"/>
          <w:i w:val="false"/>
          <w:iCs w:val="false"/>
          <w:color w:val="1A1A1A"/>
          <w:sz w:val="21"/>
          <w:szCs w:val="21"/>
        </w:rPr>
        <w:t>non-medical assistance with a service recipient’s self-administered medications, offered only if the agency chooses to provide the service.</w:t>
      </w:r>
    </w:p>
    <w:p>
      <w:pPr>
        <w:pStyle w:val="Normal"/>
        <w:spacing w:lineRule="exact" w:line="276" w:before="0" w:after="70"/>
        <w:rPr/>
      </w:pPr>
      <w:r>
        <w:rPr>
          <w:rFonts w:eastAsia="Calibri" w:cs="Calibri"/>
          <w:b/>
          <w:bCs/>
          <w:i w:val="false"/>
          <w:iCs w:val="false"/>
          <w:color w:val="1A1A1A"/>
          <w:sz w:val="21"/>
          <w:szCs w:val="21"/>
        </w:rPr>
        <w:t xml:space="preserve">RN-supervised training — </w:t>
      </w:r>
      <w:r>
        <w:rPr>
          <w:rFonts w:eastAsia="Calibri" w:cs="Calibri"/>
          <w:b w:val="false"/>
          <w:bCs w:val="false"/>
          <w:i w:val="false"/>
          <w:iCs w:val="false"/>
          <w:color w:val="1A1A1A"/>
          <w:sz w:val="21"/>
          <w:szCs w:val="21"/>
        </w:rPr>
        <w:t>medication-assistance training performed by, or under the general supervision of, a registered nurse, consistent with T.C.A. § 63-7-102.</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If [Agency Name] offers medication assistance, it provides that service only after documented training in medication assistance that is performed by, or under the general supervision of, a registered nurse and consistent with T.C.A. § 63-7-102, and only after written authorization has been obtained from the service recipient or the recipient’s authorized representative. Workers who provide medication assistance follow the agency’s written medication-assistance procedures, including procedures for collecting information about the medications a recipient takes, and provide assistance only within the non-medical boundary (Policy 4.5).</w:t>
      </w:r>
    </w:p>
    <w:p>
      <w:pPr>
        <w:pStyle w:val="Normal"/>
        <w:spacing w:lineRule="exact" w:line="276" w:before="0" w:after="120"/>
        <w:jc w:val="start"/>
        <w:rPr/>
      </w:pPr>
      <w:r>
        <w:rPr>
          <w:rFonts w:eastAsia="Calibri" w:cs="Calibri"/>
          <w:b w:val="false"/>
          <w:bCs w:val="false"/>
          <w:i w:val="false"/>
          <w:iCs w:val="false"/>
          <w:color w:val="1A1A1A"/>
          <w:sz w:val="21"/>
          <w:szCs w:val="21"/>
        </w:rPr>
        <w:t>A worker does not provide medication assistance before the required training is completed and documented in the worker’s record and the required authorization is in place. The agency does not represent medication assistance as skilled nursing or medication administration.</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medication-assistance training, authorizations, and the supervising nurse, and reviews medication-assistance practices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medication assistance only if the agency offers the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Train workers in medication assistance by or under the general supervision of an RN (T.C.A. § 63-7-102).</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Obtain written authorization from the recipient or representative first.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Follow written medication-assistance procedures, including collecting medication information.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medication assistance within the non-medical boundary (Policy 4.5).</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 not let a worker assist before training is documented and authorization is in place.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Never represent assistance as skilled nursing or administration.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training and authorizations;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Medication-Assistance Training Record (RN) · Medication-Assistance Authorization · Medication Information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3.7 — Orientation and Ongoing Staff Education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Orientation and Ongoing Staff Education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0940-05-38-.07, .08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worker is oriented before service recipient contact and receives ongoing education that keeps them competent and compliant.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Orientation — </w:t>
      </w:r>
      <w:r>
        <w:rPr>
          <w:rFonts w:eastAsia="Calibri" w:cs="Calibri"/>
          <w:b w:val="false"/>
          <w:bCs w:val="false"/>
          <w:i w:val="false"/>
          <w:iCs w:val="false"/>
          <w:color w:val="1A1A1A"/>
          <w:sz w:val="21"/>
          <w:szCs w:val="21"/>
        </w:rPr>
        <w:t>the initial preparation each worker completes before service recipient contact, covering role, scope, rights, safety, reporting, and documentation.</w:t>
      </w:r>
    </w:p>
    <w:p>
      <w:pPr>
        <w:pStyle w:val="Normal"/>
        <w:spacing w:lineRule="exact" w:line="276" w:before="0" w:after="70"/>
        <w:rPr/>
      </w:pPr>
      <w:r>
        <w:rPr>
          <w:rFonts w:eastAsia="Calibri" w:cs="Calibri"/>
          <w:b/>
          <w:bCs/>
          <w:i w:val="false"/>
          <w:iCs w:val="false"/>
          <w:color w:val="1A1A1A"/>
          <w:sz w:val="21"/>
          <w:szCs w:val="21"/>
        </w:rPr>
        <w:t xml:space="preserve">Ongoing education — </w:t>
      </w:r>
      <w:r>
        <w:rPr>
          <w:rFonts w:eastAsia="Calibri" w:cs="Calibri"/>
          <w:b w:val="false"/>
          <w:bCs w:val="false"/>
          <w:i w:val="false"/>
          <w:iCs w:val="false"/>
          <w:color w:val="1A1A1A"/>
          <w:sz w:val="21"/>
          <w:szCs w:val="21"/>
        </w:rPr>
        <w:t>continuing education, including the required annual training, that maintains and improves worker competency and 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orients every worker before the worker has service recipient contact. Orientation covers the worker’s role, scope, and the non-medical boundary; service recipient rights and confidentiality; the service plan and documentation; universal precautions and infection control; abuse, neglect, and exploitation reporting; service recipient safety; and emergency and disaster procedures. No worker has service recipient contact before orientation and required competency (Policy 3.4) are complete.</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ongoing education — including the required annual and recipient-specific training (Policy 3.5) — to maintain competency and address changes in rule, practice, and recipient needs, and it documents attendance and content for orientation and ongoing education.</w:t>
      </w:r>
    </w:p>
    <w:p>
      <w:pPr>
        <w:pStyle w:val="Normal"/>
        <w:spacing w:lineRule="exact" w:line="276" w:before="0" w:after="120"/>
        <w:jc w:val="start"/>
        <w:rPr/>
      </w:pPr>
      <w:r>
        <w:rPr>
          <w:rFonts w:eastAsia="Calibri" w:cs="Calibri"/>
          <w:b w:val="false"/>
          <w:bCs w:val="false"/>
          <w:i w:val="false"/>
          <w:iCs w:val="false"/>
          <w:color w:val="1A1A1A"/>
          <w:sz w:val="21"/>
          <w:szCs w:val="21"/>
        </w:rPr>
        <w:t>The agency tracks orientation and education completion per worker and reviews education compliance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Orient every worker before service recipient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Cover role/scope/non-medical boundary, rights, confidentiality, service plan, and documentation.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Cover universal precautions, abuse reporting, safety, and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Confirm orientation and competency are complete before any recipient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ongoing education, including required annual and recipient-specific training.</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attendance and content for orientation and education.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completion per worker.</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education compliance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Orientation Checklist · Staff Education Log · Orientation/Education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3.8 — Personnel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maintains a complete, confidential personnel record for each worker that documents screening, health, competency, and training.</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Personnel record — </w:t>
      </w:r>
      <w:r>
        <w:rPr>
          <w:rFonts w:eastAsia="Calibri" w:cs="Calibri"/>
          <w:b w:val="false"/>
          <w:bCs w:val="false"/>
          <w:i w:val="false"/>
          <w:iCs w:val="false"/>
          <w:color w:val="1A1A1A"/>
          <w:sz w:val="21"/>
          <w:szCs w:val="21"/>
        </w:rPr>
        <w:t>the confidential file documenting a worker’s qualifications, screening, health history, competency, training, and performance.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confidential personnel record for each worker that documents the job description; the background screening and registry checks (Policy 3.2); health-history and communicable-disease clearances (Policy 3.3); documented basic competency (Policy 3.4); annual and recipient-specific training (Policy 3.5); any medication-assistance training and authorizations (Policy 3.6); orientation; and, where transportation is provided, the worker’s valid Tennessee driver’s license and vehicle insurance documentation (Policy 4.7).</w:t>
      </w:r>
    </w:p>
    <w:p>
      <w:pPr>
        <w:pStyle w:val="Normal"/>
        <w:spacing w:lineRule="exact" w:line="276" w:before="0" w:after="120"/>
        <w:jc w:val="start"/>
        <w:rPr/>
      </w:pPr>
      <w:r>
        <w:rPr>
          <w:rFonts w:eastAsia="Calibri" w:cs="Calibri"/>
          <w:b w:val="false"/>
          <w:bCs w:val="false"/>
          <w:i w:val="false"/>
          <w:iCs w:val="false"/>
          <w:color w:val="1A1A1A"/>
          <w:sz w:val="21"/>
          <w:szCs w:val="21"/>
        </w:rPr>
        <w:t>Records are kept confidential and secured against unauthorized access, retained consistent with the agency’s retention policy, and made available to the licensing authority as required. The agency keeps personnel records survey-ready and tracks required updates.</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personnel-record completeness through its quality process and corrects any gaps promptly.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confidential personnel record for each worker.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job description, screening, and registry checks.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health history, competency, and annual/recipient-specific training.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any medication-assistance training/authorizations and driver documentation.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Secure records and retain them per the retention policy.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Make records available to the licensing authority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records survey-ready and track required updates.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personnel-record completeness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Personnel File Checklist · Driver’s License &amp; Vehicle Insurance Record · Personnel Record Audit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SERVICE DELIVERY &amp; SUPERVISION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Tennessee personal support services agency licensing rule, Tenn. Comp. R. &amp; Regs. Chapter 0940-05-38 (Minimum Program Requirements for Personal Support Services Agencies), adopted under the Tennessee Mental Health and Developmental Disabilities laws (Title 33, including T.C.A. § 33-2-421). Licensed and overseen by the Tennessee Department of Mental Health and Substance Abuse Services (TDMHSAS), Office of Licensure. This is a NON-MEDICAL personal support services agency: it provides personal care and assistance with daily living, homemaker, sitter/companion, and in-home respite services in the service recipient’s residence. It does not provide skilled nursing or any medical service. Tennessee Medicaid (TennCare) long-term services are delivered through TennCare CHOICES and its managed care organizations.</w:t>
      </w:r>
    </w:p>
    <w:p>
      <w:pPr>
        <w:pStyle w:val="Normal"/>
        <w:spacing w:lineRule="exact" w:line="276" w:before="0" w:after="120"/>
        <w:jc w:val="start"/>
        <w:rPr/>
      </w:pPr>
      <w:r>
        <w:rPr>
          <w:rFonts w:eastAsia="Calibri" w:cs="Calibri"/>
          <w:b w:val="false"/>
          <w:bCs w:val="false"/>
          <w:i/>
          <w:iCs/>
          <w:color w:val="555555"/>
          <w:sz w:val="20"/>
          <w:szCs w:val="20"/>
        </w:rPr>
        <w:t>This section governs how personal support services are delivered and overseen: the non-medical services workers provide, the on-site supervisory visits the agency conducts, the boundaries around medication assistance and assistive devices, transportation, and the service recipient records that document each visit.</w:t>
      </w:r>
    </w:p>
    <w:p>
      <w:pPr>
        <w:pStyle w:val="Normal"/>
        <w:keepNext w:val="true"/>
        <w:spacing w:before="240" w:after="100"/>
        <w:rPr/>
      </w:pPr>
      <w:r>
        <w:rPr>
          <w:rFonts w:eastAsia="Calibri" w:cs="Calibri"/>
          <w:b/>
          <w:bCs/>
          <w:i w:val="false"/>
          <w:iCs w:val="false"/>
          <w:color w:val="1F3A5F"/>
          <w:sz w:val="24"/>
          <w:szCs w:val="24"/>
        </w:rPr>
        <w:t>Policy 4.1 — Delivery of Personal Support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Delivery of Personal Support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Operations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workers deliver personal support services within their competency, the service plan, and the non-medical scope.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Self-care assistance — </w:t>
      </w:r>
      <w:r>
        <w:rPr>
          <w:rFonts w:eastAsia="Calibri" w:cs="Calibri"/>
          <w:b w:val="false"/>
          <w:bCs w:val="false"/>
          <w:i w:val="false"/>
          <w:iCs w:val="false"/>
          <w:color w:val="1A1A1A"/>
          <w:sz w:val="21"/>
          <w:szCs w:val="21"/>
        </w:rPr>
        <w:t>help with activities of daily living such as bathing, dressing, grooming, toileting, eating, mobility, and transfers.</w:t>
      </w:r>
    </w:p>
    <w:p>
      <w:pPr>
        <w:pStyle w:val="Normal"/>
        <w:spacing w:lineRule="exact" w:line="276" w:before="0" w:after="70"/>
        <w:rPr/>
      </w:pPr>
      <w:r>
        <w:rPr>
          <w:rFonts w:eastAsia="Calibri" w:cs="Calibri"/>
          <w:b/>
          <w:bCs/>
          <w:i w:val="false"/>
          <w:iCs w:val="false"/>
          <w:color w:val="1A1A1A"/>
          <w:sz w:val="21"/>
          <w:szCs w:val="21"/>
        </w:rPr>
        <w:t xml:space="preserve">Homemaker / companion services — </w:t>
      </w:r>
      <w:r>
        <w:rPr>
          <w:rFonts w:eastAsia="Calibri" w:cs="Calibri"/>
          <w:b w:val="false"/>
          <w:bCs w:val="false"/>
          <w:i w:val="false"/>
          <w:iCs w:val="false"/>
          <w:color w:val="1A1A1A"/>
          <w:sz w:val="21"/>
          <w:szCs w:val="21"/>
        </w:rPr>
        <w:t>meal preparation, light housekeeping, laundry, and errands; and sitter, companion, and in-home respite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Name]’s workers deliver personal support services in accordance with each service recipient’s service plan and within their documented competency and the agency’s non-medical scope. Services include self-care assistance and activities of daily living, homemaker services, sitter and companion services, and in-home respite. Workers observe, report, and document changes in a recipient’s daily living skills and communicate changes or concerns to their supervisor promptly.</w:t>
      </w:r>
    </w:p>
    <w:p>
      <w:pPr>
        <w:pStyle w:val="Normal"/>
        <w:spacing w:lineRule="exact" w:line="276" w:before="0" w:after="120"/>
        <w:jc w:val="start"/>
        <w:rPr/>
      </w:pPr>
      <w:r>
        <w:rPr>
          <w:rFonts w:eastAsia="Calibri" w:cs="Calibri"/>
          <w:b w:val="false"/>
          <w:bCs w:val="false"/>
          <w:i w:val="false"/>
          <w:iCs w:val="false"/>
          <w:color w:val="1A1A1A"/>
          <w:sz w:val="21"/>
          <w:szCs w:val="21"/>
        </w:rPr>
        <w:t>Workers provide only the services in the service plan and within their competency, and do not perform skilled nursing, therapy, or any medical task. Where a recipient’s needs change or exceed the plan or the agency’s scope, the worker notifies the agency, which updates the plan or coordinates appropriately before new tasks are performed.</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services delivered and observations in the service recipient record and reviews service delivery through supervision and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Deliver services per the service plan and within worker competency and non-medical scope.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self-care/ADL, homemaker, sitter/companion, and respite services.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Observe, report, and document changes in daily living skills.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Communicate changes and concerns to the supervisor promptly.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only services in the plan; perform no skilled or medical task.</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Notify the agency when needs change or exceed the plan/scope.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Update the plan or coordinate before performing new tasks.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services and observations; review through supervision and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Visit Note · ADL &amp; Task Record · Change-in-Condition/Observation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4.2 — On-Site Supervision of Service Delivery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On-Site Supervision of 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Operations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0940-05-38-.05, .07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 supervisor conducts on-site supervisory visits on the required schedule, so services are delivered safely, competently, and consistent with the service plan.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Supervisory visit — </w:t>
      </w:r>
      <w:r>
        <w:rPr>
          <w:rFonts w:eastAsia="Calibri" w:cs="Calibri"/>
          <w:b w:val="false"/>
          <w:bCs w:val="false"/>
          <w:i w:val="false"/>
          <w:iCs w:val="false"/>
          <w:color w:val="1A1A1A"/>
          <w:sz w:val="21"/>
          <w:szCs w:val="21"/>
        </w:rPr>
        <w:t>an on-site visit to observe service delivery, verify the service plan is followed, and confirm the recipient’s needs are met.</w:t>
      </w:r>
    </w:p>
    <w:p>
      <w:pPr>
        <w:pStyle w:val="Normal"/>
        <w:spacing w:lineRule="exact" w:line="276" w:before="0" w:after="70"/>
        <w:rPr/>
      </w:pPr>
      <w:r>
        <w:rPr>
          <w:rFonts w:eastAsia="Calibri" w:cs="Calibri"/>
          <w:b/>
          <w:bCs/>
          <w:i w:val="false"/>
          <w:iCs w:val="false"/>
          <w:color w:val="1A1A1A"/>
          <w:sz w:val="21"/>
          <w:szCs w:val="21"/>
        </w:rPr>
        <w:t xml:space="preserve">Supervisor — </w:t>
      </w:r>
      <w:r>
        <w:rPr>
          <w:rFonts w:eastAsia="Calibri" w:cs="Calibri"/>
          <w:b w:val="false"/>
          <w:bCs w:val="false"/>
          <w:i w:val="false"/>
          <w:iCs w:val="false"/>
          <w:color w:val="1A1A1A"/>
          <w:sz w:val="21"/>
          <w:szCs w:val="21"/>
        </w:rPr>
        <w:t>the qualified person the agency designates to supervise personal support services workers and conduct supervisory visits.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on-site supervision of service delivery, including a documented supervisory visit conducted no less often than every thirty days for each active service recipient. During the visit, the supervisor observes or verifies that services are provided safely, competently, and consistent with the service plan and the recipient’s rights; checks the recipient’s satisfaction and any changes in needs; and addresses any problem identified. The supervisor is available to workers between visits for direction and questions.</w:t>
      </w:r>
    </w:p>
    <w:p>
      <w:pPr>
        <w:pStyle w:val="Normal"/>
        <w:spacing w:lineRule="exact" w:line="276" w:before="0" w:after="120"/>
        <w:jc w:val="start"/>
        <w:rPr/>
      </w:pPr>
      <w:r>
        <w:rPr>
          <w:rFonts w:eastAsia="Calibri" w:cs="Calibri"/>
          <w:b w:val="false"/>
          <w:bCs w:val="false"/>
          <w:i w:val="false"/>
          <w:iCs w:val="false"/>
          <w:color w:val="1A1A1A"/>
          <w:sz w:val="21"/>
          <w:szCs w:val="21"/>
        </w:rPr>
        <w:t>Where a supervisory visit identifies a concern — a change in the recipient’s needs, a service-plan gap, or a performance issue — the agency acts promptly to correct it, adjusts the service plan or worker assignment as needed, and provides additional training where indicated. Supervision confirms that workers stay within their competency and the non-medical scope.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supervisory visit and its findings, tracks supervisory-visit due dates so none is missed, and reviews supervision timeliness and findings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Conduct a documented on-site supervisory visit at least every 30 days per active recipient.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Observe or verify safe, competent service consistent with the plan and rights.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Check recipient satisfaction and any changes in needs.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a supervisor available to workers between visits.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Act promptly on any concern identified at a visit.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Adjust the service plan or assignment and provide training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Confirm workers stay within competency and non-medical scope.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visits, track due dates, and review timeliness/findings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Supervisory Visit Record · Supervisory Visit Tracker (30-day) · Supervision Follow-Up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4.3 — Documentation and Service Recipient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Documentation and Service Recipient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Operations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an accurate service recipient record is maintained for each recipient, documenting services delivered and supporting supervision, payment, and review.</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recipient record — </w:t>
      </w:r>
      <w:r>
        <w:rPr>
          <w:rFonts w:eastAsia="Calibri" w:cs="Calibri"/>
          <w:b w:val="false"/>
          <w:bCs w:val="false"/>
          <w:i w:val="false"/>
          <w:iCs w:val="false"/>
          <w:color w:val="1A1A1A"/>
          <w:sz w:val="21"/>
          <w:szCs w:val="21"/>
        </w:rPr>
        <w:t>the record for each recipient containing intake information, the service plan, service notes, supervisory visits, and communications.</w:t>
      </w:r>
    </w:p>
    <w:p>
      <w:pPr>
        <w:pStyle w:val="Normal"/>
        <w:spacing w:lineRule="exact" w:line="276" w:before="0" w:after="70"/>
        <w:rPr/>
      </w:pPr>
      <w:r>
        <w:rPr>
          <w:rFonts w:eastAsia="Calibri" w:cs="Calibri"/>
          <w:b/>
          <w:bCs/>
          <w:i w:val="false"/>
          <w:iCs w:val="false"/>
          <w:color w:val="1A1A1A"/>
          <w:sz w:val="21"/>
          <w:szCs w:val="21"/>
        </w:rPr>
        <w:t xml:space="preserve">Service note — </w:t>
      </w:r>
      <w:r>
        <w:rPr>
          <w:rFonts w:eastAsia="Calibri" w:cs="Calibri"/>
          <w:b w:val="false"/>
          <w:bCs w:val="false"/>
          <w:i w:val="false"/>
          <w:iCs w:val="false"/>
          <w:color w:val="1A1A1A"/>
          <w:sz w:val="21"/>
          <w:szCs w:val="21"/>
        </w:rPr>
        <w:t>a dated, signed entry documenting the services provided during a visit and any observations.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service recipient record for each recipient that includes intake and enrollment information, the rights acknowledgment, the service plan and its reviews, service notes signed and dated by the worker providing services, supervisory-visit records, communications and changes reported, and, where applicable, funds and transportation records. Documentation reflects the services actually provided, is consistent with the service plan, and is completed accurately and on time. Workers do not record a service they did not provide or a visit they did not make.</w:t>
      </w:r>
    </w:p>
    <w:p>
      <w:pPr>
        <w:pStyle w:val="Normal"/>
        <w:spacing w:lineRule="exact" w:line="276" w:before="0" w:after="120"/>
        <w:jc w:val="start"/>
        <w:rPr/>
      </w:pPr>
      <w:r>
        <w:rPr>
          <w:rFonts w:eastAsia="Calibri" w:cs="Calibri"/>
          <w:b w:val="false"/>
          <w:bCs w:val="false"/>
          <w:i w:val="false"/>
          <w:iCs w:val="false"/>
          <w:color w:val="1A1A1A"/>
          <w:sz w:val="21"/>
          <w:szCs w:val="21"/>
        </w:rPr>
        <w:t>Where a recipient is served through TennCare, documentation and any electronic visit verification records are kept consistent (Policy 6.3). The agency corrects errors properly, safeguards records against loss and unauthorized access, and retains them consistent with its retention policy and payer requirements. Records are organized so the agency can produce them for the licensing authority and for continuity of services.</w:t>
      </w:r>
    </w:p>
    <w:p>
      <w:pPr>
        <w:pStyle w:val="Normal"/>
        <w:spacing w:lineRule="exact" w:line="276" w:before="0" w:after="120"/>
        <w:jc w:val="start"/>
        <w:rPr/>
      </w:pPr>
      <w:r>
        <w:rPr>
          <w:rFonts w:eastAsia="Calibri" w:cs="Calibri"/>
          <w:b w:val="false"/>
          <w:bCs w:val="false"/>
          <w:i w:val="false"/>
          <w:iCs w:val="false"/>
          <w:color w:val="1A1A1A"/>
          <w:sz w:val="21"/>
          <w:szCs w:val="21"/>
        </w:rPr>
        <w:t>The agency trains workers on documentation, audits records through quality, and uses findings to improve documentation accuracy and completeness.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service recipient record for each recipient.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Include intake, rights acknowledgment, service plan, service notes, and supervisory visits.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Sign and date service notes; document services provided and observations.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documentation consistent with the service plan and completed on time.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Never record a service not provided or a visit not made.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documentation consistent with EVV records for TennCare recipients.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Correct errors properly, safeguard records, and retain per policy and payer rules.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Train workers on documentation and audit records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Recipient Record Index · Service Note · Documentation Audit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4.4 — Service Recipient Safety in the Home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Recipient Safety in the Home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Operations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0940-05-38-.08(1)(a)6.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service recipients and workers by identifying and addressing safety risks in the home and reinforcing safe practice.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Safety risk — </w:t>
      </w:r>
      <w:r>
        <w:rPr>
          <w:rFonts w:eastAsia="Calibri" w:cs="Calibri"/>
          <w:b w:val="false"/>
          <w:bCs w:val="false"/>
          <w:i w:val="false"/>
          <w:iCs w:val="false"/>
          <w:color w:val="1A1A1A"/>
          <w:sz w:val="21"/>
          <w:szCs w:val="21"/>
        </w:rPr>
        <w:t>a condition in the home — such as a fall hazard, fire risk, or unsafe condition — that threatens the recipient’s or worker’s safety.</w:t>
      </w:r>
    </w:p>
    <w:p>
      <w:pPr>
        <w:pStyle w:val="Normal"/>
        <w:spacing w:lineRule="exact" w:line="276" w:before="0" w:after="70"/>
        <w:rPr/>
      </w:pPr>
      <w:r>
        <w:rPr>
          <w:rFonts w:eastAsia="Calibri" w:cs="Calibri"/>
          <w:b/>
          <w:bCs/>
          <w:i w:val="false"/>
          <w:iCs w:val="false"/>
          <w:color w:val="1A1A1A"/>
          <w:sz w:val="21"/>
          <w:szCs w:val="21"/>
        </w:rPr>
        <w:t xml:space="preserve">Safety practice — </w:t>
      </w:r>
      <w:r>
        <w:rPr>
          <w:rFonts w:eastAsia="Calibri" w:cs="Calibri"/>
          <w:b w:val="false"/>
          <w:bCs w:val="false"/>
          <w:i w:val="false"/>
          <w:iCs w:val="false"/>
          <w:color w:val="1A1A1A"/>
          <w:sz w:val="21"/>
          <w:szCs w:val="21"/>
        </w:rPr>
        <w:t>the practices workers use to keep recipients safe, including safe assistance, hazard reporting, and emergency response.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makes service recipient safety a core competency (Policy 3.4) and a daily practice. Workers help maintain a safe environment, identify safety risks — such as fall hazards, fire and electrical hazards, and unsafe conditions — and report them to the supervisor, who addresses them within the agency’s role by adjusting how services are delivered, teaching the recipient and family, documenting the concern in the service plan, and escalating serious hazards.</w:t>
      </w:r>
    </w:p>
    <w:p>
      <w:pPr>
        <w:pStyle w:val="Normal"/>
        <w:spacing w:lineRule="exact" w:line="276" w:before="0" w:after="120"/>
        <w:jc w:val="start"/>
        <w:rPr/>
      </w:pPr>
      <w:r>
        <w:rPr>
          <w:rFonts w:eastAsia="Calibri" w:cs="Calibri"/>
          <w:b w:val="false"/>
          <w:bCs w:val="false"/>
          <w:i w:val="false"/>
          <w:iCs w:val="false"/>
          <w:color w:val="1A1A1A"/>
          <w:sz w:val="21"/>
          <w:szCs w:val="21"/>
        </w:rPr>
        <w:t>The agency also protects worker safety; where a home presents an unacceptable risk to a worker, the agency addresses it, up to reassessing whether it can safely serve the recipient there. Safety findings inform the service plan and supervision.</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safety concerns and follow-up and reviews recurring or serious safety issues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Treat service recipient safety as a core competency and daily practice.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Have workers help maintain a safe environment and identify safety risks.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hazards to the supervisor and document them in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Address hazards within the agency’s role and teach the recipient and family.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Escalate serious hazards beyond the agency’s role.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Protect worker safety; reassess service where a home is unacceptably unsafe.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Use safety findings to inform the service plan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recurring or serious safety issues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Safety Assessment · Safety Hazard Report &amp; Follow-Up · Worker Safety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4.5 — Medication Assistance Boundary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 Assistance Boundary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Operations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0940-05-38-.06(l)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any medication assistance stays within the non-medical boundary and the rule’s conditions, protecting recipients from harm.</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Medication assistance — </w:t>
      </w:r>
      <w:r>
        <w:rPr>
          <w:rFonts w:eastAsia="Calibri" w:cs="Calibri"/>
          <w:b w:val="false"/>
          <w:bCs w:val="false"/>
          <w:i w:val="false"/>
          <w:iCs w:val="false"/>
          <w:color w:val="1A1A1A"/>
          <w:sz w:val="21"/>
          <w:szCs w:val="21"/>
        </w:rPr>
        <w:t>non-medical help with a recipient’s self-administered medications, such as reminding, and — within scope and the plan — limited assistance, provided only under the agency’s written procedures.</w:t>
      </w:r>
    </w:p>
    <w:p>
      <w:pPr>
        <w:pStyle w:val="Normal"/>
        <w:spacing w:lineRule="exact" w:line="276" w:before="0" w:after="70"/>
        <w:rPr/>
      </w:pPr>
      <w:r>
        <w:rPr>
          <w:rFonts w:eastAsia="Calibri" w:cs="Calibri"/>
          <w:b/>
          <w:bCs/>
          <w:i w:val="false"/>
          <w:iCs w:val="false"/>
          <w:color w:val="1A1A1A"/>
          <w:sz w:val="21"/>
          <w:szCs w:val="21"/>
        </w:rPr>
        <w:t xml:space="preserve">Non-medical boundary — </w:t>
      </w:r>
      <w:r>
        <w:rPr>
          <w:rFonts w:eastAsia="Calibri" w:cs="Calibri"/>
          <w:b w:val="false"/>
          <w:bCs w:val="false"/>
          <w:i w:val="false"/>
          <w:iCs w:val="false"/>
          <w:color w:val="1A1A1A"/>
          <w:sz w:val="21"/>
          <w:szCs w:val="21"/>
        </w:rPr>
        <w:t>the line that separates permitted medication assistance from medication administration or skilled nursing, which workers do not perform.</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[Agency Name] offers medication assistance, workers provide it only under the agency’s written medication-assistance procedures, only after written authorization from the service recipient or representative, and only after documented RN-supervised training (Policy 3.6). Medication assistance is non-medical — for example, reminding a recipient to take self-administered medications and, within scope and the plan, limited assistance — and workers collect information about the recipient’s medications as the procedures require. Workers do not administer medications, give injections, or perform any skilled nursing task.</w:t>
      </w:r>
    </w:p>
    <w:p>
      <w:pPr>
        <w:pStyle w:val="Normal"/>
        <w:spacing w:lineRule="exact" w:line="276" w:before="0" w:after="120"/>
        <w:jc w:val="start"/>
        <w:rPr/>
      </w:pPr>
      <w:r>
        <w:rPr>
          <w:rFonts w:eastAsia="Calibri" w:cs="Calibri"/>
          <w:b w:val="false"/>
          <w:bCs w:val="false"/>
          <w:i w:val="false"/>
          <w:iCs w:val="false"/>
          <w:color w:val="1A1A1A"/>
          <w:sz w:val="21"/>
          <w:szCs w:val="21"/>
        </w:rPr>
        <w:t>If a recipient’s medication needs exceed non-medical assistance, the worker notifies the agency, which coordinates appropriately rather than crossing the non-medical boundary. The agency does not permit any worker to provide medication assistance without the required authorization, training, and procedures.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medication-assistance authorizations, the medications information collected, and any concerns, and reviews medication-assistance practice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medication assistance only under written procedures, authorization, and RN-supervised training.</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medication assistance non-medical (reminding; limited assistance within scope and plan).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Collect medication information as the procedures require.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Never administer medications, give injections, or perform skilled nursing.</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Notify the agency when needs exceed non-medical assistance.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Coordinate appropriately rather than crossing the boundary.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 not allow assistance without authorization, training, and procedures.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authorizations and concerns;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Medication-Assistance Authorization · Medication Information Record · Medication Concern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4.6 — Assistive Devices (Gait Belt, Mechanical Lift)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Assistive Devices (Gait Belt, Mechanical Lift)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Operations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0940-05-38-.06(n)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workers use assistive transfer devices safely and only after training, and never as part of a therapeutic regimen.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Assistive device — </w:t>
      </w:r>
      <w:r>
        <w:rPr>
          <w:rFonts w:eastAsia="Calibri" w:cs="Calibri"/>
          <w:b w:val="false"/>
          <w:bCs w:val="false"/>
          <w:i w:val="false"/>
          <w:iCs w:val="false"/>
          <w:color w:val="1A1A1A"/>
          <w:sz w:val="21"/>
          <w:szCs w:val="21"/>
        </w:rPr>
        <w:t>a device such as a gait belt or mechanical (hoyer) lift used to assist a service recipient in getting into or out of bed, a chair, the toilet, or the shower.</w:t>
      </w:r>
    </w:p>
    <w:p>
      <w:pPr>
        <w:pStyle w:val="Normal"/>
        <w:spacing w:lineRule="exact" w:line="276" w:before="0" w:after="70"/>
        <w:rPr/>
      </w:pPr>
      <w:r>
        <w:rPr>
          <w:rFonts w:eastAsia="Calibri" w:cs="Calibri"/>
          <w:b/>
          <w:bCs/>
          <w:i w:val="false"/>
          <w:iCs w:val="false"/>
          <w:color w:val="1A1A1A"/>
          <w:sz w:val="21"/>
          <w:szCs w:val="21"/>
        </w:rPr>
        <w:t xml:space="preserve">Device training — </w:t>
      </w:r>
      <w:r>
        <w:rPr>
          <w:rFonts w:eastAsia="Calibri" w:cs="Calibri"/>
          <w:b w:val="false"/>
          <w:bCs w:val="false"/>
          <w:i w:val="false"/>
          <w:iCs w:val="false"/>
          <w:color w:val="1A1A1A"/>
          <w:sz w:val="21"/>
          <w:szCs w:val="21"/>
        </w:rPr>
        <w:t>the training a worker completes before using an assistive device.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permits workers to use assistive devices such as a gait belt or mechanical lift to assist a service recipient in getting into or out of bed, a chair, the toilet, or the shower only after the worker has been trained to use the device, and only as assistance with mobility and transfers — not as part of a therapeutic regimen, as provided in 0940-05-38-.06(n). Device use is included in the recipient’s service plan where applicable, and workers use devices consistent with their training and the manufacturer’s instructions.</w:t>
      </w:r>
    </w:p>
    <w:p>
      <w:pPr>
        <w:pStyle w:val="Normal"/>
        <w:spacing w:lineRule="exact" w:line="276" w:before="0" w:after="120"/>
        <w:jc w:val="start"/>
        <w:rPr/>
      </w:pPr>
      <w:r>
        <w:rPr>
          <w:rFonts w:eastAsia="Calibri" w:cs="Calibri"/>
          <w:b w:val="false"/>
          <w:bCs w:val="false"/>
          <w:i w:val="false"/>
          <w:iCs w:val="false"/>
          <w:color w:val="1A1A1A"/>
          <w:sz w:val="21"/>
          <w:szCs w:val="21"/>
        </w:rPr>
        <w:t>A worker does not use an assistive device before completing training, and does not use a device the recipient’s condition or the service plan does not support. Where a recipient’s transfer needs exceed safe non-medical assistance, the worker notifies the agency, which coordinates appropriately.</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device training and use and reviews device safety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Permit assistive-device use only after the worker is trained.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devices only to assist mobility and transfers, not as a therapeutic regimen.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Include device use in the service plan where applicable.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Use devices consistent with training and manufacturer instructions.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 not use a device before training is complete.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 not use a device the recipient’s condition or plan does not support.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Notify the agency when transfer needs exceed safe non-medical assistance.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device training and use; review safety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Assistive Device Training Record · Device Use &amp; Service-Plan Note · Transfer Safety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4.7 — Transportation of Service Recipients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Transportation of Service Recipients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Operations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0940-05-38-.06(m)</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any transportation of service recipients is provided safely, by properly licensed workers, in properly insured vehicles.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Recipient transportation — </w:t>
      </w:r>
      <w:r>
        <w:rPr>
          <w:rFonts w:eastAsia="Calibri" w:cs="Calibri"/>
          <w:b w:val="false"/>
          <w:bCs w:val="false"/>
          <w:i w:val="false"/>
          <w:iCs w:val="false"/>
          <w:color w:val="1A1A1A"/>
          <w:sz w:val="21"/>
          <w:szCs w:val="21"/>
        </w:rPr>
        <w:t>transportation of a service recipient provided by the agency or a worker as part of services.</w:t>
      </w:r>
    </w:p>
    <w:p>
      <w:pPr>
        <w:pStyle w:val="Normal"/>
        <w:spacing w:lineRule="exact" w:line="276" w:before="0" w:after="70"/>
        <w:rPr/>
      </w:pPr>
      <w:r>
        <w:rPr>
          <w:rFonts w:eastAsia="Calibri" w:cs="Calibri"/>
          <w:b/>
          <w:bCs/>
          <w:i w:val="false"/>
          <w:iCs w:val="false"/>
          <w:color w:val="1A1A1A"/>
          <w:sz w:val="21"/>
          <w:szCs w:val="21"/>
        </w:rPr>
        <w:t xml:space="preserve">Vehicle documentation — </w:t>
      </w:r>
      <w:r>
        <w:rPr>
          <w:rFonts w:eastAsia="Calibri" w:cs="Calibri"/>
          <w:b w:val="false"/>
          <w:bCs w:val="false"/>
          <w:i w:val="false"/>
          <w:iCs w:val="false"/>
          <w:color w:val="1A1A1A"/>
          <w:sz w:val="21"/>
          <w:szCs w:val="21"/>
        </w:rPr>
        <w:t>the driver’s license and vehicular liability insurance documentation the agency maintains when transportation is provided.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[Agency Name] or its workers provide transportation to service recipients, the agency ensures that all vehicles are maintained and operated in a safe manner; that every worker who provides transportation holds an appropriate driver’s license from the Tennessee Department of Safety, with documentation maintained in the agency’s records; and that all vehicles used to transport recipients and owned by the agency or worker are adequately covered by vehicular liability insurance for personal injury to occupants, with documentation maintained in the records, as required by 0940-05-38-.06(m).</w:t>
      </w:r>
    </w:p>
    <w:p>
      <w:pPr>
        <w:pStyle w:val="Normal"/>
        <w:spacing w:lineRule="exact" w:line="276" w:before="0" w:after="120"/>
        <w:jc w:val="start"/>
        <w:rPr/>
      </w:pPr>
      <w:r>
        <w:rPr>
          <w:rFonts w:eastAsia="Calibri" w:cs="Calibri"/>
          <w:b w:val="false"/>
          <w:bCs w:val="false"/>
          <w:i w:val="false"/>
          <w:iCs w:val="false"/>
          <w:color w:val="1A1A1A"/>
          <w:sz w:val="21"/>
          <w:szCs w:val="21"/>
        </w:rPr>
        <w:t>Workers provide transportation only within the service plan and their assignment, drive safely and lawfully, and secure recipients appropriately. A worker whose license or insurance is not current and documented does not provide transportation.</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driver licensing and vehicle insurance, includes transportation in the service plan where applicable, and reviews transportation safety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and operate all vehicles safely.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an appropriate TN driver’s license for any worker who transports recipients; document it.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Require vehicular liability insurance for occupant injury; document it.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transportation only within the service plan and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Drive safely and lawfully and secure recipients appropriately.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 not let a worker transport recipients without current, documented license and insurance.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Include transportation in the service plan where applicable.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transportation safety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Driver’s License &amp; Vehicle Insurance Record · Vehicle Safety Checklist · Transportation Service-Plan Note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SAFETY &amp; EMERGENCY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Tennessee personal support services agency licensing rule, Tenn. Comp. R. &amp; Regs. Chapter 0940-05-38 (Minimum Program Requirements for Personal Support Services Agencies), adopted under the Tennessee Mental Health and Developmental Disabilities laws (Title 33, including T.C.A. § 33-2-421). Licensed and overseen by the Tennessee Department of Mental Health and Substance Abuse Services (TDMHSAS), Office of Licensure. This is a NON-MEDICAL personal support services agency: it provides personal care and assistance with daily living, homemaker, sitter/companion, and in-home respite services in the service recipient’s residence. It does not provide skilled nursing or any medical service. Tennessee Medicaid (TennCare) long-term services are delivered through TennCare CHOICES and its managed care organizations.</w:t>
      </w:r>
    </w:p>
    <w:p>
      <w:pPr>
        <w:pStyle w:val="Normal"/>
        <w:spacing w:lineRule="exact" w:line="276" w:before="0" w:after="120"/>
        <w:jc w:val="start"/>
        <w:rPr/>
      </w:pPr>
      <w:r>
        <w:rPr>
          <w:rFonts w:eastAsia="Calibri" w:cs="Calibri"/>
          <w:b w:val="false"/>
          <w:bCs w:val="false"/>
          <w:i/>
          <w:iCs/>
          <w:color w:val="555555"/>
          <w:sz w:val="20"/>
          <w:szCs w:val="20"/>
        </w:rPr>
        <w:t>This section protects service recipients and workers from harm: preventing communicable disease consistent with Tennessee Department of Health procedures, applying universal precautions, reporting suspected abuse, neglect, and exploitation and critical incidents to the TDMHSAS Office of Licensure and to Adult Protective Services, and preparing for fire and natural-disaster emergencies.</w:t>
      </w:r>
    </w:p>
    <w:p>
      <w:pPr>
        <w:pStyle w:val="Normal"/>
        <w:keepNext w:val="true"/>
        <w:spacing w:before="240" w:after="100"/>
        <w:rPr/>
      </w:pPr>
      <w:r>
        <w:rPr>
          <w:rFonts w:eastAsia="Calibri" w:cs="Calibri"/>
          <w:b/>
          <w:bCs/>
          <w:i w:val="false"/>
          <w:iCs w:val="false"/>
          <w:color w:val="1F3A5F"/>
          <w:sz w:val="24"/>
          <w:szCs w:val="24"/>
        </w:rPr>
        <w:t>Policy 5.1 — Communicable Disease Prevention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Communicable Disease Prevention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0940-05-38-.06(i)</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prevent the transmission of communicable disease to and from service recipients and workers, consistent with Tennessee Department of Health procedures.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Communicable disease — </w:t>
      </w:r>
      <w:r>
        <w:rPr>
          <w:rFonts w:eastAsia="Calibri" w:cs="Calibri"/>
          <w:b w:val="false"/>
          <w:bCs w:val="false"/>
          <w:i w:val="false"/>
          <w:iCs w:val="false"/>
          <w:color w:val="1A1A1A"/>
          <w:sz w:val="21"/>
          <w:szCs w:val="21"/>
        </w:rPr>
        <w:t>an illness that can be transmitted from person to person, directly or indirectly.</w:t>
      </w:r>
    </w:p>
    <w:p>
      <w:pPr>
        <w:pStyle w:val="Normal"/>
        <w:spacing w:lineRule="exact" w:line="276" w:before="0" w:after="70"/>
        <w:rPr/>
      </w:pPr>
      <w:r>
        <w:rPr>
          <w:rFonts w:eastAsia="Calibri" w:cs="Calibri"/>
          <w:b/>
          <w:bCs/>
          <w:i w:val="false"/>
          <w:iCs w:val="false"/>
          <w:color w:val="1A1A1A"/>
          <w:sz w:val="21"/>
          <w:szCs w:val="21"/>
        </w:rPr>
        <w:t xml:space="preserve">Prevention procedures — </w:t>
      </w:r>
      <w:r>
        <w:rPr>
          <w:rFonts w:eastAsia="Calibri" w:cs="Calibri"/>
          <w:b w:val="false"/>
          <w:bCs w:val="false"/>
          <w:i w:val="false"/>
          <w:iCs w:val="false"/>
          <w:color w:val="1A1A1A"/>
          <w:sz w:val="21"/>
          <w:szCs w:val="21"/>
        </w:rPr>
        <w:t>the agency’s procedures for the detection and prevention of communicable disease, consistent with Tennessee Department of Health procedures.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and follows written procedures for the detection and prevention of communicable diseases that are consistent with the procedures of the Tennessee Department of Health, as required by 0940-05-38-.06(i). Workers apply universal precautions and infection-control practices (Policy 5.3), follow hand-hygiene and cleaning practices, use protective equipment appropriately, and do not have service recipient contact while ill with a communicable condition until it is safe to return.</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guidance and supplies appropriate to safe service delivery, requires workers to report communicable illnesses and exposures, and follows applicable public-health guidance, including during outbreaks. Health-history and clearance requirements support prevention (Policy 3.3).</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prevention procedures, training, exposures, and follow-up, and reviews communicable-disease prevention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communicable-disease detection/prevention procedures per TN Dept of Health.</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Apply universal precautions and infection-control practices.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Follow hand-hygiene, cleaning, and protective-equipment practices.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ill workers from recipient contact until safe.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guidance and supplies for safe service delivery.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Require reporting of communicable illnesses and exposures.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Follow public-health guidance, including during outbreaks.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procedures, exposures, and follow-up;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Communicable Disease Prevention Procedures · Infection Control Training Record · Exposure/Illness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5.2 — Reporting Abuse, Neglect, and Exploitation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Reporting Abuse, Neglect, and Exploitation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0940-05-38-.06(h), (p); T.C.A. Title 71, Ch. 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suspected abuse, neglect, mistreatment, misappropriation, or exploitation of a service recipient is reported and acted on immediately, protecting the recipient.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Abuse, neglect, exploitation — </w:t>
      </w:r>
      <w:r>
        <w:rPr>
          <w:rFonts w:eastAsia="Calibri" w:cs="Calibri"/>
          <w:b w:val="false"/>
          <w:bCs w:val="false"/>
          <w:i w:val="false"/>
          <w:iCs w:val="false"/>
          <w:color w:val="1A1A1A"/>
          <w:sz w:val="21"/>
          <w:szCs w:val="21"/>
        </w:rPr>
        <w:t>the physical, verbal, or emotional abuse (including corporal punishment), neglect, misappropriation, or exploitation of a service recipient.</w:t>
      </w:r>
    </w:p>
    <w:p>
      <w:pPr>
        <w:pStyle w:val="Normal"/>
        <w:spacing w:lineRule="exact" w:line="276" w:before="0" w:after="70"/>
        <w:rPr/>
      </w:pPr>
      <w:r>
        <w:rPr>
          <w:rFonts w:eastAsia="Calibri" w:cs="Calibri"/>
          <w:b/>
          <w:bCs/>
          <w:i w:val="false"/>
          <w:iCs w:val="false"/>
          <w:color w:val="1A1A1A"/>
          <w:sz w:val="21"/>
          <w:szCs w:val="21"/>
        </w:rPr>
        <w:t xml:space="preserve">Mandatory report — </w:t>
      </w:r>
      <w:r>
        <w:rPr>
          <w:rFonts w:eastAsia="Calibri" w:cs="Calibri"/>
          <w:b w:val="false"/>
          <w:bCs w:val="false"/>
          <w:i w:val="false"/>
          <w:iCs w:val="false"/>
          <w:color w:val="1A1A1A"/>
          <w:sz w:val="21"/>
          <w:szCs w:val="21"/>
        </w:rPr>
        <w:t>the report the agency makes to the TDMHSAS Office of Licensure and to Tennessee Adult Protective Services and other authorities as required by law.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protects every service recipient from abuse, neglect, mistreatment, misappropriation, and exploitation, and requires immediate reporting of any suspicion. A worker who suspects that a service recipient is being abused, neglected, or exploited — by anyone — takes any action needed to protect the recipient (calling 911 in an emergency), notifies the agency immediately, and the agency reports to Tennessee Adult Protective Services (Department of Human Services) under the Adult Protection Act (T.C.A. Title 71, Chapter 6) at 1-888-277-8366, and to the TDMHSAS Office of Licensure and any other authority as required by law and by the agency’s policies (0940-05-38-.06(h)). Suspected abuse of a child is reported to the Tennessee Department of Children’s Services at 1-877-237-0004.</w:t>
      </w:r>
    </w:p>
    <w:p>
      <w:pPr>
        <w:pStyle w:val="Normal"/>
        <w:spacing w:lineRule="exact" w:line="276" w:before="0" w:after="120"/>
        <w:jc w:val="start"/>
        <w:rPr/>
      </w:pPr>
      <w:r>
        <w:rPr>
          <w:rFonts w:eastAsia="Calibri" w:cs="Calibri"/>
          <w:b w:val="false"/>
          <w:bCs w:val="false"/>
          <w:i w:val="false"/>
          <w:iCs w:val="false"/>
          <w:color w:val="1A1A1A"/>
          <w:sz w:val="21"/>
          <w:szCs w:val="21"/>
        </w:rPr>
        <w:t>The agency investigates as its policies require, takes corrective action, and cooperates fully with the department and other authorities in any investigation of abuse, neglect, mistreatment, misappropriation, or exploitation (0940-05-38-.06(p)). The agency does not retaliate against a worker for a good-faith report and does not delay or discourage reporting.</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reports, protective actions, investigations, and corrective actions, and reviews this area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Protect recipients from abuse, neglect, misappropriation, and exploitation.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Take immediate protective action and call 911 in an emergency.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to Tennessee Adult Protective Services at 1-888-277-8366 (T.C.A. Title 71, Ch. 6).</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to the TDMHSAS Office of Licensure and other authorities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Report suspected child abuse to DCS at 1-877-237-0004.</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Investigate as required and take corrective action.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Cooperate fully with department and authority investigations; do not retaliate.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reports and actions;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Abuse/Neglect/Exploitation Report · APS &amp; Authority Contact List · Investigation &amp; Corrective Action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5.3 — Universal Precautions and Infection Control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Universal Precautions and Infection Control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0940-05-38-.08(1)(a)4.</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recipients and workers from infection by ensuring workers apply universal precautions as a demonstrated competency and daily practice.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Universal precautions — </w:t>
      </w:r>
      <w:r>
        <w:rPr>
          <w:rFonts w:eastAsia="Calibri" w:cs="Calibri"/>
          <w:b w:val="false"/>
          <w:bCs w:val="false"/>
          <w:i w:val="false"/>
          <w:iCs w:val="false"/>
          <w:color w:val="1A1A1A"/>
          <w:sz w:val="21"/>
          <w:szCs w:val="21"/>
        </w:rPr>
        <w:t>standard infection-control practices applied with every recipient to prevent transmission of infection.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ensures that every worker demonstrates competency in universal health precautions, including infection control, before beginning work (Policy 3.4), and applies them in every home: hand hygiene before and after care, appropriate use of gloves and other protective equipment, safe handling of laundry and cleaning, and safe management of any exposure. Workers follow the agency’s infection-control practices consistent with Tennessee Department of Health guidance.</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the supplies and guidance workers need, reinforces infection control in ongoing training, and adjusts practices as public-health guidance changes, including during outbreaks. Infection control supports both recipient and worker safety.</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infection-control training and any exposures and reviews infection-control practice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Ensure workers demonstrate universal-precautions competency before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Apply hand hygiene before and after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gloves and protective equipment appropriately.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Handle laundry and cleaning safely and manage exposures.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Follow infection-control practices per TN Dept of Health guidance.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Provide supplies and reinforce infection control in training.</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Adjust practices as public-health guidance changes.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training and exposures;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Infection Control Practice Guide · PPE &amp; Supplies Record · Exposure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5.4 — Critical Incident Reporting and Investigation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Critical Incident Reporting and Investigation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0940-05-38-.06(h)</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critical incidents affecting a service recipient are reported, investigated, and corrected, and reported to the licensing authority as required.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Critical incident — </w:t>
      </w:r>
      <w:r>
        <w:rPr>
          <w:rFonts w:eastAsia="Calibri" w:cs="Calibri"/>
          <w:b w:val="false"/>
          <w:bCs w:val="false"/>
          <w:i w:val="false"/>
          <w:iCs w:val="false"/>
          <w:color w:val="1A1A1A"/>
          <w:sz w:val="21"/>
          <w:szCs w:val="21"/>
        </w:rPr>
        <w:t>an event that threatens or harms the health, safety, or welfare of a service recipient, such as a serious injury, a fall, a medication error, an allegation of abuse or neglect, or a missing recipient.</w:t>
      </w:r>
    </w:p>
    <w:p>
      <w:pPr>
        <w:pStyle w:val="Normal"/>
        <w:spacing w:lineRule="exact" w:line="276" w:before="0" w:after="70"/>
        <w:rPr/>
      </w:pPr>
      <w:r>
        <w:rPr>
          <w:rFonts w:eastAsia="Calibri" w:cs="Calibri"/>
          <w:b/>
          <w:bCs/>
          <w:i w:val="false"/>
          <w:iCs w:val="false"/>
          <w:color w:val="1A1A1A"/>
          <w:sz w:val="21"/>
          <w:szCs w:val="21"/>
        </w:rPr>
        <w:t xml:space="preserve">Corrective action — </w:t>
      </w:r>
      <w:r>
        <w:rPr>
          <w:rFonts w:eastAsia="Calibri" w:cs="Calibri"/>
          <w:b w:val="false"/>
          <w:bCs w:val="false"/>
          <w:i w:val="false"/>
          <w:iCs w:val="false"/>
          <w:color w:val="1A1A1A"/>
          <w:sz w:val="21"/>
          <w:szCs w:val="21"/>
        </w:rPr>
        <w:t>the action taken to address an incident’s cause and reduce the risk of recurrence.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procedures for reporting and investigating suspected abuse and neglect and other critical incidents involving service recipients, including corrective action and reporting to the TDMHSAS Office of Licensure and any other authority as required by law (0940-05-38-.06(h)). A worker reports any critical incident to the agency immediately after protecting the recipient; the agency documents it, notifies the licensing authority and others as required and within any required timeframe, and investigates.</w:t>
      </w:r>
    </w:p>
    <w:p>
      <w:pPr>
        <w:pStyle w:val="Normal"/>
        <w:spacing w:lineRule="exact" w:line="276" w:before="0" w:after="120"/>
        <w:jc w:val="start"/>
        <w:rPr/>
      </w:pPr>
      <w:r>
        <w:rPr>
          <w:rFonts w:eastAsia="Calibri" w:cs="Calibri"/>
          <w:b w:val="false"/>
          <w:bCs w:val="false"/>
          <w:i w:val="false"/>
          <w:iCs w:val="false"/>
          <w:color w:val="1A1A1A"/>
          <w:sz w:val="21"/>
          <w:szCs w:val="21"/>
        </w:rPr>
        <w:t>The agency identifies the cause of each incident, takes corrective action to reduce the risk of recurrence, and follows through to confirm effectiveness. Abuse, neglect, and exploitation are reported under Policy 5.2. The agency does not conceal or delay reporting of any incident.</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incidents, notifications, investigations, and corrective actions, and reviews incident trends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critical-incident reporting and investigation procedures.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Have workers report critical incidents immediately after protecting the recipient.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each incident and notify the licensing authority and others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Meet any required reporting timeframe.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Investigate and identify the cause of each incident.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Take corrective action and confirm effectiveness.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Report abuse/neglect/exploitation under Policy 5.2; never conceal or delay.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incidents and actions; review trends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Critical Incident Report · Incident Investigation &amp; Corrective Action Record · Incident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5.5 — Emergency and Disaster Preparedness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and Disaster Preparedness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0940-05-38-.06(g), .08(1)(a)7.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and its workers are prepared to respond to emergencies and disasters, including fire and natural disaster, protecting service recipients.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Emergency plan — </w:t>
      </w:r>
      <w:r>
        <w:rPr>
          <w:rFonts w:eastAsia="Calibri" w:cs="Calibri"/>
          <w:b w:val="false"/>
          <w:bCs w:val="false"/>
          <w:i w:val="false"/>
          <w:iCs w:val="false"/>
          <w:color w:val="1A1A1A"/>
          <w:sz w:val="21"/>
          <w:szCs w:val="21"/>
        </w:rPr>
        <w:t>the agency’s written plans and procedures for responding to emergencies and disasters, including fire evacuation and natural disaster.</w:t>
      </w:r>
    </w:p>
    <w:p>
      <w:pPr>
        <w:pStyle w:val="Normal"/>
        <w:spacing w:lineRule="exact" w:line="276" w:before="0" w:after="70"/>
        <w:rPr/>
      </w:pPr>
      <w:r>
        <w:rPr>
          <w:rFonts w:eastAsia="Calibri" w:cs="Calibri"/>
          <w:b/>
          <w:bCs/>
          <w:i w:val="false"/>
          <w:iCs w:val="false"/>
          <w:color w:val="1A1A1A"/>
          <w:sz w:val="21"/>
          <w:szCs w:val="21"/>
        </w:rPr>
        <w:t xml:space="preserve">Emergency procedures competency — </w:t>
      </w:r>
      <w:r>
        <w:rPr>
          <w:rFonts w:eastAsia="Calibri" w:cs="Calibri"/>
          <w:b w:val="false"/>
          <w:bCs w:val="false"/>
          <w:i w:val="false"/>
          <w:iCs w:val="false"/>
          <w:color w:val="1A1A1A"/>
          <w:sz w:val="21"/>
          <w:szCs w:val="21"/>
        </w:rPr>
        <w:t>the worker’s demonstrated competency in emergency and disaster procedures, including emergency transportation, emergency medical care, and staff coverage.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written emergency plans and procedures, including fire evacuation and natural-disaster procedures, as required by 0940-05-38-.06(g), and ensures each worker demonstrates competency in the procedures to be followed in an emergency or disaster — including emergency transportation, emergency medical care, and staff coverage — before beginning work (Policy 3.4). Workers know how to respond to a fire, medical emergency, or natural disaster in a recipient’s home: they act to protect the recipient, call 911 when needed, and notify the agency.</w:t>
      </w:r>
    </w:p>
    <w:p>
      <w:pPr>
        <w:pStyle w:val="Normal"/>
        <w:spacing w:lineRule="exact" w:line="276" w:before="0" w:after="120"/>
        <w:jc w:val="start"/>
        <w:rPr/>
      </w:pPr>
      <w:r>
        <w:rPr>
          <w:rFonts w:eastAsia="Calibri" w:cs="Calibri"/>
          <w:b w:val="false"/>
          <w:bCs w:val="false"/>
          <w:i w:val="false"/>
          <w:iCs w:val="false"/>
          <w:color w:val="1A1A1A"/>
          <w:sz w:val="21"/>
          <w:szCs w:val="21"/>
        </w:rPr>
        <w:t>The agency plans for continuity of needed services during an emergency, gives attention to recipients who are most vulnerable to a service interruption, and keeps current emergency contact information. The agency reviews and updates its emergency plans and reinforces emergency procedures in training.</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emergency plans, competency, and any emergency response, and reviews emergency preparedness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written emergency plans, including fire evacuation and natural disaster.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Ensure workers demonstrate emergency/disaster procedures competency before service.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workers protect the recipient, call 911 when needed, and notify the agency.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Plan for continuity of needed services during an emergency.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Give attention to recipients most vulnerable to a service interruption.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current emergency contact information.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and update emergency plans and reinforce them in training.</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plans, competency, and responses;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&amp; Disaster Plan · Recipient Emergency Contact &amp; Acuity Record · Emergency Response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COMPLIANCE, QUALITY &amp; BUSINESS</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Tennessee personal support services agency licensing rule, Tenn. Comp. R. &amp; Regs. Chapter 0940-05-38 (Minimum Program Requirements for Personal Support Services Agencies), adopted under the Tennessee Mental Health and Developmental Disabilities laws (Title 33, including T.C.A. § 33-2-421). Licensed and overseen by the Tennessee Department of Mental Health and Substance Abuse Services (TDMHSAS), Office of Licensure. This is a NON-MEDICAL personal support services agency: it provides personal care and assistance with daily living, homemaker, sitter/companion, and in-home respite services in the service recipient’s residence. It does not provide skilled nursing or any medical service. Tennessee Medicaid (TennCare) long-term services are delivered through TennCare CHOICES and its managed care organizations.</w:t>
      </w:r>
    </w:p>
    <w:p>
      <w:pPr>
        <w:pStyle w:val="Normal"/>
        <w:spacing w:lineRule="exact" w:line="276" w:before="0" w:after="120"/>
        <w:jc w:val="start"/>
        <w:rPr/>
      </w:pPr>
      <w:r>
        <w:rPr>
          <w:rFonts w:eastAsia="Calibri" w:cs="Calibri"/>
          <w:b w:val="false"/>
          <w:bCs w:val="false"/>
          <w:i/>
          <w:iCs/>
          <w:color w:val="555555"/>
          <w:sz w:val="20"/>
          <w:szCs w:val="20"/>
        </w:rPr>
        <w:t>This section keeps the agency compliant and sustainable: a quality and program-review process, full cooperation with department access and investigations, TennCare CHOICES enrollment and electronic visit verification, billing integrity, Tennessee and federal labor law, and records retention and document control.</w:t>
      </w:r>
    </w:p>
    <w:p>
      <w:pPr>
        <w:pStyle w:val="Normal"/>
        <w:keepNext w:val="true"/>
        <w:spacing w:before="240" w:after="100"/>
        <w:rPr/>
      </w:pPr>
      <w:r>
        <w:rPr>
          <w:rFonts w:eastAsia="Calibri" w:cs="Calibri"/>
          <w:b/>
          <w:bCs/>
          <w:i w:val="false"/>
          <w:iCs w:val="false"/>
          <w:color w:val="1F3A5F"/>
          <w:sz w:val="24"/>
          <w:szCs w:val="24"/>
        </w:rPr>
        <w:t>Policy 6.1 — Quality and Program Review</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and Program Review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0940-05-38-.05, .06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systematically reviews the quality of its services and its compliance with 0940-05-38 and improves based on what it finds.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Quality review — </w:t>
      </w:r>
      <w:r>
        <w:rPr>
          <w:rFonts w:eastAsia="Calibri" w:cs="Calibri"/>
          <w:b w:val="false"/>
          <w:bCs w:val="false"/>
          <w:i w:val="false"/>
          <w:iCs w:val="false"/>
          <w:color w:val="1A1A1A"/>
          <w:sz w:val="21"/>
          <w:szCs w:val="21"/>
        </w:rPr>
        <w:t>the agency’s ongoing review of service quality, compliance, incidents, grievances, supervision, and outcomes.</w:t>
      </w:r>
    </w:p>
    <w:p>
      <w:pPr>
        <w:pStyle w:val="Normal"/>
        <w:spacing w:lineRule="exact" w:line="276" w:before="0" w:after="70"/>
        <w:rPr/>
      </w:pPr>
      <w:r>
        <w:rPr>
          <w:rFonts w:eastAsia="Calibri" w:cs="Calibri"/>
          <w:b/>
          <w:bCs/>
          <w:i w:val="false"/>
          <w:iCs w:val="false"/>
          <w:color w:val="1A1A1A"/>
          <w:sz w:val="21"/>
          <w:szCs w:val="21"/>
        </w:rPr>
        <w:t xml:space="preserve">Improvement action — </w:t>
      </w:r>
      <w:r>
        <w:rPr>
          <w:rFonts w:eastAsia="Calibri" w:cs="Calibri"/>
          <w:b w:val="false"/>
          <w:bCs w:val="false"/>
          <w:i w:val="false"/>
          <w:iCs w:val="false"/>
          <w:color w:val="1A1A1A"/>
          <w:sz w:val="21"/>
          <w:szCs w:val="21"/>
        </w:rPr>
        <w:t>a change the agency makes based on quality findings to improve services or 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quality and program-review process that reviews service quality and the agency’s compliance with 0940-05-38, including supervisory-visit findings, service records, grievances, incidents and their corrective actions, screening and training completion, and service recipient outcomes and satisfaction. The Administrator ensures issues are identified, prioritized, assigned, and resolved, and that improvements are implemented and their effectiveness confirmed.</w:t>
      </w:r>
    </w:p>
    <w:p>
      <w:pPr>
        <w:pStyle w:val="Normal"/>
        <w:spacing w:lineRule="exact" w:line="276" w:before="0" w:after="120"/>
        <w:jc w:val="start"/>
        <w:rPr/>
      </w:pPr>
      <w:r>
        <w:rPr>
          <w:rFonts w:eastAsia="Calibri" w:cs="Calibri"/>
          <w:b w:val="false"/>
          <w:bCs w:val="false"/>
          <w:i w:val="false"/>
          <w:iCs w:val="false"/>
          <w:color w:val="1A1A1A"/>
          <w:sz w:val="21"/>
          <w:szCs w:val="21"/>
        </w:rPr>
        <w:t>The agency uses quality findings to update policies, training, and practice, and to keep the agency survey-ready. Quality review informs each area of this manual and is a standing responsibility of agency leadership.</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quality reviews, findings, and improvement actions, and retains them for review by the licensing authority.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quality and program-review process.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Review supervision, records, grievances, incidents, screening, training, and outcomes.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Identify, prioritize, assign, and resolve issues.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Implement improvements and confirm effectiveness.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Use findings to update policies, training, and practice.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the agency survey-ready.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Have leadership own quality as a standing responsibility.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reviews, findings, and actions; retain for the licensing authority.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Quality &amp; Program Review Log · Corrective Action &amp; Effectiveness Record · Recipient Satisfaction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6.2 — Cooperation with Department Access and Investigations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Cooperation with Department Access and Investigations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0940-05-38-.06(k), (p)</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provides the department the access it requires and cooperates fully with inspections and investigations, keeping the agency in good standing.</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Department access — </w:t>
      </w:r>
      <w:r>
        <w:rPr>
          <w:rFonts w:eastAsia="Calibri" w:cs="Calibri"/>
          <w:b w:val="false"/>
          <w:bCs w:val="false"/>
          <w:i w:val="false"/>
          <w:iCs w:val="false"/>
          <w:color w:val="1A1A1A"/>
          <w:sz w:val="21"/>
          <w:szCs w:val="21"/>
        </w:rPr>
        <w:t>the access by department licensure staff to workers and records that the agency’s policies provide for investigations.</w:t>
      </w:r>
    </w:p>
    <w:p>
      <w:pPr>
        <w:pStyle w:val="Normal"/>
        <w:spacing w:lineRule="exact" w:line="276" w:before="0" w:after="70"/>
        <w:rPr/>
      </w:pPr>
      <w:r>
        <w:rPr>
          <w:rFonts w:eastAsia="Calibri" w:cs="Calibri"/>
          <w:b/>
          <w:bCs/>
          <w:i w:val="false"/>
          <w:iCs w:val="false"/>
          <w:color w:val="1A1A1A"/>
          <w:sz w:val="21"/>
          <w:szCs w:val="21"/>
        </w:rPr>
        <w:t xml:space="preserve">Cooperation — </w:t>
      </w:r>
      <w:r>
        <w:rPr>
          <w:rFonts w:eastAsia="Calibri" w:cs="Calibri"/>
          <w:b w:val="false"/>
          <w:bCs w:val="false"/>
          <w:i w:val="false"/>
          <w:iCs w:val="false"/>
          <w:color w:val="1A1A1A"/>
          <w:sz w:val="21"/>
          <w:szCs w:val="21"/>
        </w:rPr>
        <w:t>the agency’s full cooperation with the department’s inspections and investigations.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policies that provide department licensure staff access to the agency’s workers when necessary for investigations (0940-05-38-.06(k)), and it cooperates fully with the department in any investigation of abuse, neglect, mistreatment, misappropriation, or exploitation of a service recipient (0940-05-38-.06(p)). The agency makes required records and personnel available, responds to requests within required timeframes, and submits and implements plans of correction for any deficiency.</w:t>
      </w:r>
    </w:p>
    <w:p>
      <w:pPr>
        <w:pStyle w:val="Normal"/>
        <w:spacing w:lineRule="exact" w:line="276" w:before="0" w:after="120"/>
        <w:jc w:val="start"/>
        <w:rPr/>
      </w:pPr>
      <w:r>
        <w:rPr>
          <w:rFonts w:eastAsia="Calibri" w:cs="Calibri"/>
          <w:b w:val="false"/>
          <w:bCs w:val="false"/>
          <w:i w:val="false"/>
          <w:iCs w:val="false"/>
          <w:color w:val="1A1A1A"/>
          <w:sz w:val="21"/>
          <w:szCs w:val="21"/>
        </w:rPr>
        <w:t>The agency treats inspections and investigations as an expected part of licensure, maintains continuous survey readiness, and never obstructs, delays, or misleads a department review. Leadership ensures staff understand their duty to cooperate.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department interactions, requests, and responses, and reviews survey and investigation outcomes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policies providing department access to workers for investigations.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Cooperate fully with investigations of abuse, neglect, and exploitation.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Make required records and personnel available on request.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Respond to department requests within required timeframes.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Submit and implement plans of correction for deficiencies.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Maintain continuous survey readiness.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Never obstruct, delay, or mislead a department review.</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interactions and review outcomes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Department Access &amp; Investigation Log · Records Request Response Record · Plan of Correction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6.3 — TennCare CHOICES, MCO/AAAD Contracting, and EVV</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TennCare CHOICES, MCO/AAAD Contracting, and EVV</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TennCare CHOICES; TennCare EVV</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serves TennCare recipients under proper contracts and authorizations and complies with electronic visit verification.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TennCare CHOICES — </w:t>
      </w:r>
      <w:r>
        <w:rPr>
          <w:rFonts w:eastAsia="Calibri" w:cs="Calibri"/>
          <w:b w:val="false"/>
          <w:bCs w:val="false"/>
          <w:i w:val="false"/>
          <w:iCs w:val="false"/>
          <w:color w:val="1A1A1A"/>
          <w:sz w:val="21"/>
          <w:szCs w:val="21"/>
        </w:rPr>
        <w:t>Tennessee’s Medicaid long-term services and supports program, through which personal support services may be authorized and paid for eligible members.</w:t>
      </w:r>
    </w:p>
    <w:p>
      <w:pPr>
        <w:pStyle w:val="Normal"/>
        <w:spacing w:lineRule="exact" w:line="276" w:before="0" w:after="70"/>
        <w:rPr/>
      </w:pPr>
      <w:r>
        <w:rPr>
          <w:rFonts w:eastAsia="Calibri" w:cs="Calibri"/>
          <w:b/>
          <w:bCs/>
          <w:i w:val="false"/>
          <w:iCs w:val="false"/>
          <w:color w:val="1A1A1A"/>
          <w:sz w:val="21"/>
          <w:szCs w:val="21"/>
        </w:rPr>
        <w:t xml:space="preserve">Electronic visit verification (EVV) — </w:t>
      </w:r>
      <w:r>
        <w:rPr>
          <w:rFonts w:eastAsia="Calibri" w:cs="Calibri"/>
          <w:b w:val="false"/>
          <w:bCs w:val="false"/>
          <w:i w:val="false"/>
          <w:iCs w:val="false"/>
          <w:color w:val="1A1A1A"/>
          <w:sz w:val="21"/>
          <w:szCs w:val="21"/>
        </w:rPr>
        <w:t>the electronic verification of service visits that TennCare requires for applicable personal care and home-based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[Agency Name] serves TennCare recipients, it enrolls and contracts as required with the TennCare CHOICES managed care organizations and, where applicable, Area Agencies on Aging and Disability, and provides only services that are authorized, delivered, and documented. The agency complies with electronic visit verification as TennCare requires: workers capture the required visit data at the point of care, and the agency keeps its documentation and billing consistent with the EVV records.</w:t>
      </w:r>
    </w:p>
    <w:p>
      <w:pPr>
        <w:pStyle w:val="Normal"/>
        <w:spacing w:lineRule="exact" w:line="276" w:before="0" w:after="120"/>
        <w:jc w:val="start"/>
        <w:rPr/>
      </w:pPr>
      <w:r>
        <w:rPr>
          <w:rFonts w:eastAsia="Calibri" w:cs="Calibri"/>
          <w:b w:val="false"/>
          <w:bCs w:val="false"/>
          <w:i w:val="false"/>
          <w:iCs w:val="false"/>
          <w:color w:val="1A1A1A"/>
          <w:sz w:val="21"/>
          <w:szCs w:val="21"/>
        </w:rPr>
        <w:t>The agency follows each managed care organization’s authorization, documentation, and billing requirements, coordinates with TennCare care coordinators, and confirms current EVV requirements and any designated system with TennCare or the managed care organization. The agency serves private-pay recipients under its own service agreements and fee schedule.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enrollment, contracts, authorizations, and EVV, and reviews TennCare compliance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and contract with TennCare CHOICES MCOs and AAADs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only authorized, delivered, and documented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Comply with TennCare EVV; capture required visit data at the point of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documentation and billing consistent with EVV records.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Follow each MCO’s authorization, documentation, and billing rules.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Confirm current EVV requirements and any designated system with TennCare/MCO.</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Serve private-pay recipients under service agreements and the fee schedule.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enrollment, authorizations, and EVV;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TennCare Enrollment &amp; MCO Contract Record · Authorization &amp; Units Log · EVV Setup &amp; Reconciliation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6.4 — Billing Integrity and Anti-Fraud</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Billing Integrity and Anti-Fraud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42 U.S.C. § 1320a-7b; T.C.A. Title 71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bills accurately and lawfully and does not pay for or solicit referrals, protecting recipients, payers, and the agency.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Billing integrity — </w:t>
      </w:r>
      <w:r>
        <w:rPr>
          <w:rFonts w:eastAsia="Calibri" w:cs="Calibri"/>
          <w:b w:val="false"/>
          <w:bCs w:val="false"/>
          <w:i w:val="false"/>
          <w:iCs w:val="false"/>
          <w:color w:val="1A1A1A"/>
          <w:sz w:val="21"/>
          <w:szCs w:val="21"/>
        </w:rPr>
        <w:t>billing only for services that were authorized, actually delivered, and documented, at the correct rate.</w:t>
      </w:r>
    </w:p>
    <w:p>
      <w:pPr>
        <w:pStyle w:val="Normal"/>
        <w:spacing w:lineRule="exact" w:line="276" w:before="0" w:after="70"/>
        <w:rPr/>
      </w:pPr>
      <w:r>
        <w:rPr>
          <w:rFonts w:eastAsia="Calibri" w:cs="Calibri"/>
          <w:b/>
          <w:bCs/>
          <w:i w:val="false"/>
          <w:iCs w:val="false"/>
          <w:color w:val="1A1A1A"/>
          <w:sz w:val="21"/>
          <w:szCs w:val="21"/>
        </w:rPr>
        <w:t xml:space="preserve">Anti-kickback compliance — </w:t>
      </w:r>
      <w:r>
        <w:rPr>
          <w:rFonts w:eastAsia="Calibri" w:cs="Calibri"/>
          <w:b w:val="false"/>
          <w:bCs w:val="false"/>
          <w:i w:val="false"/>
          <w:iCs w:val="false"/>
          <w:color w:val="1A1A1A"/>
          <w:sz w:val="21"/>
          <w:szCs w:val="21"/>
        </w:rPr>
        <w:t>not offering, paying, soliciting, or receiving anything of value to induce referrals of publicly funded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bills only for personal support services that were authorized, actually delivered, and documented (and, for TennCare, verified through EVV), at the correct rate, and it retains records that support every claim. The agency does not bill for services not rendered, misrepresent services, or submit duplicate or false claims. The agency complies with the federal Anti-Kickback Statute and applicable Tennessee law and does not offer, pay, solicit, or receive anything of value to induce referrals of publicly funded services; any arrangement with a referral source is for fair market value for bona fide services and is documented.</w:t>
      </w:r>
    </w:p>
    <w:p>
      <w:pPr>
        <w:pStyle w:val="Normal"/>
        <w:spacing w:lineRule="exact" w:line="276" w:before="0" w:after="120"/>
        <w:jc w:val="start"/>
        <w:rPr/>
      </w:pPr>
      <w:r>
        <w:rPr>
          <w:rFonts w:eastAsia="Calibri" w:cs="Calibri"/>
          <w:b w:val="false"/>
          <w:bCs w:val="false"/>
          <w:i w:val="false"/>
          <w:iCs w:val="false"/>
          <w:color w:val="1A1A1A"/>
          <w:sz w:val="21"/>
          <w:szCs w:val="21"/>
        </w:rPr>
        <w:t>The agency corrects and refunds billing errors promptly, trains staff on billing integrity, and investigates and addresses any suspected fraud. Billing practice aligns with documentation, the service plan, and EVV.</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billing controls and corrections and reviews billing integrity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Bill only for authorized, delivered, documented services at the correct rate.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For TennCare, ensure claims match EVV records.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Retain records that support every claim.</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Never bill for services not rendered or submit false or duplicate claims.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Comply with the Anti-Kickback Statute and Tennessee law; never pay for referrals.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referral-source arrangements at fair market value and documented.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Correct and refund billing errors promptly; investigate suspected fraud.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controls; review billing integrity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Billing Integrity Checklist · Referral-Source Arrangement Record · Billing Error &amp; Refund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6.5 — Labor, Wage, and Workers’ Compensation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Labor, Wage, and Workers’ Compensation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Fair Labor Standards Act; T.C.A. Title 50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complies with wage-and-hour and workers’ compensation law, employing caregivers properly and paying them lawfully.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FLSA — </w:t>
      </w:r>
      <w:r>
        <w:rPr>
          <w:rFonts w:eastAsia="Calibri" w:cs="Calibri"/>
          <w:b w:val="false"/>
          <w:bCs w:val="false"/>
          <w:i w:val="false"/>
          <w:iCs w:val="false"/>
          <w:color w:val="1A1A1A"/>
          <w:sz w:val="21"/>
          <w:szCs w:val="21"/>
        </w:rPr>
        <w:t>the federal Fair Labor Standards Act, which sets minimum wage and overtime standards; Tennessee has no separate state minimum wage.</w:t>
      </w:r>
    </w:p>
    <w:p>
      <w:pPr>
        <w:pStyle w:val="Normal"/>
        <w:spacing w:lineRule="exact" w:line="276" w:before="0" w:after="70"/>
        <w:rPr/>
      </w:pPr>
      <w:r>
        <w:rPr>
          <w:rFonts w:eastAsia="Calibri" w:cs="Calibri"/>
          <w:b/>
          <w:bCs/>
          <w:i w:val="false"/>
          <w:iCs w:val="false"/>
          <w:color w:val="1A1A1A"/>
          <w:sz w:val="21"/>
          <w:szCs w:val="21"/>
        </w:rPr>
        <w:t xml:space="preserve">W-2 employment — </w:t>
      </w:r>
      <w:r>
        <w:rPr>
          <w:rFonts w:eastAsia="Calibri" w:cs="Calibri"/>
          <w:b w:val="false"/>
          <w:bCs w:val="false"/>
          <w:i w:val="false"/>
          <w:iCs w:val="false"/>
          <w:color w:val="1A1A1A"/>
          <w:sz w:val="21"/>
          <w:szCs w:val="21"/>
        </w:rPr>
        <w:t>employing personal support services workers as employees rather than engaging them as independent contractors.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employs its personal support services workers as W-2 employees and complies with the federal Fair Labor Standards Act, which governs minimum wage and overtime because Tennessee has no separate state minimum wage. The agency pays at least the applicable federal minimum wage and overtime at one and one-half times the regular rate for hours worked over forty in a workweek (applying home-care wage rules correctly), records all compensable time including any compensable travel between recipients, and pays workers on time.</w:t>
      </w:r>
    </w:p>
    <w:p>
      <w:pPr>
        <w:pStyle w:val="Normal"/>
        <w:spacing w:lineRule="exact" w:line="276" w:before="0" w:after="120"/>
        <w:jc w:val="start"/>
        <w:rPr/>
      </w:pPr>
      <w:r>
        <w:rPr>
          <w:rFonts w:eastAsia="Calibri" w:cs="Calibri"/>
          <w:b w:val="false"/>
          <w:bCs w:val="false"/>
          <w:i w:val="false"/>
          <w:iCs w:val="false"/>
          <w:color w:val="1A1A1A"/>
          <w:sz w:val="21"/>
          <w:szCs w:val="21"/>
        </w:rPr>
        <w:t>The agency carries workers’ compensation coverage as required by Tennessee law and its licensure and payer requirements, reports workplace injuries, and provides a safe workplace. Employing caregivers as employees keeps supervision, screening, and training within the agency’s control and responsibility.</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wage-and-hour and workers’-compensation compliance and reviews labor practices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Employ personal support services workers as W-2 employees.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Comply with the FLSA for minimum wage and overtime (no TN state minimum wage).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Pay overtime over 40 hours per workweek, applying home-care wage rules.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Record all compensable time, including compensable travel between recipients.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Pay workers on time.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Carry workers’ compensation as required and report workplace injuries.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Provide a safe workplace.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labor compliance;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Wage, Time &amp; Travel Record · Workers’ Compensation Record · Employee Classification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6.6 — Records Retention and Document Control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Records Retention and Document Control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0940-05-38-.07, .09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retains required records securely for the required period and keeps only current, approved policies and forms in use.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Records retention — </w:t>
      </w:r>
      <w:r>
        <w:rPr>
          <w:rFonts w:eastAsia="Calibri" w:cs="Calibri"/>
          <w:b w:val="false"/>
          <w:bCs w:val="false"/>
          <w:i w:val="false"/>
          <w:iCs w:val="false"/>
          <w:color w:val="1A1A1A"/>
          <w:sz w:val="21"/>
          <w:szCs w:val="21"/>
        </w:rPr>
        <w:t>the secure retention of service recipient, personnel, and administrative records for the required period.</w:t>
      </w:r>
    </w:p>
    <w:p>
      <w:pPr>
        <w:pStyle w:val="Normal"/>
        <w:spacing w:lineRule="exact" w:line="276" w:before="0" w:after="70"/>
        <w:rPr/>
      </w:pPr>
      <w:r>
        <w:rPr>
          <w:rFonts w:eastAsia="Calibri" w:cs="Calibri"/>
          <w:b/>
          <w:bCs/>
          <w:i w:val="false"/>
          <w:iCs w:val="false"/>
          <w:color w:val="1A1A1A"/>
          <w:sz w:val="21"/>
          <w:szCs w:val="21"/>
        </w:rPr>
        <w:t xml:space="preserve">Document control — </w:t>
      </w:r>
      <w:r>
        <w:rPr>
          <w:rFonts w:eastAsia="Calibri" w:cs="Calibri"/>
          <w:b w:val="false"/>
          <w:bCs w:val="false"/>
          <w:i w:val="false"/>
          <w:iCs w:val="false"/>
          <w:color w:val="1A1A1A"/>
          <w:sz w:val="21"/>
          <w:szCs w:val="21"/>
        </w:rPr>
        <w:t>keeping only current, approved versions of policies and forms in use and recording approvals and revisions.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retains service recipient records, personnel records, and administrative and financial records securely for the period required by applicable rule, payer requirements, and its retention policy, and destroys them securely at the end of retention. Records are protected against loss, tampering, and unauthorized access, and are made available to the licensing authority as required.</w:t>
      </w:r>
    </w:p>
    <w:p>
      <w:pPr>
        <w:pStyle w:val="Normal"/>
        <w:spacing w:lineRule="exact" w:line="276" w:before="0" w:after="120"/>
        <w:jc w:val="start"/>
        <w:rPr/>
      </w:pPr>
      <w:r>
        <w:rPr>
          <w:rFonts w:eastAsia="Calibri" w:cs="Calibri"/>
          <w:b w:val="false"/>
          <w:bCs w:val="false"/>
          <w:i w:val="false"/>
          <w:iCs w:val="false"/>
          <w:color w:val="1A1A1A"/>
          <w:sz w:val="21"/>
          <w:szCs w:val="21"/>
        </w:rPr>
        <w:t>The agency practices document control: it keeps only current, approved versions of its policies and forms in use, records approvals and revision dates, withdraws superseded versions, and keeps this manual and the companion Forms Packet consistent. The Administrator approves changes and communicates them to staff.</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retention and document-control activities and reviews them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Retain recipient, personnel, and administrative/financial records for the required period.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Secure records against loss, tampering, and unauthorized access.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Destroy records securely at the end of retention.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Make records available to the licensing authority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only current, approved policies and forms in use.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Record approvals and revision dates; withdraw superseded versions.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the manual and Forms Packet consistent; have the Administrator approve changes.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retention and document control;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Records Retention &amp; Destruction Log · Document Control &amp; Version Log · Policy Approval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PSSA License &amp; Governing Authority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Reference &amp; Crosswalk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Manual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Description &amp; Enrollment/Termination Criteria</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Scope of Services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&amp; Coordination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Organizational Chart &amp; Lines of Authority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Ownership Disclosure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Designation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Designee Authorization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Delegation-of-Authority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Population Categorization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Population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Worker-Absence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Alternate Staffing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Absence &amp; Coverage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Licensure Application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Correction Template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License Renewal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Survey Readiness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Registration &amp; Tax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Insurance Coverage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Schedule of Fees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Financial Documentation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Recipient Rights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Rights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Advocacy Services Listing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Rights &amp; Grievance Information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Grievance Form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Enrollment &amp; Intake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Enrollment/Termination Criteria</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Termination &amp; Referral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Individualized Needs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Confidentiality Policy &amp;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Photograph/Media Consent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Authorization for Release of Information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Recipient Funds Authorization &amp; Ledger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Purchase/Errand Receipt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Financial Safeguards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 Coordination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Transition/Referral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Continuity of Services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Job Description &amp; Role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 Qualification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Assignment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Background Screening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Registry Check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Re-Screening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Employee Health &amp; Communicable Disease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Fitness-for-Duty Clearance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Exposure/Illness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 Competency Checklist &amp;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Competency Evaluation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Competency Completion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Recipient-Specific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Training Due-Date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Medication-Assistance Training Record (RN)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Medication-Assistance Authorization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Information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Education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Orientation/Education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File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Driver’s License &amp; Vehicle Insurance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Record Audit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ADL &amp; Task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Change-in-Condition/Observation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Visit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Visit Tracker (30-day)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Supervision Follow-Up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Recipient Record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Documentation Audit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Safety Hazard Report &amp; Follow-Up</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 Safety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Concern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Assistive Device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Device Use &amp; Service-Plan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Transfer Safety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Vehicle Safety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Transportation Service-Plan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Communicable Disease Prevention Procedures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Abuse/Neglect/Exploitation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APS &amp; Authority Contact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Investigation &amp; Corrective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Practice Guide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PPE &amp; Supplies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Exposure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Critical 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Investigation &amp; Corrective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&amp; Disaster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Recipient Emergency Contact &amp; Acuity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Response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&amp; Program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 Action &amp; Effectiveness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Recipient Satisfaction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Department Access &amp; Investigation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Request Response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Correction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TennCare Enrollment &amp; MCO Contract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Authorization &amp; Units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Setup &amp; Reconciliation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Integrity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Referral-Source Arrangement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Error &amp; Refund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Wage, Time &amp; Travel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Workers’ Compensation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Employee Classification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Retention &amp; Destruction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Document Control &amp; Version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Policy Approval Record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0940-05-38  —  Ready to customize  —  Page </w:t>
    </w:r>
    <w:r>
      <w:rPr/>
      <w:fldChar w:fldCharType="begin"/>
    </w:r>
    <w:r>
      <w:rPr/>
      <w:instrText xml:space="preserve"> PAGE </w:instrText>
    </w:r>
    <w:r>
      <w:rPr/>
      <w:fldChar w:fldCharType="separate"/>
    </w:r>
    <w:r>
      <w:rPr/>
      <w:t>91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0940-05-38  —  Ready to customize  —  Page </w:t>
    </w:r>
    <w:r>
      <w:rPr/>
      <w:fldChar w:fldCharType="begin"/>
    </w:r>
    <w:r>
      <w:rPr/>
      <w:instrText xml:space="preserve"> PAGE </w:instrText>
    </w:r>
    <w:r>
      <w:rPr/>
      <w:fldChar w:fldCharType="separate"/>
    </w:r>
    <w:r>
      <w:rPr/>
      <w:t>91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Personal Support Services Agency  •  Tennessee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Personal Support Services Agency  •  Tennessee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2026-07-12T09:58:40Z</dcterms:created>
  <dc:creator>PolicyReady.org</dc:creator>
  <dc:description/>
  <dc:language>en-US</dc:language>
  <cp:lastModifiedBy>Un-named</cp:lastModifiedBy>
  <dcterms:modified xsi:type="dcterms:W3CDTF">2026-07-12T09:58:40Z</dcterms:modified>
  <cp:revision>1</cp:revision>
  <dc:subject/>
  <dc:title>Tennessee Personal Support Services Agency — Policy &amp; Procedure Manual</dc:title>
</cp:coreProperties>
</file>