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Non-Medical Home Care (Arizona)</w:t>
      </w:r>
    </w:p>
    <w:p>
      <w:pPr>
        <w:pStyle w:val="Normal"/>
        <w:spacing w:before="0" w:after="200"/>
        <w:jc w:val="center"/>
        <w:rPr/>
      </w:pPr>
      <w:r>
        <w:rPr>
          <w:rFonts w:eastAsia="Calibri" w:cs="Calibri"/>
          <w:b w:val="false"/>
          <w:bCs w:val="false"/>
          <w:i w:val="false"/>
          <w:iCs w:val="false"/>
          <w:color w:val="555555"/>
          <w:sz w:val="20"/>
          <w:szCs w:val="20"/>
        </w:rPr>
        <w:t>Built for Arizona non-medical home care — no state license required, with AHCCCS/ALTCS readiness</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Arizona health plans and AHCCCS reviewers verify that your policies reflect real AHCCCS/ALTCS and screening requirements — generic or other-state policies are rejected.</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non-medical home care in Arizona — personal care, attendant care, homemaker, and companion services in the client’s home. Arizona does not license non-medical home care, so this manual is the agency’s own binding operating standard, together with the requirements that DO apply. The following authorities and standards form the basis for this manual. The agency does not provide skilled home health (which requires an ADHS license under A.A.C. R9-10 Article 12) unless separately licensed:</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NO STATE LICENSE FOR NON-MEDICAL HOME CARE: Arizona does not license non-medical home care. Only skilled medical home health agencies are licensed by the Arizona Department of Health Services (ADHS) under A.A.C. R9-10 Article 12; hospice under Article 6. Because this agency provides only non-medical services (personal care, attendant care, homemaker, companion), it does not require and does not hold an ADHS license — and it does not represent itself as licensed or state-certified for non-medical home care.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the agency provides hands-on personal care and attendant care (assistance with activities of daily living, homemaking, and general supervision, which may accompany the member into the community), homemaker services, and companion services. It does not provide skilled services (nursing, wound care, medication administration, injections, therapy) unless separately licensed. Caregivers assist only with a client’s SELF-administered medication within the non-medical scope and do not administer medication or perform any nursing task.</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Caregiver background screening: every caregiver holds a valid Arizona Level One Fingerprint Clearance Card (Arizona Department of Public Safety), and the agency checks each caregiver against the Adult Protective Services registry (A.R.S. § 46-459) and the Department of Child Safety registry (A.R.S. § 8-804) SEPARATELY from the card. Anyone precluded from a fingerprint clearance card or with a substantiated APS/DCS finding is prohibited from serving clients. Plus federal and AHCCCS exclusion screening before hire and monthly.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Direct Care Worker (DCW) training and testing (AHCCCS/ALTCS): direct care workers who serve Medicaid members pass Arizona’s standardized competency tests within 90 days of hire using the Principles of Caregiving curriculum (fundamentals plus the Aging and Physical Disabilities module) through an AHCCCS Approved Training and Testing Program, hold current CPR and first aid, and complete required continuing education and fraud, waste, and abuse training. RNs, LPNs, CNAs, and approved assisted-living-facility caregivers are exempt from the DCW test.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AHCCCS/ALTCS provider requirements (to serve Medicaid members): enrollment as an AHCCCS provider through the AHCCCS Provider Enrollment Portal (APEP) with the applicable enrollment fee and background screening, revalidated generally every four years; a contract with each ALTCS Program Contractor (managed care health plan) whose members the agency serves; services delivered per the member’s Person-Centered Service Plan (PCSP) and the ALTCS case manager’s authorization; and the AHCCCS same-day service and member-directed-option (Agency with Choice, Self-Directed Attendant Care) rules.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Supervision: the agency designates a qualified supervisor who assesses each client, develops the written service plan, and provides supervisory visits as often as needed and, for ALTCS members, at least every 90 days consistent with AHCCCS policy, documented on the supervisory visit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Electronic Visit Verification (EVV): for AHCCCS-funded attendant care, personal care, homemaker, and respite, the agency captures EVV for every visit using the AHCCCS EVV system or an AHCCCS-approved alternate that captures the six required data elements, and keeps EVV data consistent with the authorization and the claim.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care: a written statement of client rights and the complaint process given at the start of care; a written service agreement and disclosures; an assessment and service plan (aligned with the ALTCS PCSP for Medicaid members); a complaint/grievance process (with the health-plan and AHCCCS grievance route for ALTCS members); and a confidential client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reporting suspected abuse, neglect, or exploitation of a vulnerable adult to Arizona Adult Protective Services (1-877-767-2385), and child abuse to the Department of Child Safety (1-888-767-2445), with 911 for emergencies; incident reporting; universal precautions and infection control; communicable-disease cooperation under A.A.C. R9-6; and emergency and disaster preparedness for Arizona hazards (extreme heat, monsoon flooding, wildfire, dust storms, power outages).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payment, and employment requirements: registration with the Arizona Corporation Commission and an employer identification number; professional and general liability insurance and a surety or fidelity bond (or third-party crime insurance) protecting clients against caregiver theft or fraud; workers’ compensation coverage; the Arizona minimum wage ($15.15 statewide in 2026; higher in Tucson and Flagstaff — CPI-indexed, verify current) and the federal FLSA home care rule (no companionship exemption for a third-party employer; overtime after 40 hours/week); Arizona earned paid sick time; and HIPAA privacy and security. This manual provides general information and is not legal advice; verify current statute, regulation,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Business Foundation, Scope &amp; Operating Standards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Service Plan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Caregiver Screening, Qualifications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Business Foundation, Scope &amp; Operating Standards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Non-Medical Home Care in Arizona: No State License, Real Standards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the Non-Medical / Skilled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Formation and Authority to Operate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Body and Administrator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of Care by a Qualified Supervisor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Office, Insurance and Bonding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Ethical Referrals and Anti-Kickback Compliance</w:t>
            </w:r>
          </w:p>
        </w:tc>
      </w:tr>
    </w:tbl>
    <w:p>
      <w:pPr>
        <w:pStyle w:val="Normal"/>
        <w:spacing w:before="140" w:after="60"/>
        <w:rPr/>
      </w:pPr>
      <w:r>
        <w:rPr>
          <w:rFonts w:eastAsia="Calibri" w:cs="Calibri"/>
          <w:b/>
          <w:bCs/>
          <w:i w:val="false"/>
          <w:iCs w:val="false"/>
          <w:color w:val="1F3A5F"/>
          <w:sz w:val="22"/>
          <w:szCs w:val="22"/>
        </w:rPr>
        <w:t>Section 2 — Client Rights, Intake &amp; Service Plan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Statement of Client Rights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and Disclosures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Assessment and the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Complaints and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Limits, Transfer and Termination of Services</w:t>
            </w:r>
          </w:p>
        </w:tc>
      </w:tr>
    </w:tbl>
    <w:p>
      <w:pPr>
        <w:pStyle w:val="Normal"/>
        <w:spacing w:before="140" w:after="60"/>
        <w:rPr/>
      </w:pPr>
      <w:r>
        <w:rPr>
          <w:rFonts w:eastAsia="Calibri" w:cs="Calibri"/>
          <w:b/>
          <w:bCs/>
          <w:i w:val="false"/>
          <w:iCs w:val="false"/>
          <w:color w:val="1F3A5F"/>
          <w:sz w:val="22"/>
          <w:szCs w:val="22"/>
        </w:rPr>
        <w:t>Section 3 — Caregiver Screening, Qualifications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Qualifications and Personnel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Fingerprint Clearance Card and Registry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and Federal Exclusion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Direct Care Worker Training, Testing and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Screening and Communicable Disease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Conduct, Driver Verification and Fitness for Duty</w:t>
            </w:r>
          </w:p>
        </w:tc>
      </w:tr>
    </w:tbl>
    <w:p>
      <w:pPr>
        <w:pStyle w:val="Normal"/>
        <w:spacing w:before="140" w:after="60"/>
        <w:rPr/>
      </w:pPr>
      <w:r>
        <w:rPr>
          <w:rFonts w:eastAsia="Calibri" w:cs="Calibri"/>
          <w:b/>
          <w:bCs/>
          <w:i w:val="false"/>
          <w:iCs w:val="false"/>
          <w:color w:val="1F3A5F"/>
          <w:sz w:val="22"/>
          <w:szCs w:val="22"/>
        </w:rPr>
        <w:t>Section 4 —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Assignment and Coordination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Supervisory Visits and Oversight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Duties and Task Scope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Assisting with Self-Administered Medication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Electronic Visit Verification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Documentation and the Client Record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Transportation and Client Property and Funds</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and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and Universal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and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and Environment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Communicable Disease Reporting and Public Health</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and Personnel Record Content and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Improvement Program</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AHCCCS/ALTCS Provider Compliance and Readiness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Program Integrity and Fraud, Waste &amp; Abuse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Compliance Program</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Compliance, Renewals and Reporting</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BUSINESS FOUNDATION, SCOPE &amp; OPERATING STANDARDS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spacing w:lineRule="exact" w:line="276" w:before="0" w:after="120"/>
        <w:jc w:val="start"/>
        <w:rPr/>
      </w:pPr>
      <w:r>
        <w:rPr>
          <w:rFonts w:eastAsia="Calibri" w:cs="Calibri"/>
          <w:b w:val="false"/>
          <w:bCs w:val="false"/>
          <w:i/>
          <w:iCs/>
          <w:color w:val="555555"/>
          <w:sz w:val="20"/>
          <w:szCs w:val="20"/>
        </w:rPr>
        <w:t>This section establishes the agency’s foundation as an Arizona non-medical home care business: the central Arizona fact that non-medical home care is not licensed by the state, and what that does and does not mean; the scope of personal care, attendant care, homemaker, and companion services and the boundary against skilled care that would require an ADHS license; how the agency is lawfully formed and authorized to operate; the administrator and governing body; the supervision that stands behind the care; the business office, insurance, and bonding; and the ethical-referral rules that keep the agency in good standing with the payers and partners it depends on.</w:t>
      </w:r>
    </w:p>
    <w:p>
      <w:pPr>
        <w:pStyle w:val="Normal"/>
        <w:keepNext w:val="true"/>
        <w:spacing w:before="240" w:after="100"/>
        <w:rPr/>
      </w:pPr>
      <w:r>
        <w:rPr>
          <w:rFonts w:eastAsia="Calibri" w:cs="Calibri"/>
          <w:b/>
          <w:bCs/>
          <w:i w:val="false"/>
          <w:iCs w:val="false"/>
          <w:color w:val="1F3A5F"/>
          <w:sz w:val="24"/>
          <w:szCs w:val="24"/>
        </w:rPr>
        <w:t>Policy 1.1 — Non-Medical Home Care in Arizona: No State License, Real Standards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Non-Medical Home Care in Arizona: No State License, Real Standards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A.R.S. § 36-151; A.A.C. R9-10 Article 12 (home 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Arizona does not license non-medical home care, and that [Agency Name] nonetheless operates to a defined professional standard — so the agency competes on quality and is ready to meet every payer and partner requirement that does apply.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Non-medical home care — </w:t>
      </w:r>
      <w:r>
        <w:rPr>
          <w:rFonts w:eastAsia="Calibri" w:cs="Calibri"/>
          <w:b w:val="false"/>
          <w:bCs w:val="false"/>
          <w:i w:val="false"/>
          <w:iCs w:val="false"/>
          <w:color w:val="1A1A1A"/>
          <w:sz w:val="21"/>
          <w:szCs w:val="21"/>
        </w:rPr>
        <w:t>personal care, attendant care, homemaker, and companion services provided in a client’s home that do not involve skilled nursing or medical treatment.</w:t>
      </w:r>
    </w:p>
    <w:p>
      <w:pPr>
        <w:pStyle w:val="Normal"/>
        <w:spacing w:lineRule="exact" w:line="276" w:before="0" w:after="70"/>
        <w:rPr/>
      </w:pPr>
      <w:r>
        <w:rPr>
          <w:rFonts w:eastAsia="Calibri" w:cs="Calibri"/>
          <w:b/>
          <w:bCs/>
          <w:i w:val="false"/>
          <w:iCs w:val="false"/>
          <w:color w:val="1A1A1A"/>
          <w:sz w:val="21"/>
          <w:szCs w:val="21"/>
        </w:rPr>
        <w:t xml:space="preserve">Home health agency — </w:t>
      </w:r>
      <w:r>
        <w:rPr>
          <w:rFonts w:eastAsia="Calibri" w:cs="Calibri"/>
          <w:b w:val="false"/>
          <w:bCs w:val="false"/>
          <w:i w:val="false"/>
          <w:iCs w:val="false"/>
          <w:color w:val="1A1A1A"/>
          <w:sz w:val="21"/>
          <w:szCs w:val="21"/>
        </w:rPr>
        <w:t>an agency providing skilled services (nursing, therapy, medical social services) that IS licensed by the Arizona Department of Health Services under A.A.C. R9-10 Article 12 — a separate category the agency does not operate in unless separately licensed.</w:t>
      </w:r>
    </w:p>
    <w:p>
      <w:pPr>
        <w:pStyle w:val="Normal"/>
        <w:spacing w:lineRule="exact" w:line="276" w:before="0" w:after="70"/>
        <w:rPr/>
      </w:pPr>
      <w:r>
        <w:rPr>
          <w:rFonts w:eastAsia="Calibri" w:cs="Calibri"/>
          <w:b/>
          <w:bCs/>
          <w:i w:val="false"/>
          <w:iCs w:val="false"/>
          <w:color w:val="1A1A1A"/>
          <w:sz w:val="21"/>
          <w:szCs w:val="21"/>
        </w:rPr>
        <w:t xml:space="preserve">ADHS — </w:t>
      </w:r>
      <w:r>
        <w:rPr>
          <w:rFonts w:eastAsia="Calibri" w:cs="Calibri"/>
          <w:b w:val="false"/>
          <w:bCs w:val="false"/>
          <w:i w:val="false"/>
          <w:iCs w:val="false"/>
          <w:color w:val="1A1A1A"/>
          <w:sz w:val="21"/>
          <w:szCs w:val="21"/>
        </w:rPr>
        <w:t>the Arizona Department of Health Services, which licenses home health and hospice agencies and assisted living, but not non-medical home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non-medical home care in Arizona — personal care, attendant care, homemaker, and companion services in the client’s home. The agency understands and operates on the central Arizona fact that non-medical home care is NOT licensed by the Arizona Department of Health Services: only agencies that provide skilled medical services (nursing, wound care, medication administration, therapy) must hold an ADHS home health agency license under A.A.C. R9-10 Article 12. Because the agency provides only non-medical services, it does not require and does not hold an ADHS license.</w:t>
      </w:r>
    </w:p>
    <w:p>
      <w:pPr>
        <w:pStyle w:val="Normal"/>
        <w:spacing w:lineRule="exact" w:line="276" w:before="0" w:after="120"/>
        <w:jc w:val="start"/>
        <w:rPr/>
      </w:pPr>
      <w:r>
        <w:rPr>
          <w:rFonts w:eastAsia="Calibri" w:cs="Calibri"/>
          <w:b w:val="false"/>
          <w:bCs w:val="false"/>
          <w:i w:val="false"/>
          <w:iCs w:val="false"/>
          <w:color w:val="1A1A1A"/>
          <w:sz w:val="21"/>
          <w:szCs w:val="21"/>
        </w:rPr>
        <w:t>The absence of a state license is not an absence of standards. [Agency Name] adopts and follows this manual as its own binding standard of operation, and it meets every requirement that does apply to it — caregiver background screening through the Arizona fingerprint clearance card and the abuse registries, the Direct Care Worker training and testing required to serve Medicaid members, the AHCCCS provider requirements for any publicly funded client, federal wage-and-hour and privacy law, and mandatory abuse reporting. The agency treats professional self-regulation as a competitive advantage: it operates as if surveyed, so that clients, families, hospital discharge planners, and health plans can trust it.</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current on Arizona requirements as they change, ensures this manual is reviewed at least annually, and does not represent the agency as “licensed” or “state-certified” for non-medical home care when no such license exists — the agency describes itself accurately.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only non-medical home care (personal care, attendant care, homemaker, companion) unless separately licensed for skilled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Understand that ADHS does not license non-medical home care; do not claim a license the agency does not hold.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Adopt and follow this manual as the agency’s binding operating standard.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Meet every requirement that does apply: fingerprint clearance and registry screening, DCW training/testing, AHCCCS provider rules, federal law, and abuse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Operate as if surveyed — keep records, screening, training, and supervision audit-ready.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Describe the agency accurately in all marketing and disclosures.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whenever an applicable requirement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Operating Standard &amp; Scope Record · Regulatory Reference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and the Non-Medical / Skilled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the Non-Medical / Skilled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A.R.S. § 36-151; AHCCCS AMPM Policy 1240-A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non-medical scope and the boundary that separates it from skilled care requiring an ADHS license, so the agency never provides a service outside its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 attendant care — </w:t>
      </w:r>
      <w:r>
        <w:rPr>
          <w:rFonts w:eastAsia="Calibri" w:cs="Calibri"/>
          <w:b w:val="false"/>
          <w:bCs w:val="false"/>
          <w:i w:val="false"/>
          <w:iCs w:val="false"/>
          <w:color w:val="1A1A1A"/>
          <w:sz w:val="21"/>
          <w:szCs w:val="21"/>
        </w:rPr>
        <w:t>hands-on assistance with activities of daily living — bathing, dressing, grooming, toileting, transferring, ambulation, and feeding — with attendant care also including homemaking and general supervision and able to accompany the member outside the home.</w:t>
      </w:r>
    </w:p>
    <w:p>
      <w:pPr>
        <w:pStyle w:val="Normal"/>
        <w:spacing w:lineRule="exact" w:line="276" w:before="0" w:after="70"/>
        <w:rPr/>
      </w:pPr>
      <w:r>
        <w:rPr>
          <w:rFonts w:eastAsia="Calibri" w:cs="Calibri"/>
          <w:b/>
          <w:bCs/>
          <w:i w:val="false"/>
          <w:iCs w:val="false"/>
          <w:color w:val="1A1A1A"/>
          <w:sz w:val="21"/>
          <w:szCs w:val="21"/>
        </w:rPr>
        <w:t xml:space="preserve">Homemaker services — </w:t>
      </w:r>
      <w:r>
        <w:rPr>
          <w:rFonts w:eastAsia="Calibri" w:cs="Calibri"/>
          <w:b w:val="false"/>
          <w:bCs w:val="false"/>
          <w:i w:val="false"/>
          <w:iCs w:val="false"/>
          <w:color w:val="1A1A1A"/>
          <w:sz w:val="21"/>
          <w:szCs w:val="21"/>
        </w:rPr>
        <w:t>cleaning, laundry, meal preparation, shopping, and errands that maintain a safe and sanitary home.</w:t>
      </w:r>
    </w:p>
    <w:p>
      <w:pPr>
        <w:pStyle w:val="Normal"/>
        <w:spacing w:lineRule="exact" w:line="276" w:before="0" w:after="70"/>
        <w:rPr/>
      </w:pPr>
      <w:r>
        <w:rPr>
          <w:rFonts w:eastAsia="Calibri" w:cs="Calibri"/>
          <w:b/>
          <w:bCs/>
          <w:i w:val="false"/>
          <w:iCs w:val="false"/>
          <w:color w:val="1A1A1A"/>
          <w:sz w:val="21"/>
          <w:szCs w:val="21"/>
        </w:rPr>
        <w:t xml:space="preserve">Companion services — </w:t>
      </w:r>
      <w:r>
        <w:rPr>
          <w:rFonts w:eastAsia="Calibri" w:cs="Calibri"/>
          <w:b w:val="false"/>
          <w:bCs w:val="false"/>
          <w:i w:val="false"/>
          <w:iCs w:val="false"/>
          <w:color w:val="1A1A1A"/>
          <w:sz w:val="21"/>
          <w:szCs w:val="21"/>
        </w:rPr>
        <w:t>nonmedical supervision, socialization, and support, with no hands-on personal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personal care and attendant care (hands-on help with the activities of daily living, plus homemaking and general supervision), homemaker services, and companion services, as each client’s needs and service plan direct. These are non-medical services. The agency does not provide skilled services — the nursing, wound care, medication administration, injections, or therapy that require the continuing attention of a licensed professional and an ADHS home health license — unless it is separately licensed and staffed to do so.</w:t>
      </w:r>
    </w:p>
    <w:p>
      <w:pPr>
        <w:pStyle w:val="Normal"/>
        <w:spacing w:lineRule="exact" w:line="276" w:before="0" w:after="120"/>
        <w:jc w:val="start"/>
        <w:rPr/>
      </w:pPr>
      <w:r>
        <w:rPr>
          <w:rFonts w:eastAsia="Calibri" w:cs="Calibri"/>
          <w:b w:val="false"/>
          <w:bCs w:val="false"/>
          <w:i w:val="false"/>
          <w:iCs w:val="false"/>
          <w:color w:val="1A1A1A"/>
          <w:sz w:val="21"/>
          <w:szCs w:val="21"/>
        </w:rPr>
        <w:t>Caregivers assist a client with self-administration of medication only within the non-medical boundary Arizona allows (reminders, bringing the medication, reading the label, steadying assistance while the client directs the process); they do not administer medication, make dosing decisions, give injections, or perform any skilled task. When a client’s needs exceed non-medical care, the agency coordinates a referral to a licensed home health agency, the client’s physician, or the ALTCS case manager, and reflects the limit in the service plan.</w:t>
      </w:r>
    </w:p>
    <w:p>
      <w:pPr>
        <w:pStyle w:val="Normal"/>
        <w:spacing w:lineRule="exact" w:line="276" w:before="0" w:after="120"/>
        <w:jc w:val="start"/>
        <w:rPr/>
      </w:pPr>
      <w:r>
        <w:rPr>
          <w:rFonts w:eastAsia="Calibri" w:cs="Calibri"/>
          <w:b w:val="false"/>
          <w:bCs w:val="false"/>
          <w:i w:val="false"/>
          <w:iCs w:val="false"/>
          <w:color w:val="1A1A1A"/>
          <w:sz w:val="21"/>
          <w:szCs w:val="21"/>
        </w:rPr>
        <w:t>Every caregiver is oriented to this scope before client contact and instructed, in writing, on what the agency’s services include and exclude. The supervisor responds when a caregiver reports a need beyond scope, reassesses, and adjusts the plan or arranges referral.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personal care/attendant care, homemaker, and companion services per each client’s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provide skilled services (nursing, wound care, medication administration, therapy) without a separate ADHS home health license.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Limit medication help to assisting with self-administration within Arizona’s non-medical boundary.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Orient every caregiver to the non-medical scope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Route needs beyond scope to the supervisor, who reassesses or refers out.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Coordinate referral to a licensed home health agency, physician, or ALTCS case manager when skilled care is needed.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scope and any referral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Description &amp; Scope Record · Caregiver Scope Acknowledgment · Referral-for-Skilled-Care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Business Formation and Authority to Operate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Formation and Authority to Operate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A.R.S. Title 10 (Corporations); A.R.S. Title 42 (TPT)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lawfully formed and holds every business authorization Arizona requires, so it operates legitimately even though no home care license exists.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Arizona Corporation Commission — </w:t>
      </w:r>
      <w:r>
        <w:rPr>
          <w:rFonts w:eastAsia="Calibri" w:cs="Calibri"/>
          <w:b w:val="false"/>
          <w:bCs w:val="false"/>
          <w:i w:val="false"/>
          <w:iCs w:val="false"/>
          <w:color w:val="1A1A1A"/>
          <w:sz w:val="21"/>
          <w:szCs w:val="21"/>
        </w:rPr>
        <w:t>the state office where the agency’s LLC or corporation is registered.</w:t>
      </w:r>
    </w:p>
    <w:p>
      <w:pPr>
        <w:pStyle w:val="Normal"/>
        <w:spacing w:lineRule="exact" w:line="276" w:before="0" w:after="70"/>
        <w:rPr/>
      </w:pPr>
      <w:r>
        <w:rPr>
          <w:rFonts w:eastAsia="Calibri" w:cs="Calibri"/>
          <w:b/>
          <w:bCs/>
          <w:i w:val="false"/>
          <w:iCs w:val="false"/>
          <w:color w:val="1A1A1A"/>
          <w:sz w:val="21"/>
          <w:szCs w:val="21"/>
        </w:rPr>
        <w:t xml:space="preserve">TPT license — </w:t>
      </w:r>
      <w:r>
        <w:rPr>
          <w:rFonts w:eastAsia="Calibri" w:cs="Calibri"/>
          <w:b w:val="false"/>
          <w:bCs w:val="false"/>
          <w:i w:val="false"/>
          <w:iCs w:val="false"/>
          <w:color w:val="1A1A1A"/>
          <w:sz w:val="21"/>
          <w:szCs w:val="21"/>
        </w:rPr>
        <w:t>the Arizona transaction privilege (and any city business) license the agency obtains where its activities require 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is a lawfully formed Arizona business: it registers its LLC or corporation with the Arizona Corporation Commission, obtains a federal employer identification number, opens a business bank account, and obtains any transaction privilege tax or city business license its operations require. Although no ADHS license governs non-medical home care, the agency holds every general business authorization that applies and keeps its corporate standing current.</w:t>
      </w:r>
    </w:p>
    <w:p>
      <w:pPr>
        <w:pStyle w:val="Normal"/>
        <w:spacing w:lineRule="exact" w:line="276" w:before="0" w:after="120"/>
        <w:jc w:val="start"/>
        <w:rPr/>
      </w:pPr>
      <w:r>
        <w:rPr>
          <w:rFonts w:eastAsia="Calibri" w:cs="Calibri"/>
          <w:b w:val="false"/>
          <w:bCs w:val="false"/>
          <w:i w:val="false"/>
          <w:iCs w:val="false"/>
          <w:color w:val="1A1A1A"/>
          <w:sz w:val="21"/>
          <w:szCs w:val="21"/>
        </w:rPr>
        <w:t>Where the agency intends to serve Medicaid clients, it also enrolls as an AHCCCS provider (see Section 6) — a separate step from business formation. The agency obtains a national provider identifier where required, and keeps its ownership, address, and business information accurate and current with each authority.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the agency’s formation documents, tax registrations, and business filings, tracks renewal dates on a compliance calendar, and ensures the agency never operates under a lapsed registration or misrepresents its authority to operate.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LLC or corporation with the Arizona Corporation Commission and obtain an EIN.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Open a business bank account and obtain any required TPT or city business license.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Enroll as an AHCCCS provider separately where Medicaid clients will be served.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a national provider identifier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ownership, address, and business information current with each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business renewals on a compliance calendar.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operate under a lapsed registration or misrepresent authority to operate.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Tax Record · Corporate Standing Tracker · Compliance Calendar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Governing Body and Administrator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Body and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provider standards;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leadership and the Administrator’s responsibilities, so accountability for compliance, quality, and supervision is clear and continuous even without a licensing survey to enforce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Governing body — </w:t>
      </w:r>
      <w:r>
        <w:rPr>
          <w:rFonts w:eastAsia="Calibri" w:cs="Calibri"/>
          <w:b w:val="false"/>
          <w:bCs w:val="false"/>
          <w:i w:val="false"/>
          <w:iCs w:val="false"/>
          <w:color w:val="1A1A1A"/>
          <w:sz w:val="21"/>
          <w:szCs w:val="21"/>
        </w:rPr>
        <w:t>the owner or body with ultimate authority and responsibility for the agency.</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qualified person responsible for the day-to-day management of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governing body of [Agency Name] holds ultimate authority and responsibility for the agency, adopts and reviews its policies, appoints a qualified Administrator, ensures adequate staffing and resources, and holds the agency to this manual and to all applicable law. Because no state surveyor enforces day-to-day operation, the governing body treats its own oversight as the primary guarantee of quality.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day-to-day management: organizing and supervising operations, employing qualified staff and ensuring their screening, training, and competency, ensuring services follow each client’s plan, maintaining accurate records, meeting AHCCCS provider obligations where the agency serves Medicaid, and implementing sound budgeting and accounting. The agency designates a qualified person to act when the Administrator is unavailable, so responsibility is never vacant.</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from the governing body through the Administrator and the supervisor to caregivers are documented so every worker knows who directs and supervises the work, and the agency cooperates fully with any AHCCCS review, health-plan audit, or investigation.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governing body with ultimate responsibility for the agency and its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Appoint a qualified Administrator and a qualified alternate.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Administrator manage operations, staffing, screening, training, records, and finances.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Meet AHCCCS provider obligations where Medicaid clients are served.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lines of authority from the governing body through the Administrator and supervisor to caregivers.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services, quality, complaints, and compliance at defined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Cooperate fully with AHCCCS reviews, health-plan audits, and investigations.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Body &amp; Administrator Record · Administrator Qualifications Documentation · Alternate Administrator Designation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Supervision of Care by a Qualified Supervisor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of Care by a Qualified Supervisor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supervision that stands behind the agency’s care — assessment, a written plan, and supervisory visits — so quality is actively overseen even without a licensing mandate.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 — </w:t>
      </w:r>
      <w:r>
        <w:rPr>
          <w:rFonts w:eastAsia="Calibri" w:cs="Calibri"/>
          <w:b w:val="false"/>
          <w:bCs w:val="false"/>
          <w:i w:val="false"/>
          <w:iCs w:val="false"/>
          <w:color w:val="1A1A1A"/>
          <w:sz w:val="21"/>
          <w:szCs w:val="21"/>
        </w:rPr>
        <w:t>the qualified person (for many agencies a registered nurse or an experienced care manager) responsible for assessing clients, developing service plans, and supervising caregivers.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the supervisor’s visit to evaluate the client, the service plan, and the caregiver’s performance, aligned with the AHCCCS expectation of a visit at least every 90 days for Medicaid members.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 qualified supervisor responsible for assessing each client, developing the written service plan, and supervising the caregivers who deliver care. Even though Arizona does not license non-medical home care, the agency treats supervision as its central quality control: caregivers work alone in clients’ homes, and a real, reachable supervisor is what keeps care safe and consistent.</w:t>
      </w:r>
    </w:p>
    <w:p>
      <w:pPr>
        <w:pStyle w:val="Normal"/>
        <w:spacing w:lineRule="exact" w:line="276" w:before="0" w:after="120"/>
        <w:jc w:val="start"/>
        <w:rPr/>
      </w:pPr>
      <w:r>
        <w:rPr>
          <w:rFonts w:eastAsia="Calibri" w:cs="Calibri"/>
          <w:b w:val="false"/>
          <w:bCs w:val="false"/>
          <w:i w:val="false"/>
          <w:iCs w:val="false"/>
          <w:color w:val="1A1A1A"/>
          <w:sz w:val="21"/>
          <w:szCs w:val="21"/>
        </w:rPr>
        <w:t>The supervisor conducts or oversees supervisory visits as often as the client’s needs require, and — for ALTCS members — at least every ninety days, consistent with the AHCCCS expectation, documenting each visit and any change to the plan. For Medicaid members, the agency also coordinates with the ALTCS case manager and follows the member’s Person-Centered Service Plan. The supervisor evaluates the client’s condition and satisfaction, the currency of the service plan, the caregiver’s performance and adherence to the plan, and the safety of the home, and retrains or reassigns a caregiver who is not meeting standard.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supervisor track supervisory-visit due dates for every active client and ensure the supervisor’s caseload permits genuine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supervisor for assessment, service planning, and caregiver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Conduct supervisory visits as often as needed, and at least every 90 days for ALTCS members.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the ALTCS case manager and follow the PCSP for Medicaid members.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Evaluate client condition, the service plan, caregiver performance, and home safety at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each supervisory visit and any change to the plan.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Retrain or reassign caregivers who do not meet standard.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supervisory-visit due dates for every active client.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 Designation · Supervisory Visit Documentation · Service Plan &amp;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Business Office, Insurance and Bonding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Office, Insurance and Bonding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A.R.S. Title 23 (Workers’ Comp);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agency’s business office and the insurance and bonding a home care business should carry, so the agency is properly constituted and clients are protected against loss.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Surety / fidelity bond — </w:t>
      </w:r>
      <w:r>
        <w:rPr>
          <w:rFonts w:eastAsia="Calibri" w:cs="Calibri"/>
          <w:b w:val="false"/>
          <w:bCs w:val="false"/>
          <w:i w:val="false"/>
          <w:iCs w:val="false"/>
          <w:color w:val="1A1A1A"/>
          <w:sz w:val="21"/>
          <w:szCs w:val="21"/>
        </w:rPr>
        <w:t>coverage protecting clients from losses caused by the dishonest or criminal acts (theft, fraud) of the agency’s caregivers.</w:t>
      </w:r>
    </w:p>
    <w:p>
      <w:pPr>
        <w:pStyle w:val="Normal"/>
        <w:spacing w:lineRule="exact" w:line="276" w:before="0" w:after="70"/>
        <w:rPr/>
      </w:pPr>
      <w:r>
        <w:rPr>
          <w:rFonts w:eastAsia="Calibri" w:cs="Calibri"/>
          <w:b/>
          <w:bCs/>
          <w:i w:val="false"/>
          <w:iCs w:val="false"/>
          <w:color w:val="1A1A1A"/>
          <w:sz w:val="21"/>
          <w:szCs w:val="21"/>
        </w:rPr>
        <w:t xml:space="preserve">Workers’ compensation — </w:t>
      </w:r>
      <w:r>
        <w:rPr>
          <w:rFonts w:eastAsia="Calibri" w:cs="Calibri"/>
          <w:b w:val="false"/>
          <w:bCs w:val="false"/>
          <w:i w:val="false"/>
          <w:iCs w:val="false"/>
          <w:color w:val="1A1A1A"/>
          <w:sz w:val="21"/>
          <w:szCs w:val="21"/>
        </w:rPr>
        <w:t>the coverage Arizona requires for employees, protecting workers injured on the job.</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business office from which it administers services and keeps its records available, and carries the insurance and bonding appropriate to a home care business: professional and general liability coverage, and a surety bond, fidelity bond, or third-party crime insurance that protects clients and the agency against loss from caregiver theft or fraud. Because caregivers work in clients’ homes and may handle clients’ property or funds, the Administrator confirms this protection is adequate and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workers’ compensation coverage as Arizona law requires for its employees, complies with Arizona’s wage-and-hour and earned-paid-sick-time requirements, and evaluates automobile and other coverage where caregivers transport clients. Records are kept secure and confidential and retained for the periods that apply.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the business office, records systems, insurance certificates, bond, and business filings current, and confirms coverage before caregivers begin serving clients.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business office from which services are administered and records are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Carry professional and general liability insurance.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a surety/fidelity bond or third-party crime insurance protecting against caregiver theft or fraud.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Carry workers’ compensation coverage as Arizona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Comply with Arizona wage-and-hour and earned-paid-sick-time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Evaluate automobile and other coverage where caregivers transport clients.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coverage is current before caregivers begin serving clients.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Insurance &amp; Bond Record · Workers’ Compensation Record · Coverage Currency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Ethical Referrals and Anti-Kickback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Ethical Referrals and Anti-Kickback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U.S.C. § 1320a-7b(b); AHCCCS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builds referral relationships lawfully and never pays for or receives payment for referrals of clients whose care is publicly funded, protecting it from criminal and civil liability and from loss of AHCCCS participation.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Anti-Kickback Statute — </w:t>
      </w:r>
      <w:r>
        <w:rPr>
          <w:rFonts w:eastAsia="Calibri" w:cs="Calibri"/>
          <w:b w:val="false"/>
          <w:bCs w:val="false"/>
          <w:i w:val="false"/>
          <w:iCs w:val="false"/>
          <w:color w:val="1A1A1A"/>
          <w:sz w:val="21"/>
          <w:szCs w:val="21"/>
        </w:rPr>
        <w:t>the federal law making it a crime to offer, pay, solicit, or receive anything of value to induce referrals of items or services payable by a federal health care program, including Medicaid.</w:t>
      </w:r>
    </w:p>
    <w:p>
      <w:pPr>
        <w:pStyle w:val="Normal"/>
        <w:spacing w:lineRule="exact" w:line="276" w:before="0" w:after="70"/>
        <w:rPr/>
      </w:pPr>
      <w:r>
        <w:rPr>
          <w:rFonts w:eastAsia="Calibri" w:cs="Calibri"/>
          <w:b/>
          <w:bCs/>
          <w:i w:val="false"/>
          <w:iCs w:val="false"/>
          <w:color w:val="1A1A1A"/>
          <w:sz w:val="21"/>
          <w:szCs w:val="21"/>
        </w:rPr>
        <w:t xml:space="preserve">Financial interest — </w:t>
      </w:r>
      <w:r>
        <w:rPr>
          <w:rFonts w:eastAsia="Calibri" w:cs="Calibri"/>
          <w:b w:val="false"/>
          <w:bCs w:val="false"/>
          <w:i w:val="false"/>
          <w:iCs w:val="false"/>
          <w:color w:val="1A1A1A"/>
          <w:sz w:val="21"/>
          <w:szCs w:val="21"/>
        </w:rPr>
        <w:t>an ownership or compensation relationship the agency has with an entity to which it refers or which refers to 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earns referrals through the quality and reliability of its care, not through payment. The agency does not offer, pay, solicit, or receive anything of value in exchange for the referral of any client whose care is or may be paid, even in part, by AHCCCS/Medicaid or another federal or state health care program. Because home care is an area of heightened fraud enforcement, the agency treats anti-kickback compliance as essential to keeping its AHCCCS participation and to staying out of criminal and civil trouble.</w:t>
      </w:r>
    </w:p>
    <w:p>
      <w:pPr>
        <w:pStyle w:val="Normal"/>
        <w:spacing w:lineRule="exact" w:line="276" w:before="0" w:after="120"/>
        <w:jc w:val="start"/>
        <w:rPr/>
      </w:pPr>
      <w:r>
        <w:rPr>
          <w:rFonts w:eastAsia="Calibri" w:cs="Calibri"/>
          <w:b w:val="false"/>
          <w:bCs w:val="false"/>
          <w:i w:val="false"/>
          <w:iCs w:val="false"/>
          <w:color w:val="1A1A1A"/>
          <w:sz w:val="21"/>
          <w:szCs w:val="21"/>
        </w:rPr>
        <w:t>Where the agency enters a legitimate business arrangement — for example, a services agreement with an ALTCS Program Contractor — the arrangement is in writing, pays fair market value for actual services, and does not vary with the volume or value of referrals. The agency discloses any financial interest it holds in an entity to which it refers a client, makes referrals in the client’s best interest, and obtains a health care attorney’s advice when an arrangement’s lawfulness is uncertain.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trains staff who develop referral relationships on these limits, monitors marketing for compliance, and documents referral-source relationships.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Never offer, pay, solicit, or receive anything of value for a referral of a publicly funded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Put any referral-related business arrangement in writing at fair market value, not tied to referral volume.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Disclose any financial interest in an entity to which the agency refers a 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a health care attorney’s review of any arrangement whose lawfulness is uncertain.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business-development and marketing staff on anti-kickback limits.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marketing and referral practices and document referral-source relationships.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every referral in the client’s best interest.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Referral-Source &amp; Financial-Interest Disclosure · Business Arrangement Register · Marketing Compliance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SERVICE PLAN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spacing w:lineRule="exact" w:line="276" w:before="0" w:after="120"/>
        <w:jc w:val="start"/>
        <w:rPr/>
      </w:pPr>
      <w:r>
        <w:rPr>
          <w:rFonts w:eastAsia="Calibri" w:cs="Calibri"/>
          <w:b w:val="false"/>
          <w:bCs w:val="false"/>
          <w:i/>
          <w:iCs/>
          <w:color w:val="555555"/>
          <w:sz w:val="20"/>
          <w:szCs w:val="20"/>
        </w:rPr>
        <w:t>This section governs the client relationship from first contact through service: the rights every client holds, the written service agreement and disclosures, the assessment and service plan that guide every visit (and their alignment with the ALTCS Person-Centered Service Plan for Medicaid members), the complaint process, confidentiality and HIPAA, and the rules for accepting, transferring, and ending services.</w:t>
      </w:r>
    </w:p>
    <w:p>
      <w:pPr>
        <w:pStyle w:val="Normal"/>
        <w:keepNext w:val="true"/>
        <w:spacing w:before="240" w:after="100"/>
        <w:rPr/>
      </w:pPr>
      <w:r>
        <w:rPr>
          <w:rFonts w:eastAsia="Calibri" w:cs="Calibri"/>
          <w:b/>
          <w:bCs/>
          <w:i w:val="false"/>
          <w:iCs w:val="false"/>
          <w:color w:val="1F3A5F"/>
          <w:sz w:val="24"/>
          <w:szCs w:val="24"/>
        </w:rPr>
        <w:t>Policy 2.1 — Statement of Client Rights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Statement of Client Rights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member rights;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is informed of and able to exercise their rights, so care is delivered with dignity and the client remains in control of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 </w:t>
      </w:r>
      <w:r>
        <w:rPr>
          <w:rFonts w:eastAsia="Calibri" w:cs="Calibri"/>
          <w:b w:val="false"/>
          <w:bCs w:val="false"/>
          <w:i w:val="false"/>
          <w:iCs w:val="false"/>
          <w:color w:val="1A1A1A"/>
          <w:sz w:val="21"/>
          <w:szCs w:val="21"/>
        </w:rPr>
        <w:t>the person receiving home care services from the agency.</w:t>
      </w:r>
    </w:p>
    <w:p>
      <w:pPr>
        <w:pStyle w:val="Normal"/>
        <w:spacing w:lineRule="exact" w:line="276" w:before="0" w:after="70"/>
        <w:rPr/>
      </w:pPr>
      <w:r>
        <w:rPr>
          <w:rFonts w:eastAsia="Calibri" w:cs="Calibri"/>
          <w:b/>
          <w:bCs/>
          <w:i w:val="false"/>
          <w:iCs w:val="false"/>
          <w:color w:val="1A1A1A"/>
          <w:sz w:val="21"/>
          <w:szCs w:val="21"/>
        </w:rPr>
        <w:t xml:space="preserve">Statement of rights — </w:t>
      </w:r>
      <w:r>
        <w:rPr>
          <w:rFonts w:eastAsia="Calibri" w:cs="Calibri"/>
          <w:b w:val="false"/>
          <w:bCs w:val="false"/>
          <w:i w:val="false"/>
          <w:iCs w:val="false"/>
          <w:color w:val="1A1A1A"/>
          <w:sz w:val="21"/>
          <w:szCs w:val="21"/>
        </w:rPr>
        <w:t>the written statement of the client’s rights and responsibilities the agency gives and explains at the start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gives each client, and explains in a manner the client understands, a written statement of the client’s rights and responsibilities at the start of care. Clients have the right to be treated with consideration, respect, and dignity; to be free from abuse, neglect, exploitation, and mistreatment; to privacy and confidentiality; to be informed of the services to be provided, the service plan, and any charges; to participate in planning their care and to refuse services; to voice complaints without reprisal; and to be informed of how to contact the agency and, for Medicaid members, their ALTCS case manager and health plan.</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the statement in a form the client can understand, accommodates communication needs, and honors the role of a client’s representative or health care decision maker where one exists. The agency does not retaliate against a client who exercises a right and treats a pattern of rights complaints as a quality signal to investigate and correct.</w:t>
      </w:r>
    </w:p>
    <w:p>
      <w:pPr>
        <w:pStyle w:val="Normal"/>
        <w:spacing w:lineRule="exact" w:line="276" w:before="0" w:after="120"/>
        <w:jc w:val="start"/>
        <w:rPr/>
      </w:pPr>
      <w:r>
        <w:rPr>
          <w:rFonts w:eastAsia="Calibri" w:cs="Calibri"/>
          <w:b w:val="false"/>
          <w:bCs w:val="false"/>
          <w:i w:val="false"/>
          <w:iCs w:val="false"/>
          <w:color w:val="1A1A1A"/>
          <w:sz w:val="21"/>
          <w:szCs w:val="21"/>
        </w:rPr>
        <w:t>Caregivers and office staff are trained on client rights and on their duty to honor them, and the agency obtains the client’s or representative’s acknowledgment of receipt.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and explain the written statement of client rights and responsibilities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the statement in a form the client understands and accommodate communication needs.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Inform Medicaid members how to reach their ALTCS case manager and health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Honor the role of a client’s representative or health care decision maker.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Obtain the client’s or representative’s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caregivers and office staff on client rights.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retaliate against a client who exercises a right; investigate patterns of rights complaints.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Responsibilities · Acknowledgment of Receipt · Rights Complaint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Service Agreement and Disclosures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and Disclosures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has a clear written agreement describing the services, schedule, and charges before care begins, so expectations are shared and billing is honest.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describing services, schedule, charges, and the terms of the relationship.</w:t>
      </w:r>
    </w:p>
    <w:p>
      <w:pPr>
        <w:pStyle w:val="Normal"/>
        <w:spacing w:lineRule="exact" w:line="276" w:before="0" w:after="70"/>
        <w:rPr/>
      </w:pPr>
      <w:r>
        <w:rPr>
          <w:rFonts w:eastAsia="Calibri" w:cs="Calibri"/>
          <w:b/>
          <w:bCs/>
          <w:i w:val="false"/>
          <w:iCs w:val="false"/>
          <w:color w:val="1A1A1A"/>
          <w:sz w:val="21"/>
          <w:szCs w:val="21"/>
        </w:rPr>
        <w:t xml:space="preserve">Disclosure — </w:t>
      </w:r>
      <w:r>
        <w:rPr>
          <w:rFonts w:eastAsia="Calibri" w:cs="Calibri"/>
          <w:b w:val="false"/>
          <w:bCs w:val="false"/>
          <w:i w:val="false"/>
          <w:iCs w:val="false"/>
          <w:color w:val="1A1A1A"/>
          <w:sz w:val="21"/>
          <w:szCs w:val="21"/>
        </w:rPr>
        <w:t>the information the agency gives the client about services, charges, rights, and the complaint process at the start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enters a written service agreement with each client (or representative) at the start of care that describes the services to be provided, their frequency and schedule, the charges and payment terms, and the client’s rights and the complaint process. The client receives a copy. The agency bills only for services actually provided and does not misrepresent what a payer covers.</w:t>
      </w:r>
    </w:p>
    <w:p>
      <w:pPr>
        <w:pStyle w:val="Normal"/>
        <w:spacing w:lineRule="exact" w:line="276" w:before="0" w:after="120"/>
        <w:jc w:val="start"/>
        <w:rPr/>
      </w:pPr>
      <w:r>
        <w:rPr>
          <w:rFonts w:eastAsia="Calibri" w:cs="Calibri"/>
          <w:b w:val="false"/>
          <w:bCs w:val="false"/>
          <w:i w:val="false"/>
          <w:iCs w:val="false"/>
          <w:color w:val="1A1A1A"/>
          <w:sz w:val="21"/>
          <w:szCs w:val="21"/>
        </w:rPr>
        <w:t>The agency discloses, in plain language, who pays for the services and what the client is responsible for. Where services are funded by ALTCS, the agency explains that they are provided under the member’s Person-Centered Service Plan and the health plan’s authorization, at no charge to the member for covered services, and it coordinates with the ALTCS case manager. For private-pay clients, the agency states its rates clearly.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service agreement, disclosures, and charges are accurate and current, that any change in services or charges is communicated to and acknowledged by the client, and that the agreement never claims the manual or its forms are “ready to submit” without the client’s own review and adaptation.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Enter a written service agreement with each client at the start of care and give the client a copy.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State services, frequency, schedule, charges, payment terms, rights, and the complaint process.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Disclose who pays and what the client is responsible for in plain language.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ALTCS members, follow the PCSP and health-plan authorization and coordinate with the case manager.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State private-pay rates clearly and bill only for services actually provided.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Communicate and obtain acknowledgment of any change in services or charges.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signed agreement and disclosures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&amp; Schedule of Charges · Payment &amp; Coverage Disclosure · Change-of-Service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Acceptance, Assessment and the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Assessment and the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(PCSP);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clients it can safely serve and develops a written service plan that guides every visit, aligned with the ALTCS Person-Centered Service Plan for Medicaid members.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Assessment — </w:t>
      </w:r>
      <w:r>
        <w:rPr>
          <w:rFonts w:eastAsia="Calibri" w:cs="Calibri"/>
          <w:b w:val="false"/>
          <w:bCs w:val="false"/>
          <w:i w:val="false"/>
          <w:iCs w:val="false"/>
          <w:color w:val="1A1A1A"/>
          <w:sz w:val="21"/>
          <w:szCs w:val="21"/>
        </w:rPr>
        <w:t>the supervisor’s evaluation of the client’s needs, home environment, and preferences used to determine appropriateness and to build the service plan.</w:t>
      </w:r>
    </w:p>
    <w:p>
      <w:pPr>
        <w:pStyle w:val="Normal"/>
        <w:spacing w:lineRule="exact" w:line="276" w:before="0" w:after="70"/>
        <w:rPr/>
      </w:pPr>
      <w:r>
        <w:rPr>
          <w:rFonts w:eastAsia="Calibri" w:cs="Calibri"/>
          <w:b/>
          <w:bCs/>
          <w:i w:val="false"/>
          <w:iCs w:val="false"/>
          <w:color w:val="1A1A1A"/>
          <w:sz w:val="21"/>
          <w:szCs w:val="21"/>
        </w:rPr>
        <w:t xml:space="preserve">Person-Centered Service Plan (PCSP) — </w:t>
      </w:r>
      <w:r>
        <w:rPr>
          <w:rFonts w:eastAsia="Calibri" w:cs="Calibri"/>
          <w:b w:val="false"/>
          <w:bCs w:val="false"/>
          <w:i w:val="false"/>
          <w:iCs w:val="false"/>
          <w:color w:val="1A1A1A"/>
          <w:sz w:val="21"/>
          <w:szCs w:val="21"/>
        </w:rPr>
        <w:t>the ALTCS plan, developed with the case manager, that authorizes and describes an ALTCS member’s services — which the agency’s service plan must follow.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 client only when it can meet the client’s needs within its non-medical scope with competent staff. The supervisor assesses the client’s needs, home environment, and preferences and develops a written service plan describing the services to be provided, their type and frequency, and any special instructions. For ALTCS members, the agency’s service plan follows the member’s Person-Centered Service Plan and the health plan’s authorization, and the agency coordinates with the case manager.</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specific to the client, drives the caregiver’s assignment, is reviewed with the assigned caregiver before services begin, and is reviewed on schedule and whenever the client’s condition changes. Caregivers follow the plan and do not add or drop tasks on their own; changes go through the supervisor. The agency does not accept or keep a client whose needs exceed non-medical care, and refers such a client appropriately.</w:t>
      </w:r>
    </w:p>
    <w:p>
      <w:pPr>
        <w:pStyle w:val="Normal"/>
        <w:spacing w:lineRule="exact" w:line="276" w:before="0" w:after="120"/>
        <w:jc w:val="start"/>
        <w:rPr/>
      </w:pPr>
      <w:r>
        <w:rPr>
          <w:rFonts w:eastAsia="Calibri" w:cs="Calibri"/>
          <w:b w:val="false"/>
          <w:bCs w:val="false"/>
          <w:i w:val="false"/>
          <w:iCs w:val="false"/>
          <w:color w:val="1A1A1A"/>
          <w:sz w:val="21"/>
          <w:szCs w:val="21"/>
        </w:rPr>
        <w:t>The supervisor ensures assessments and service plans are completed, current, and matched to the client’s condition, and that each caregiver assigned is competent for the tasks the plan requires. The agency keeps the assessment and service plan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Accept a client only when the agency can meet the client’s needs within non-medical scope with competent staff.</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the supervisor assess the client’s needs, home,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Develop a written service plan (type, frequency, special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ALTCS members, follow the PCSP and health-plan authorization and coordinate with the case manager.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the plan with the assigned caregiver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the service plan on schedule and on any change in condition; route changes through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Refer clients whose needs exceed non-medical care appropriately; keep assessment and plan current.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Assessment · Service Plan · Service-Plan Review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Client Complaints and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Complaints and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member grievance rights;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and have them resolved without reprisal, and to use complaints to improve care, while informing Medicaid members of their health-plan grievance rights.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Complaint / grievance — </w:t>
      </w:r>
      <w:r>
        <w:rPr>
          <w:rFonts w:eastAsia="Calibri" w:cs="Calibri"/>
          <w:b w:val="false"/>
          <w:bCs w:val="false"/>
          <w:i w:val="false"/>
          <w:iCs w:val="false"/>
          <w:color w:val="1A1A1A"/>
          <w:sz w:val="21"/>
          <w:szCs w:val="21"/>
        </w:rPr>
        <w:t>any expression of dissatisfaction with the agency’s services, staff, or conduct by a client or representative.</w:t>
      </w:r>
    </w:p>
    <w:p>
      <w:pPr>
        <w:pStyle w:val="Normal"/>
        <w:spacing w:lineRule="exact" w:line="276" w:before="0" w:after="70"/>
        <w:rPr/>
      </w:pPr>
      <w:r>
        <w:rPr>
          <w:rFonts w:eastAsia="Calibri" w:cs="Calibri"/>
          <w:b/>
          <w:bCs/>
          <w:i w:val="false"/>
          <w:iCs w:val="false"/>
          <w:color w:val="1A1A1A"/>
          <w:sz w:val="21"/>
          <w:szCs w:val="21"/>
        </w:rPr>
        <w:t xml:space="preserve">Health-plan grievance — </w:t>
      </w:r>
      <w:r>
        <w:rPr>
          <w:rFonts w:eastAsia="Calibri" w:cs="Calibri"/>
          <w:b w:val="false"/>
          <w:bCs w:val="false"/>
          <w:i w:val="false"/>
          <w:iCs w:val="false"/>
          <w:color w:val="1A1A1A"/>
          <w:sz w:val="21"/>
          <w:szCs w:val="21"/>
        </w:rPr>
        <w:t>the grievance and appeal process an ALTCS member may pursue through their health plan and AHCCCS.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complaint-handling procedures that log the receipt, investigation, and resolution of complaints. The client or representative receives a copy of the complaint procedures at the start of service, together with the name and telephone number of the agency’s complaint contact, and — for ALTCS members — information on the health plan and AHCCCS grievance and appeal process, so the client can also raise a concern with the payer.</w:t>
      </w:r>
    </w:p>
    <w:p>
      <w:pPr>
        <w:pStyle w:val="Normal"/>
        <w:spacing w:lineRule="exact" w:line="276" w:before="0" w:after="120"/>
        <w:jc w:val="start"/>
        <w:rPr/>
      </w:pPr>
      <w:r>
        <w:rPr>
          <w:rFonts w:eastAsia="Calibri" w:cs="Calibri"/>
          <w:b w:val="false"/>
          <w:bCs w:val="false"/>
          <w:i w:val="false"/>
          <w:iCs w:val="false"/>
          <w:color w:val="1A1A1A"/>
          <w:sz w:val="21"/>
          <w:szCs w:val="21"/>
        </w:rPr>
        <w:t>The agency records each complaint, investigates it, takes corrective action where warranted, and notifies the complainant of the proposed resolution within a reasonable time. Complaints and resolutions are reviewed through the agency’s quality process so patterns are identified and fixed. Serious complaints — those alleging abuse, neglect, or a threat to health or safety — are handled immediately and reported as law requires. The agency never discourages, delays, or retaliates against a client for complaining.</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staff know how to receive and route a complaint, that no complaint is ignored, and that the agency’s response protects the client’s dignity and continued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complaint-handling procedures that log receipt, investigation, and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each client the complaint procedures and, for ALTCS members, the health-plan/AHCCCS grievance process.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Record and investigate each complaint and notify the complainant of the resolution within a reasonable time.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complaints alleging abuse, neglect, or a safety threat immediately and report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complaints and resolutions through the quality process to fix patterns.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Never discourage, delay, or retaliate against a client for complaining.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Complaint / Grievance Form &amp; Log · Complaint Investigation Record · Quality Review of Complaints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Confidentiality and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&amp; 164 (HIPAA); AHCCCS privacy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client information in every setting, so clients’ privacy is respected and the agency meets its legal obligations.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the agency creates or receives, in any form.</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principle of using or disclosing only the least PHI needed for the purpose.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of client information under HIPAA and Arizona law. The agency uses and discloses protected health information only as permitted — for treatment, payment, and health care operations, and as law otherwise allows or requires — and follows the minimum-necessary principle. Clients receive the agency’s notice of privacy practices, and identifiable client information is never posted on social media or shared with anyone not authorized to receive it.</w:t>
      </w:r>
    </w:p>
    <w:p>
      <w:pPr>
        <w:pStyle w:val="Normal"/>
        <w:spacing w:lineRule="exact" w:line="276" w:before="0" w:after="120"/>
        <w:jc w:val="start"/>
        <w:rPr/>
      </w:pPr>
      <w:r>
        <w:rPr>
          <w:rFonts w:eastAsia="Calibri" w:cs="Calibri"/>
          <w:b w:val="false"/>
          <w:bCs w:val="false"/>
          <w:i w:val="false"/>
          <w:iCs w:val="false"/>
          <w:color w:val="1A1A1A"/>
          <w:sz w:val="21"/>
          <w:szCs w:val="21"/>
        </w:rPr>
        <w:t>Caregivers and office staff are trained that what they see and hear in a client’s home is confidential; that records, schedules, and devices are kept secure; and that a client’s information is not discussed in public, with family or friends, or with other clients. The agency maintains an organized system to protect the confidentiality of client and personnel records, controls access by role, and uses reasonable safeguards for any device or system that holds client information, including its EVV system.</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a suspected breach by containing it, assessing it, notifying as HIPAA and Arizona law require, and correcting the cause, and it puts business associates that handle client information under written agreements.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PHI only as permitted, following the minimum-necessary principle.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each client the notice of privacy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caregivers and office staff that all client information is confidential in every setting.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Secure paper, electronic, and EVV records and control access by role.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post or share identifiable client information on social media or with unauthorized persons.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Put business associates that handle PHI under written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Contain, assess, notify, and correct any suspected breach as HIPAA and Arizona law require.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Acknowledgment · Notice of Privacy Practices · Breach Response &amp; Notification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Acceptance Limits, Transfer and Termination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Limits, Transfer and Termination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continuity requirements;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begin and end appropriately — with reasonable notice and safe transition — so clients are never abandoned and continuity of care is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Termination of services — </w:t>
      </w:r>
      <w:r>
        <w:rPr>
          <w:rFonts w:eastAsia="Calibri" w:cs="Calibri"/>
          <w:b w:val="false"/>
          <w:bCs w:val="false"/>
          <w:i w:val="false"/>
          <w:iCs w:val="false"/>
          <w:color w:val="1A1A1A"/>
          <w:sz w:val="21"/>
          <w:szCs w:val="21"/>
        </w:rPr>
        <w:t>the agency’s ending of services to a client for a defined, permissible reason and with appropriate notice.</w:t>
      </w:r>
    </w:p>
    <w:p>
      <w:pPr>
        <w:pStyle w:val="Normal"/>
        <w:spacing w:lineRule="exact" w:line="276" w:before="0" w:after="70"/>
        <w:rPr/>
      </w:pPr>
      <w:r>
        <w:rPr>
          <w:rFonts w:eastAsia="Calibri" w:cs="Calibri"/>
          <w:b/>
          <w:bCs/>
          <w:i w:val="false"/>
          <w:iCs w:val="false"/>
          <w:color w:val="1A1A1A"/>
          <w:sz w:val="21"/>
          <w:szCs w:val="21"/>
        </w:rPr>
        <w:t xml:space="preserve">Transfer / referral — </w:t>
      </w:r>
      <w:r>
        <w:rPr>
          <w:rFonts w:eastAsia="Calibri" w:cs="Calibri"/>
          <w:b w:val="false"/>
          <w:bCs w:val="false"/>
          <w:i w:val="false"/>
          <w:iCs w:val="false"/>
          <w:color w:val="1A1A1A"/>
          <w:sz w:val="21"/>
          <w:szCs w:val="21"/>
        </w:rPr>
        <w:t>arranging a client’s move to a more appropriate provider or level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services as long as the client needs and accepts them and the agency can safely provide them. The agency ends services only for defined, permissible reasons — for example, the client no longer needs or wants the services; the client’s needs exceed non-medical care; the payer ends authorization; or the safety of staff cannot be assured — and it does so with reasonable advance notice and help transitioning to another provider where the client still needs care.</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non-medical care, the agency arranges referral or transfer to a licensed home health agency, physician, or other appropriate provider and, for ALTCS members, coordinates with the case manager so care is not interrupted. The agency never ends services as retaliation for a complaint or the exercise of a right, and it documents the reason, the notice given, and the transition arranged.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supervisor review acceptance limits and terminations to confirm they are appropriate and safe, keep the client and any representative informed, and coordinate any change with the ALTCS case manager where one controls the client’s services.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services while the client needs and accepts them and the agency can safely provide them.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End services only for defined, permissible reasons and with reasonable advance notice.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Arrange referral or transfer to an appropriate provider when a client’s needs exceed non-medical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transitions with the ALTCS case manager so care is not interrupted.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terminate services as retaliation for a complaint or the exercise of a right.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reason for termination, the notice given, and the transition arranged.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client and representative informed throughout.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Acceptance, Transfer &amp; Termination Record · Referral / Transition Log · Notice of 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CAREGIVER SCREENING, QUALIFICATIONS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spacing w:lineRule="exact" w:line="276" w:before="0" w:after="120"/>
        <w:jc w:val="start"/>
        <w:rPr/>
      </w:pPr>
      <w:r>
        <w:rPr>
          <w:rFonts w:eastAsia="Calibri" w:cs="Calibri"/>
          <w:b w:val="false"/>
          <w:bCs w:val="false"/>
          <w:i/>
          <w:iCs/>
          <w:color w:val="555555"/>
          <w:sz w:val="20"/>
          <w:szCs w:val="20"/>
        </w:rPr>
        <w:t>This section governs who the agency hires and how it prepares them: caregiver qualifications and personnel records; Arizona’s Level One Fingerprint Clearance Card and the Adult Protective Services and Department of Child Safety registry checks; federal and state exclusion screening; the Direct Care Worker training, testing, and competency Arizona requires to serve Medicaid members; health screening; and caregiver conduct and driver verification.</w:t>
      </w:r>
    </w:p>
    <w:p>
      <w:pPr>
        <w:pStyle w:val="Normal"/>
        <w:keepNext w:val="true"/>
        <w:spacing w:before="240" w:after="100"/>
        <w:rPr/>
      </w:pPr>
      <w:r>
        <w:rPr>
          <w:rFonts w:eastAsia="Calibri" w:cs="Calibri"/>
          <w:b/>
          <w:bCs/>
          <w:i w:val="false"/>
          <w:iCs w:val="false"/>
          <w:color w:val="1F3A5F"/>
          <w:sz w:val="24"/>
          <w:szCs w:val="24"/>
        </w:rPr>
        <w:t>Policy 3.1 — Caregiver Qualifications and Personnel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Qualifications and Personnel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caregiver is qualified for the role and that a complete, confidential personnel record documents their screening, training, and competency before client contact.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worker’s qualifications, screening, health, training, competency, and supervision.</w:t>
      </w:r>
    </w:p>
    <w:p>
      <w:pPr>
        <w:pStyle w:val="Normal"/>
        <w:spacing w:lineRule="exact" w:line="276" w:before="0" w:after="70"/>
        <w:rPr/>
      </w:pPr>
      <w:r>
        <w:rPr>
          <w:rFonts w:eastAsia="Calibri" w:cs="Calibri"/>
          <w:b/>
          <w:bCs/>
          <w:i w:val="false"/>
          <w:iCs w:val="false"/>
          <w:color w:val="1A1A1A"/>
          <w:sz w:val="21"/>
          <w:szCs w:val="21"/>
        </w:rPr>
        <w:t xml:space="preserve">Direct care worker (DCW) — </w:t>
      </w:r>
      <w:r>
        <w:rPr>
          <w:rFonts w:eastAsia="Calibri" w:cs="Calibri"/>
          <w:b w:val="false"/>
          <w:bCs w:val="false"/>
          <w:i w:val="false"/>
          <w:iCs w:val="false"/>
          <w:color w:val="1A1A1A"/>
          <w:sz w:val="21"/>
          <w:szCs w:val="21"/>
        </w:rPr>
        <w:t>a caregiver who provides hands-on personal care, attendant care, or homemaker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qualified caregivers and maintains a confidential personnel record for every employee and contractor. Before a caregiver has direct contact with a client, the record documents the worker’s identity and authorization to work, a valid Arizona Level One Fingerprint Clearance Card (or documented interim status as this manual allows), the completed APS and DCS registry checks, exclusion screening, health screening, and — for direct care workers serving Medicaid members — the required training, testing, and demonstrated competency.</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credentials before hire, makes reasonable efforts to secure job-related references and verify employment history, keeps records current, and does not assign a caregiver to a client until every prerequisite is complete and documented. Personnel records are kept secure and confidential, health-related information is maintained separately, and each record is retained for the period Arizona and AHCCCS require.</w:t>
      </w:r>
    </w:p>
    <w:p>
      <w:pPr>
        <w:pStyle w:val="Normal"/>
        <w:spacing w:lineRule="exact" w:line="276" w:before="0" w:after="120"/>
        <w:jc w:val="start"/>
        <w:rPr/>
      </w:pPr>
      <w:r>
        <w:rPr>
          <w:rFonts w:eastAsia="Calibri" w:cs="Calibri"/>
          <w:b w:val="false"/>
          <w:bCs w:val="false"/>
          <w:i w:val="false"/>
          <w:iCs w:val="false"/>
          <w:color w:val="1A1A1A"/>
          <w:sz w:val="21"/>
          <w:szCs w:val="21"/>
        </w:rPr>
        <w:t>The agency treats an incomplete personnel record as a bar to assignment: a caregiver whose fingerprint clearance, registry checks, health screening, or (for Medicaid) required training is missing is not scheduled with a client until the gap is cured.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personnel record for every employee and contractor.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identity, authorization to work, references, and employment history before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fingerprint clearance card, APS/DCS registry checks, exclusion screening, and health screening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Medicaid direct care workers, document required training, testing, and competency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health-related information separate within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Retain each personnel record for the period Arizona and AHCCCS require.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assign a caregiver to a client until every prerequisite is complete and documented.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Reference &amp; Employment Verification Record · Personnel Record Retention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Fingerprint Clearance Card and Registry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Fingerprint Clearance Card and Registry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A.R.S. § 46-459 (APS Registry); A.R.S. § 8-804 (DCS Registry); A.R.S. Title 41 Ch. 12 Art. 3.1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caregiver is screened through the Arizona fingerprint clearance card and the abuse registries before serving clients, so vulnerable adults are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Level One Fingerprint Clearance Card — </w:t>
      </w:r>
      <w:r>
        <w:rPr>
          <w:rFonts w:eastAsia="Calibri" w:cs="Calibri"/>
          <w:b w:val="false"/>
          <w:bCs w:val="false"/>
          <w:i w:val="false"/>
          <w:iCs w:val="false"/>
          <w:color w:val="1A1A1A"/>
          <w:sz w:val="21"/>
          <w:szCs w:val="21"/>
        </w:rPr>
        <w:t>the card issued by the Arizona Department of Public Safety after a fingerprint-based state and federal criminal background check, held by caregivers who serve vulnerable adults.</w:t>
      </w:r>
    </w:p>
    <w:p>
      <w:pPr>
        <w:pStyle w:val="Normal"/>
        <w:spacing w:lineRule="exact" w:line="276" w:before="0" w:after="70"/>
        <w:rPr/>
      </w:pPr>
      <w:r>
        <w:rPr>
          <w:rFonts w:eastAsia="Calibri" w:cs="Calibri"/>
          <w:b/>
          <w:bCs/>
          <w:i w:val="false"/>
          <w:iCs w:val="false"/>
          <w:color w:val="1A1A1A"/>
          <w:sz w:val="21"/>
          <w:szCs w:val="21"/>
        </w:rPr>
        <w:t xml:space="preserve">APS Registry — </w:t>
      </w:r>
      <w:r>
        <w:rPr>
          <w:rFonts w:eastAsia="Calibri" w:cs="Calibri"/>
          <w:b w:val="false"/>
          <w:bCs w:val="false"/>
          <w:i w:val="false"/>
          <w:iCs w:val="false"/>
          <w:color w:val="1A1A1A"/>
          <w:sz w:val="21"/>
          <w:szCs w:val="21"/>
        </w:rPr>
        <w:t>the Adult Protective Services registry of substantiated findings of abuse, neglect, or exploitation of a vulnerable adult (A.R.S. § 46-459).</w:t>
      </w:r>
    </w:p>
    <w:p>
      <w:pPr>
        <w:pStyle w:val="Normal"/>
        <w:spacing w:lineRule="exact" w:line="276" w:before="0" w:after="70"/>
        <w:rPr/>
      </w:pPr>
      <w:r>
        <w:rPr>
          <w:rFonts w:eastAsia="Calibri" w:cs="Calibri"/>
          <w:b/>
          <w:bCs/>
          <w:i w:val="false"/>
          <w:iCs w:val="false"/>
          <w:color w:val="1A1A1A"/>
          <w:sz w:val="21"/>
          <w:szCs w:val="21"/>
        </w:rPr>
        <w:t xml:space="preserve">DCS Registry — </w:t>
      </w:r>
      <w:r>
        <w:rPr>
          <w:rFonts w:eastAsia="Calibri" w:cs="Calibri"/>
          <w:b w:val="false"/>
          <w:bCs w:val="false"/>
          <w:i w:val="false"/>
          <w:iCs w:val="false"/>
          <w:color w:val="1A1A1A"/>
          <w:sz w:val="21"/>
          <w:szCs w:val="21"/>
        </w:rPr>
        <w:t>the Department of Child Safety central registry of substantiated child abuse or neglect findings (A.R.S. § 8-804).</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every caregiver to hold a valid Arizona Level One Fingerprint Clearance Card, obtained through the Arizona Department of Public Safety, and checks each caregiver against the Adult Protective Services registry and the Department of Child Safety registry before the caregiver serves clients. A caregiver who is precluded from receiving a fingerprint clearance card, or who has a substantiated finding on the APS registry (A.R.S. § 46-459) or the DCS registry (A.R.S. § 8-804), is prohibited from providing services to clients.</w:t>
      </w:r>
    </w:p>
    <w:p>
      <w:pPr>
        <w:pStyle w:val="Normal"/>
        <w:spacing w:lineRule="exact" w:line="276" w:before="0" w:after="120"/>
        <w:jc w:val="start"/>
        <w:rPr/>
      </w:pPr>
      <w:r>
        <w:rPr>
          <w:rFonts w:eastAsia="Calibri" w:cs="Calibri"/>
          <w:b w:val="false"/>
          <w:bCs w:val="false"/>
          <w:i w:val="false"/>
          <w:iCs w:val="false"/>
          <w:color w:val="1A1A1A"/>
          <w:sz w:val="21"/>
          <w:szCs w:val="21"/>
        </w:rPr>
        <w:t>The fingerprint clearance card serves as evidence of the criminal background check, but the agency still performs the APS and DCS registry checks separately — the card alone is not sufficient. The agency keeps a copy of each caregiver’s card and registry-check results in the personnel record, tracks card expiration dates, and requires caregivers to renew before expiration. Where the agency permits a caregiver to begin under an interim or pending status, it does so only as Arizona law and AHCCCS policy allow and with appropriate supervision.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each caregiver’s fingerprint clearance and registry status from application through renewal, ensures no barred or unscreened person serves clients, and keeps the screening records confidential.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a valid Arizona Level One Fingerprint Clearance Card for every caregiver.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Check each caregiver against the APS registry and the DCS registry before service — separately from the card.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allow anyone precluded from a fingerprint clearance card or with a substantiated APS/DCS finding to serve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copies of the card and registry-check results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Track card expiration and require renewal before expiration.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Permit interim/pending status only as Arizona law and AHCCCS policy allow, with appropriate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all screening records confidential.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Fingerprint Clearance Card Record · APS/DCS Registry Check Log · Card Expiration &amp; Renewal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Medicaid and Federal Exclusion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and Federal Exclusion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1001; SSA § 1128; AHCCCS provider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never employs or contracts a person or entity excluded from federal or Arizona health care programs, protecting the agency from serious payment and compliance liability.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Exclusion — </w:t>
      </w:r>
      <w:r>
        <w:rPr>
          <w:rFonts w:eastAsia="Calibri" w:cs="Calibri"/>
          <w:b w:val="false"/>
          <w:bCs w:val="false"/>
          <w:i w:val="false"/>
          <w:iCs w:val="false"/>
          <w:color w:val="1A1A1A"/>
          <w:sz w:val="21"/>
          <w:szCs w:val="21"/>
        </w:rPr>
        <w:t>a federal or state determination barring a person or entity from participating in Medicare, Medicaid (AHCCCS), or other programs.</w:t>
      </w:r>
    </w:p>
    <w:p>
      <w:pPr>
        <w:pStyle w:val="Normal"/>
        <w:spacing w:lineRule="exact" w:line="276" w:before="0" w:after="70"/>
        <w:rPr/>
      </w:pPr>
      <w:r>
        <w:rPr>
          <w:rFonts w:eastAsia="Calibri" w:cs="Calibri"/>
          <w:b/>
          <w:bCs/>
          <w:i w:val="false"/>
          <w:iCs w:val="false"/>
          <w:color w:val="1A1A1A"/>
          <w:sz w:val="21"/>
          <w:szCs w:val="21"/>
        </w:rPr>
        <w:t xml:space="preserve">Exclusion lists — </w:t>
      </w:r>
      <w:r>
        <w:rPr>
          <w:rFonts w:eastAsia="Calibri" w:cs="Calibri"/>
          <w:b w:val="false"/>
          <w:bCs w:val="false"/>
          <w:i w:val="false"/>
          <w:iCs w:val="false"/>
          <w:color w:val="1A1A1A"/>
          <w:sz w:val="21"/>
          <w:szCs w:val="21"/>
        </w:rPr>
        <w:t>the federal OIG List of Excluded Individuals/Entities, the federal SAM exclusions, and the AHCCCS exclusion/terminated-provider list checked by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screens every prospective and current employee, contractor, and vendor against the federal OIG List of Excluded Individuals/Entities, the System for Award Management exclusions, and the AHCCCS exclusion and terminated-provider lists before hire or engagement and monthly thereafter. The agency does not employ, contract with, or pay any excluded person or entity for items or services that are or may be reimbursed by AHCCCS/Medicaid or another federal or state health care program.</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screening — who was checked, against which lists, on what date, and the result — and keeps the record for the period required. A confirmed exclusion results in immediate removal from any role connected to publicly funded services, and the agency assesses and repays any amounts implicated.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(or compliance officer) owns the screening schedule, ensures no gap in monthly checks, and integrates exclusion screening with hiring and vendor onboarding so no one begins work before clearance.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every employee, contractor, and vendor against OIG-LEIE, SAM, and AHCCCS exclusion lists before hire or engagement.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Re-screen all active workers and vendors monthly.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contract with, or pay any excluded person or entity for program-reimbursed items or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each screening (who, which lists, date, result) and retain the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Remove any confirmed excluded person from program-connected roles immediately and assess repayment.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Integrate exclusion screening with hiring and vendor onboarding so no one starts before clearance.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Exclusion Screening Log · Monthly Re-Screen Record · Exclusion Finding &amp; Remediation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Direct Care Worker Training, Testing and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Direct Care Worker Training, Testing and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ACOM Policy 429 (DCW Training &amp; Testing)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direct care worker serving Medicaid members meets Arizona’s Direct Care Worker training, testing, and competency standards, so clients receive competent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DCW training and testing — </w:t>
      </w:r>
      <w:r>
        <w:rPr>
          <w:rFonts w:eastAsia="Calibri" w:cs="Calibri"/>
          <w:b w:val="false"/>
          <w:bCs w:val="false"/>
          <w:i w:val="false"/>
          <w:iCs w:val="false"/>
          <w:color w:val="1A1A1A"/>
          <w:sz w:val="21"/>
          <w:szCs w:val="21"/>
        </w:rPr>
        <w:t>Arizona’s standardized Direct Care Worker curriculum (Principles of Caregiving) and competency tests — fundamentals plus the Aging and Physical Disabilities module — required for direct care workers who serve ALTCS members.</w:t>
      </w:r>
    </w:p>
    <w:p>
      <w:pPr>
        <w:pStyle w:val="Normal"/>
        <w:spacing w:lineRule="exact" w:line="276" w:before="0" w:after="70"/>
        <w:rPr/>
      </w:pPr>
      <w:r>
        <w:rPr>
          <w:rFonts w:eastAsia="Calibri" w:cs="Calibri"/>
          <w:b/>
          <w:bCs/>
          <w:i w:val="false"/>
          <w:iCs w:val="false"/>
          <w:color w:val="1A1A1A"/>
          <w:sz w:val="21"/>
          <w:szCs w:val="21"/>
        </w:rPr>
        <w:t xml:space="preserve">Approved Training and Testing Program — </w:t>
      </w:r>
      <w:r>
        <w:rPr>
          <w:rFonts w:eastAsia="Calibri" w:cs="Calibri"/>
          <w:b w:val="false"/>
          <w:bCs w:val="false"/>
          <w:i w:val="false"/>
          <w:iCs w:val="false"/>
          <w:color w:val="1A1A1A"/>
          <w:sz w:val="21"/>
          <w:szCs w:val="21"/>
        </w:rPr>
        <w:t>an AHCCCS-approved program that trains and tests direct care workers; an agency may become one or delegate to another.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that every direct care worker who provides attendant care, personal care, or homemaker services to ALTCS members has passed the required competency tests within ninety days of hire, using Arizona’s standardized Direct Care Worker curriculum — the Principles of Caregiving fundamentals plus the Aging and Physical Disabilities module — delivered and tested through an AHCCCS Approved Training and Testing Program (which the agency either becomes or delegates to by agreement). Each direct care worker also holds current CPR and first aid certification.</w:t>
      </w:r>
    </w:p>
    <w:p>
      <w:pPr>
        <w:pStyle w:val="Normal"/>
        <w:spacing w:lineRule="exact" w:line="276" w:before="0" w:after="120"/>
        <w:jc w:val="start"/>
        <w:rPr/>
      </w:pPr>
      <w:r>
        <w:rPr>
          <w:rFonts w:eastAsia="Calibri" w:cs="Calibri"/>
          <w:b w:val="false"/>
          <w:bCs w:val="false"/>
          <w:i w:val="false"/>
          <w:iCs w:val="false"/>
          <w:color w:val="1A1A1A"/>
          <w:sz w:val="21"/>
          <w:szCs w:val="21"/>
        </w:rPr>
        <w:t>Direct care workers who are registered nurses, licensed practical nurses, or certified nursing assistants with current Arizona credentials, or assisted living facility caregivers who completed an approved program, are exempt from the DCW test as Arizona provides. Testing records are portable between employers; the agency verifies a transferring worker’s record through the AHCCCS DCW testing database and does not require re-testing unless the worker has a lapse of at least two years from the field. The agency also provides continuing education, including the annual continuing-education hours attendant-care providers must complete and the required fraud, waste, and abuse training, and documents all training and testing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For private-pay clients not covered by AHCCCS, the agency still orients and competency-evaluates every caregiver before independent assignment and holds them to the same standard of skill and conduct. The supervisor verifies competency before independent assignment and retrains or reassigns any caregiver who does not meet standard.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Ensure every ALTCS direct care worker passes the required competency tests within 90 days of hire.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the Principles of Caregiving curriculum (fundamentals + Aging and Physical Disabilities) through an AHCCCS Approved Training and Testing Program.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current CPR and first aid certification.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Apply exemptions (RN, LPN, CNA, approved ALF caregiver) as Arizona provides; verify transfer records in the AHCCCS DCW database.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required continuing education and fraud, waste, and abuse training.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Orient and competency-evaluate every caregiver — including for private-pay clients — before independent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all training, testing, and competency in the personnel record; retrain or reassign as needed.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DCW Training &amp; Testing Record · CPR/First Aid &amp; CEU Log · Competency Evaluation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Health Screening and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Screening and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OSHA 29 CFR 1910.1030;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caregiver is able to provide care and free of communicable conditions that could endanger clients, protecting clients and workers.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Health screening — </w:t>
      </w:r>
      <w:r>
        <w:rPr>
          <w:rFonts w:eastAsia="Calibri" w:cs="Calibri"/>
          <w:b w:val="false"/>
          <w:bCs w:val="false"/>
          <w:i w:val="false"/>
          <w:iCs w:val="false"/>
          <w:color w:val="1A1A1A"/>
          <w:sz w:val="21"/>
          <w:szCs w:val="21"/>
        </w:rPr>
        <w:t>the evaluation, consistent with agency policy and public-health guidance, confirming a worker is able to perform the duties of the position and free of endangering communicable conditions.</w:t>
      </w:r>
    </w:p>
    <w:p>
      <w:pPr>
        <w:pStyle w:val="Normal"/>
        <w:spacing w:lineRule="exact" w:line="276" w:before="0" w:after="70"/>
        <w:rPr/>
      </w:pPr>
      <w:r>
        <w:rPr>
          <w:rFonts w:eastAsia="Calibri" w:cs="Calibri"/>
          <w:b/>
          <w:bCs/>
          <w:i w:val="false"/>
          <w:iCs w:val="false"/>
          <w:color w:val="1A1A1A"/>
          <w:sz w:val="21"/>
          <w:szCs w:val="21"/>
        </w:rPr>
        <w:t xml:space="preserve">Communicable condition — </w:t>
      </w:r>
      <w:r>
        <w:rPr>
          <w:rFonts w:eastAsia="Calibri" w:cs="Calibri"/>
          <w:b w:val="false"/>
          <w:bCs w:val="false"/>
          <w:i w:val="false"/>
          <w:iCs w:val="false"/>
          <w:color w:val="1A1A1A"/>
          <w:sz w:val="21"/>
          <w:szCs w:val="21"/>
        </w:rPr>
        <w:t>an illness that could be transmitted to clients and that keeps a worker off assignment until cleared.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confirms, before assigning a caregiver to a client, that the caregiver has had the health screening the position and current public-health guidance require, including tuberculosis screening where indicated, with results documented and kept separately within the personnel file. A caregiver with a communicable condition that could endanger clients does not provide care until cleared.</w:t>
      </w:r>
    </w:p>
    <w:p>
      <w:pPr>
        <w:pStyle w:val="Normal"/>
        <w:spacing w:lineRule="exact" w:line="276" w:before="0" w:after="120"/>
        <w:jc w:val="start"/>
        <w:rPr/>
      </w:pPr>
      <w:r>
        <w:rPr>
          <w:rFonts w:eastAsia="Calibri" w:cs="Calibri"/>
          <w:b w:val="false"/>
          <w:bCs w:val="false"/>
          <w:i w:val="false"/>
          <w:iCs w:val="false"/>
          <w:color w:val="1A1A1A"/>
          <w:sz w:val="21"/>
          <w:szCs w:val="21"/>
        </w:rPr>
        <w:t>The agency follows current public-health guidance on the timing and content of health screening, updates screening as guidance and each worker’s circumstances require, keeps health information confidential, and requires caregivers to report exposures and possible infections. The agency does not assign a caregiver whose health clearance is missing.</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health-screening currency for every active caregiver, schedules follow-up where indicated, and ensures no caregiver provides care while a communicable condition or a missing clearance would put clients at risk.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each caregiver’s health screening (including TB screening where indicated) before client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current public-health guidance on the timing and content of health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caregiver with an endangering communicable condition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health information confidential and separate within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caregivers to report exposures and possible infections.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health-screening currency for every active caregiver and schedule follow-up.</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assign any caregiver whose health clearance is missing.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Screening &amp; TB Record · Communicable-Condition Clearance Log · Health-Clearance Currency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Caregiver Conduct, Driver Verification and Fitness for Duty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Conduct, Driver Verification and Fitness for Duty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provider standards; Arizona motor vehicle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set the standards of conduct and fitness caregivers must meet and to verify driving credentials where transporting clients is part of the job, so clients are safe and well served.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Fitness for duty — </w:t>
      </w:r>
      <w:r>
        <w:rPr>
          <w:rFonts w:eastAsia="Calibri" w:cs="Calibri"/>
          <w:b w:val="false"/>
          <w:bCs w:val="false"/>
          <w:i w:val="false"/>
          <w:iCs w:val="false"/>
          <w:color w:val="1A1A1A"/>
          <w:sz w:val="21"/>
          <w:szCs w:val="21"/>
        </w:rPr>
        <w:t>a caregiver’s ability to perform assigned duties safely, unimpaired, and consistent with agency standards.</w:t>
      </w:r>
    </w:p>
    <w:p>
      <w:pPr>
        <w:pStyle w:val="Normal"/>
        <w:spacing w:lineRule="exact" w:line="276" w:before="0" w:after="70"/>
        <w:rPr/>
      </w:pPr>
      <w:r>
        <w:rPr>
          <w:rFonts w:eastAsia="Calibri" w:cs="Calibri"/>
          <w:b/>
          <w:bCs/>
          <w:i w:val="false"/>
          <w:iCs w:val="false"/>
          <w:color w:val="1A1A1A"/>
          <w:sz w:val="21"/>
          <w:szCs w:val="21"/>
        </w:rPr>
        <w:t xml:space="preserve">Driving-record verification — </w:t>
      </w:r>
      <w:r>
        <w:rPr>
          <w:rFonts w:eastAsia="Calibri" w:cs="Calibri"/>
          <w:b w:val="false"/>
          <w:bCs w:val="false"/>
          <w:i w:val="false"/>
          <w:iCs w:val="false"/>
          <w:color w:val="1A1A1A"/>
          <w:sz w:val="21"/>
          <w:szCs w:val="21"/>
        </w:rPr>
        <w:t>confirmation of a valid license, insurance, and acceptable driving record where transportation is a duty.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holds caregivers to clear standards of conduct: honesty, respect for clients’ dignity, privacy, and property; adherence to the service plan and the non-medical scope; punctuality and reliability; and freedom from impairment on duty. Caregivers do not accept gifts, tips, loans, or bequests; do not borrow from or lend to clients; and do not involve clients in personal matters. Violations are addressed through supervision and, where warranted, discipline.</w:t>
      </w:r>
    </w:p>
    <w:p>
      <w:pPr>
        <w:pStyle w:val="Normal"/>
        <w:spacing w:lineRule="exact" w:line="276" w:before="0" w:after="120"/>
        <w:jc w:val="start"/>
        <w:rPr/>
      </w:pPr>
      <w:r>
        <w:rPr>
          <w:rFonts w:eastAsia="Calibri" w:cs="Calibri"/>
          <w:b w:val="false"/>
          <w:bCs w:val="false"/>
          <w:i w:val="false"/>
          <w:iCs w:val="false"/>
          <w:color w:val="1A1A1A"/>
          <w:sz w:val="21"/>
          <w:szCs w:val="21"/>
        </w:rPr>
        <w:t>Where transporting a client is part of a caregiver’s duties — including attendant care that accompanies a member into the community — the agency verifies a valid driver’s license, current insurance, and an acceptable driving record before the caregiver transports anyone, and re-verifies on a schedule. The agency does not assign transportation to a caregiver who lacks a valid license or whose record is unacceptable, and requires seat belts and safe practices whenever a client is transported.</w:t>
      </w:r>
    </w:p>
    <w:p>
      <w:pPr>
        <w:pStyle w:val="Normal"/>
        <w:spacing w:lineRule="exact" w:line="276" w:before="0" w:after="120"/>
        <w:jc w:val="start"/>
        <w:rPr/>
      </w:pPr>
      <w:r>
        <w:rPr>
          <w:rFonts w:eastAsia="Calibri" w:cs="Calibri"/>
          <w:b w:val="false"/>
          <w:bCs w:val="false"/>
          <w:i w:val="false"/>
          <w:iCs w:val="false"/>
          <w:color w:val="1A1A1A"/>
          <w:sz w:val="21"/>
          <w:szCs w:val="21"/>
        </w:rPr>
        <w:t>The supervisor and Administrator monitor caregiver conduct and fitness through supervisory visits, client feedback, and incident review, act promptly on any concern about impairment or misconduct, remove a caregiver from client contact where safety requires it, and document conduct issues and the actions taken.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Set and communicate standards of caregiver conduct, fitness for duty, and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gifts, tips, loans, bequests, and personal financial entanglement with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a valid license, insurance, and acceptable driving record before a caregiver transports a client, and re-verify on schedule.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assign transportation to a caregiver without a valid license or with an unacceptable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seat belts and safe practices whenever a client is transported.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conduct and fitness through supervision, client feedback, and incident review.</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Act promptly on impairment or misconduct, remove from client contact where safety requires, and document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Conduct &amp; Fitness Standards Acknowledgment · Driving-Record Verification Record · Conduct/Discipline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spacing w:lineRule="exact" w:line="276" w:before="0" w:after="120"/>
        <w:jc w:val="start"/>
        <w:rPr/>
      </w:pPr>
      <w:r>
        <w:rPr>
          <w:rFonts w:eastAsia="Calibri" w:cs="Calibri"/>
          <w:b w:val="false"/>
          <w:bCs w:val="false"/>
          <w:i/>
          <w:iCs/>
          <w:color w:val="555555"/>
          <w:sz w:val="20"/>
          <w:szCs w:val="20"/>
        </w:rPr>
        <w:t>This section governs how care is actually delivered: how caregivers are assigned and coordinated with the client, family, and (for Medicaid members) the ALTCS case manager and Person-Centered Service Plan; the supervisory visits that oversee care; the caregiver’s duties and task scope across attendant care, personal care, and homemaker services; the boundary on assisting with self-administered medication; Arizona’s Electronic Visit Verification; the documentation of every service; and the rules for transportation and handling client property and funds.</w:t>
      </w:r>
    </w:p>
    <w:p>
      <w:pPr>
        <w:pStyle w:val="Normal"/>
        <w:keepNext w:val="true"/>
        <w:spacing w:before="240" w:after="100"/>
        <w:rPr/>
      </w:pPr>
      <w:r>
        <w:rPr>
          <w:rFonts w:eastAsia="Calibri" w:cs="Calibri"/>
          <w:b/>
          <w:bCs/>
          <w:i w:val="false"/>
          <w:iCs w:val="false"/>
          <w:color w:val="1F3A5F"/>
          <w:sz w:val="24"/>
          <w:szCs w:val="24"/>
        </w:rPr>
        <w:t>Policy 4.1 — Assignment and Coordination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Assignment and Coordination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(PCSP, case manager)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is served by caregivers matched to the service plan and that care is coordinated with the client, family, and any ALTCS case manager, so service is consistent and appropriate.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Assignment — </w:t>
      </w:r>
      <w:r>
        <w:rPr>
          <w:rFonts w:eastAsia="Calibri" w:cs="Calibri"/>
          <w:b w:val="false"/>
          <w:bCs w:val="false"/>
          <w:i w:val="false"/>
          <w:iCs w:val="false"/>
          <w:color w:val="1A1A1A"/>
          <w:sz w:val="21"/>
          <w:szCs w:val="21"/>
        </w:rPr>
        <w:t>the matching of a competent caregiver to a client and to the tasks in the service plan.</w:t>
      </w:r>
    </w:p>
    <w:p>
      <w:pPr>
        <w:pStyle w:val="Normal"/>
        <w:spacing w:lineRule="exact" w:line="276" w:before="0" w:after="70"/>
        <w:rPr/>
      </w:pPr>
      <w:r>
        <w:rPr>
          <w:rFonts w:eastAsia="Calibri" w:cs="Calibri"/>
          <w:b/>
          <w:bCs/>
          <w:i w:val="false"/>
          <w:iCs w:val="false"/>
          <w:color w:val="1A1A1A"/>
          <w:sz w:val="21"/>
          <w:szCs w:val="21"/>
        </w:rPr>
        <w:t xml:space="preserve">Coordination — </w:t>
      </w:r>
      <w:r>
        <w:rPr>
          <w:rFonts w:eastAsia="Calibri" w:cs="Calibri"/>
          <w:b w:val="false"/>
          <w:bCs w:val="false"/>
          <w:i w:val="false"/>
          <w:iCs w:val="false"/>
          <w:color w:val="1A1A1A"/>
          <w:sz w:val="21"/>
          <w:szCs w:val="21"/>
        </w:rPr>
        <w:t>the communication among the agency, the client, family, and the ALTCS case manager that keeps care aligned with the Person-Centered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to each client caregivers who are competent for the tasks in the service plan and appropriate to the client’s needs and preferences, and it coordinates care with the client, family or representative, and — for ALTCS members — the case manager and the Person-Centered Service Plan. Assignments follow the service plan, which is reviewed with the caregiver before services begin; caregivers do not add or drop tasks on their own.</w:t>
      </w:r>
    </w:p>
    <w:p>
      <w:pPr>
        <w:pStyle w:val="Normal"/>
        <w:spacing w:lineRule="exact" w:line="276" w:before="0" w:after="120"/>
        <w:jc w:val="start"/>
        <w:rPr/>
      </w:pPr>
      <w:r>
        <w:rPr>
          <w:rFonts w:eastAsia="Calibri" w:cs="Calibri"/>
          <w:b w:val="false"/>
          <w:bCs w:val="false"/>
          <w:i w:val="false"/>
          <w:iCs w:val="false"/>
          <w:color w:val="1A1A1A"/>
          <w:sz w:val="21"/>
          <w:szCs w:val="21"/>
        </w:rPr>
        <w:t>The agency manages schedules so clients receive authorized services reliably, arranges coverage for absences, and communicates changes to the client in advance where possible. Where the ALTCS case manager controls the member’s services, the agency follows the authorization, reports as required, and does not exceed authorized hours or provide conflicting same-day services without the justification and approval AHCCCS requires. The supervisor is available to caregivers for direction and responds to changes in a client’s condition.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supervisor monitor assignments for competency match and continuity, minimize unnecessary caregiver turnover on a case, and ensure a client is never left without authorized coverage or that a gap is promptly addressed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caregivers competent for the service-plan tasks and appropriate to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Coordinate care with the client, family/representative, and the ALTCS case manager.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the service plan and PCSP authorization; review the plan with the caregiver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Manage schedules for reliable coverage and arrange coverage for absences.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exceed authorized hours or provide conflicting same-day services without required justification and approval.</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supervisor available to caregivers for direction and condition changes.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Address and document any coverage gap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 · Coverage &amp; Scheduling Log · Care Coordination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Supervisory Visits and Oversight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Supervisory Visits and Oversight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supervises care through visits at appropriate intervals — at least every ninety days for ALTCS members — so quality and safety are actively overseen.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the supervisor’s visit to evaluate the client, the service plan, and the caregiver’s performance, documented on the supervisory visit record.</w:t>
      </w:r>
    </w:p>
    <w:p>
      <w:pPr>
        <w:pStyle w:val="Normal"/>
        <w:spacing w:lineRule="exact" w:line="276" w:before="0" w:after="70"/>
        <w:rPr/>
      </w:pPr>
      <w:r>
        <w:rPr>
          <w:rFonts w:eastAsia="Calibri" w:cs="Calibri"/>
          <w:b/>
          <w:bCs/>
          <w:i w:val="false"/>
          <w:iCs w:val="false"/>
          <w:color w:val="1A1A1A"/>
          <w:sz w:val="21"/>
          <w:szCs w:val="21"/>
        </w:rPr>
        <w:t xml:space="preserve">90-day expectation — </w:t>
      </w:r>
      <w:r>
        <w:rPr>
          <w:rFonts w:eastAsia="Calibri" w:cs="Calibri"/>
          <w:b w:val="false"/>
          <w:bCs w:val="false"/>
          <w:i w:val="false"/>
          <w:iCs w:val="false"/>
          <w:color w:val="1A1A1A"/>
          <w:sz w:val="21"/>
          <w:szCs w:val="21"/>
        </w:rPr>
        <w:t>the AHCCCS expectation that the agency supervise ALTCS members at least every ninety days.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supervises care through supervisory visits as often as the client’s needs require, and for ALTCS members at least every ninety days consistent with AHCCCS policy. At each supervisory visit the supervisor evaluates the client’s condition and satisfaction, the appropriateness and currency of the service plan, the caregiver’s performance and adherence to the plan, any assistance with self-administered medication, and the safety of the home, and documents the visit and any resulting change in the client record on the supervisory visit record.</w:t>
      </w:r>
    </w:p>
    <w:p>
      <w:pPr>
        <w:pStyle w:val="Normal"/>
        <w:spacing w:lineRule="exact" w:line="276" w:before="0" w:after="120"/>
        <w:jc w:val="start"/>
        <w:rPr/>
      </w:pPr>
      <w:r>
        <w:rPr>
          <w:rFonts w:eastAsia="Calibri" w:cs="Calibri"/>
          <w:b w:val="false"/>
          <w:bCs w:val="false"/>
          <w:i w:val="false"/>
          <w:iCs w:val="false"/>
          <w:color w:val="1A1A1A"/>
          <w:sz w:val="21"/>
          <w:szCs w:val="21"/>
        </w:rPr>
        <w:t>The supervisor adjusts the service plan when the client’s condition changes, retrains or reassigns a caregiver who is not meeting standard, and escalates any concern about the client’s safety or health, coordinating with the ALTCS case manager where one is involved. The agency does not allow supervisory visits to lapse past the required interval and treats a missed visit as a compliance and safety failure to correct immediately.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supervisor track supervisory-visit due dates for every active client, ensure the supervisor’s caseload permits genuine supervision, and audit the supervisory record for completeness.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supervisory visits as often as needed and at least every 90 days for ALTCS members.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Evaluate client condition and satisfaction, the service plan, caregiver performance, medication assistance, and home safety at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supervisory visit and any change to the plan on the supervisory visit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Adjust the service plan, retrain or reassign caregivers, and escalate safety concerns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Coordinate with the ALTCS case manager where one is involved.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supervisory-visit due dates for every active client so none lapses.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the supervisory record for completeness and correct any gap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Visit Documentation · Supervisory-Visit Due-Date Tracker · Service-Plan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Caregiver Duties and Task Scope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Duties and Task Scope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(attendant care, personal care, homemaker)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what caregivers do and the limits on their tasks, so services follow the service plan and no caregiver performs a task beyond training and authorization.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Task scope — </w:t>
      </w:r>
      <w:r>
        <w:rPr>
          <w:rFonts w:eastAsia="Calibri" w:cs="Calibri"/>
          <w:b w:val="false"/>
          <w:bCs w:val="false"/>
          <w:i w:val="false"/>
          <w:iCs w:val="false"/>
          <w:color w:val="1A1A1A"/>
          <w:sz w:val="21"/>
          <w:szCs w:val="21"/>
        </w:rPr>
        <w:t>the set of non-medical tasks a caregiver is trained, competency-evaluated, and assigned to perform for a client.</w:t>
      </w:r>
    </w:p>
    <w:p>
      <w:pPr>
        <w:pStyle w:val="Normal"/>
        <w:spacing w:lineRule="exact" w:line="276" w:before="0" w:after="70"/>
        <w:rPr/>
      </w:pPr>
      <w:r>
        <w:rPr>
          <w:rFonts w:eastAsia="Calibri" w:cs="Calibri"/>
          <w:b/>
          <w:bCs/>
          <w:i w:val="false"/>
          <w:iCs w:val="false"/>
          <w:color w:val="1A1A1A"/>
          <w:sz w:val="21"/>
          <w:szCs w:val="21"/>
        </w:rPr>
        <w:t xml:space="preserve">Attendant care — </w:t>
      </w:r>
      <w:r>
        <w:rPr>
          <w:rFonts w:eastAsia="Calibri" w:cs="Calibri"/>
          <w:b w:val="false"/>
          <w:bCs w:val="false"/>
          <w:i w:val="false"/>
          <w:iCs w:val="false"/>
          <w:color w:val="1A1A1A"/>
          <w:sz w:val="21"/>
          <w:szCs w:val="21"/>
        </w:rPr>
        <w:t>the combined service of personal care, homemaking, and general supervision that may accompany the member outside the home as the plan directs.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at [Agency Name] provide the non-medical services in the client’s service plan — personal care (assistance with the activities of daily living), homemaker tasks (cleaning, laundry, meal preparation, shopping), attendant care (which combines these with general supervision and may accompany the member into the community), and companion services — within their training and demonstrated competency and under supervision. Caregivers record and report to the supervisor any changes in the client’s condition, behavior, or appearance, and document the services delivered. Caregivers follow the service plan and do not add, drop, or substitute tasks on their own.</w:t>
      </w:r>
    </w:p>
    <w:p>
      <w:pPr>
        <w:pStyle w:val="Normal"/>
        <w:spacing w:lineRule="exact" w:line="276" w:before="0" w:after="120"/>
        <w:jc w:val="start"/>
        <w:rPr/>
      </w:pPr>
      <w:r>
        <w:rPr>
          <w:rFonts w:eastAsia="Calibri" w:cs="Calibri"/>
          <w:b w:val="false"/>
          <w:bCs w:val="false"/>
          <w:i w:val="false"/>
          <w:iCs w:val="false"/>
          <w:color w:val="1A1A1A"/>
          <w:sz w:val="21"/>
          <w:szCs w:val="21"/>
        </w:rPr>
        <w:t>Caregivers do not perform skilled tasks reserved to a nurse or therapist, do not make clinical judgments, and assist with medication only within the boundary the next policy sets. When a client asks for a task outside the service plan or the caregiver’s scope, the caregiver contacts the agency, and the supervisor determines whether the plan should change. The agency observes AHCCCS same-day service rules so that conflicting services are not delivered for the same task at the same time without the required approval.</w:t>
      </w:r>
    </w:p>
    <w:p>
      <w:pPr>
        <w:pStyle w:val="Normal"/>
        <w:spacing w:lineRule="exact" w:line="276" w:before="0" w:after="120"/>
        <w:jc w:val="start"/>
        <w:rPr/>
      </w:pPr>
      <w:r>
        <w:rPr>
          <w:rFonts w:eastAsia="Calibri" w:cs="Calibri"/>
          <w:b w:val="false"/>
          <w:bCs w:val="false"/>
          <w:i w:val="false"/>
          <w:iCs w:val="false"/>
          <w:color w:val="1A1A1A"/>
          <w:sz w:val="21"/>
          <w:szCs w:val="21"/>
        </w:rPr>
        <w:t>The supervisor ensures each caregiver understands the specific service plan for each assigned client, that assignments match competency, and that any expansion of tasks is authorized and, where needed, preceded by training.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caregivers provide only the service-plan tasks within their training and competency, under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caregivers to record and report changes in the client’s condition, behavior, or appearance.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caregivers to document the services delivered.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self-directed task changes and any skilled or clinical-judgment task.</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Route any request for a task outside the service plan or caregiver scope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Observe AHCCCS same-day service rules to avoid conflicting services for the same task.</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Authorize and, where needed, train before any expansion of a caregiver’s tasks.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Duties &amp; Task-Scope Record · Service-Plan Assignment · Task-Change Authorization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Assisting with Self-Administered Medication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Assisting with Self-Administered Medication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Arizona non-medical scope;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fix the boundary on medication assistance, so caregivers help clients with their own medication only within the non-medical scope and never perform a task reserved to a nurse.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Self-administered medication — </w:t>
      </w:r>
      <w:r>
        <w:rPr>
          <w:rFonts w:eastAsia="Calibri" w:cs="Calibri"/>
          <w:b w:val="false"/>
          <w:bCs w:val="false"/>
          <w:i w:val="false"/>
          <w:iCs w:val="false"/>
          <w:color w:val="1A1A1A"/>
          <w:sz w:val="21"/>
          <w:szCs w:val="21"/>
        </w:rPr>
        <w:t>medication a client takes on the client’s own, with which a caregiver may provide only non-medical assistance.</w:t>
      </w:r>
    </w:p>
    <w:p>
      <w:pPr>
        <w:pStyle w:val="Normal"/>
        <w:spacing w:lineRule="exact" w:line="276" w:before="0" w:after="70"/>
        <w:rPr/>
      </w:pPr>
      <w:r>
        <w:rPr>
          <w:rFonts w:eastAsia="Calibri" w:cs="Calibri"/>
          <w:b/>
          <w:bCs/>
          <w:i w:val="false"/>
          <w:iCs w:val="false"/>
          <w:color w:val="1A1A1A"/>
          <w:sz w:val="21"/>
          <w:szCs w:val="21"/>
        </w:rPr>
        <w:t xml:space="preserve">Administration — </w:t>
      </w:r>
      <w:r>
        <w:rPr>
          <w:rFonts w:eastAsia="Calibri" w:cs="Calibri"/>
          <w:b w:val="false"/>
          <w:bCs w:val="false"/>
          <w:i w:val="false"/>
          <w:iCs w:val="false"/>
          <w:color w:val="1A1A1A"/>
          <w:sz w:val="21"/>
          <w:szCs w:val="21"/>
        </w:rPr>
        <w:t>the act of giving medication that requires the judgment of a licensed professional — outside the caregiver’s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at [Agency Name] assist clients with the client’s own self-administered medication only within the non-medical scope and as the service plan directs — for example, reminding the client, bringing the medication to the client, reading the label, opening containers, and providing steadying assistance while the client directs the process. Caregivers do not administer medication, make dosing decisions, give injections, or perform any medication task that requires the judgment of a licensed nurse.</w:t>
      </w:r>
    </w:p>
    <w:p>
      <w:pPr>
        <w:pStyle w:val="Normal"/>
        <w:spacing w:lineRule="exact" w:line="276" w:before="0" w:after="120"/>
        <w:jc w:val="start"/>
        <w:rPr/>
      </w:pPr>
      <w:r>
        <w:rPr>
          <w:rFonts w:eastAsia="Calibri" w:cs="Calibri"/>
          <w:b w:val="false"/>
          <w:bCs w:val="false"/>
          <w:i w:val="false"/>
          <w:iCs w:val="false"/>
          <w:color w:val="1A1A1A"/>
          <w:sz w:val="21"/>
          <w:szCs w:val="21"/>
        </w:rPr>
        <w:t>Where a client needs medication administration or a related skilled task, the agency arranges a referral to a licensed home health agency, the client’s physician, or (for ALTCS members) the case manager, and the service plan reflects the limit. Caregivers who are unsure whether a task is within the boundary contact the agency before acting, and the supervisor decides.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every caregiver on this boundary before client contact, reinforces it in continuing education and supervision, documents any medication assistance within the service plan, and audits medication-assistance practices during supervisory visits, correcting any drift beyond the boundary immediately.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Limit caregiver medication assistance to help with the client’s own self-administered medication within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administration, dosing decisions, injections, and any nursing-judgment medication task.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Arrange a referral where a client needs medication administration; reflect the limit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Direct caregivers who are unsure to contact the agency before acting; have the supervisor decide.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every caregiver on the medication boundary before client contact and reinforce 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medication assistance provided within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medication-assistance practices at supervisory visits and correct drift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Caregiver Medication-Boundary Acknowledgment · Referral-for-Administration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Electronic Visit Verification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Electronic Visit Verification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21st Century Cures Act § 12006; AHCCCS EVV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captures and submits electronic visit verification for Medicaid-funded services as Arizona requires, using a compliant system.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the six required data points for each Medicaid-funded visit — the service, the individual receiving it, the individual providing it, the date, the location, and the start and end times.</w:t>
      </w:r>
    </w:p>
    <w:p>
      <w:pPr>
        <w:pStyle w:val="Normal"/>
        <w:spacing w:lineRule="exact" w:line="276" w:before="0" w:after="70"/>
        <w:rPr/>
      </w:pPr>
      <w:r>
        <w:rPr>
          <w:rFonts w:eastAsia="Calibri" w:cs="Calibri"/>
          <w:b/>
          <w:bCs/>
          <w:i w:val="false"/>
          <w:iCs w:val="false"/>
          <w:color w:val="1A1A1A"/>
          <w:sz w:val="21"/>
          <w:szCs w:val="21"/>
        </w:rPr>
        <w:t xml:space="preserve">AHCCCS EVV — </w:t>
      </w:r>
      <w:r>
        <w:rPr>
          <w:rFonts w:eastAsia="Calibri" w:cs="Calibri"/>
          <w:b w:val="false"/>
          <w:bCs w:val="false"/>
          <w:i w:val="false"/>
          <w:iCs w:val="false"/>
          <w:color w:val="1A1A1A"/>
          <w:sz w:val="21"/>
          <w:szCs w:val="21"/>
        </w:rPr>
        <w:t>Arizona’s EVV program; the state system is provided (Sandata), and AHCCCS permits approved alternate EVV systems that meet its requirements.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AHCCCS-funded attendant care, personal care, homemaker, and respite services, [Agency Name] captures electronic visit verification for every visit and submits the data as AHCCCS requires. The agency uses the AHCCCS EVV system or an AHCCCS-approved alternate system that captures the six required data elements, identifies live-in caregivers where applicable, and maintains the electronic record for audit.</w:t>
      </w:r>
    </w:p>
    <w:p>
      <w:pPr>
        <w:pStyle w:val="Normal"/>
        <w:spacing w:lineRule="exact" w:line="276" w:before="0" w:after="120"/>
        <w:jc w:val="start"/>
        <w:rPr/>
      </w:pPr>
      <w:r>
        <w:rPr>
          <w:rFonts w:eastAsia="Calibri" w:cs="Calibri"/>
          <w:b w:val="false"/>
          <w:bCs w:val="false"/>
          <w:i w:val="false"/>
          <w:iCs w:val="false"/>
          <w:color w:val="1A1A1A"/>
          <w:sz w:val="21"/>
          <w:szCs w:val="21"/>
        </w:rPr>
        <w:t>The agency trains caregivers and submitters on its EVV system, ensures EVV data match the services authorized and billed and that the correct codes and modifiers are used, and resolves visit exceptions before claims are submitted. Because EVV data are matched to claims and reviewed by AHCCCS and the health plans, the agency keeps its EVV records accurate, complete, and retained for the audit period, and never records a visit that did not occur.</w:t>
      </w:r>
    </w:p>
    <w:p>
      <w:pPr>
        <w:pStyle w:val="Normal"/>
        <w:spacing w:lineRule="exact" w:line="276" w:before="0" w:after="120"/>
        <w:jc w:val="start"/>
        <w:rPr/>
      </w:pPr>
      <w:r>
        <w:rPr>
          <w:rFonts w:eastAsia="Calibri" w:cs="Calibri"/>
          <w:b w:val="false"/>
          <w:bCs w:val="false"/>
          <w:i w:val="false"/>
          <w:iCs w:val="false"/>
          <w:color w:val="1A1A1A"/>
          <w:sz w:val="21"/>
          <w:szCs w:val="21"/>
        </w:rPr>
        <w:t>The Administrator confirms the EVV system remains AHCCCS-compliant, monitors EVV compliance, corrects rejected or missing data promptly, and understands that EVV failures can delay or deny Medicaid payment and trigger audit. For private-pay clients not subject to EVV, the agency still documents visits accurately.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Capture EVV for every AHCCCS-funded visit subject to the requirement.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the AHCCCS EVV system or an approved alternate capturing the six data elements.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live-in caregivers in EVV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caregivers and submitters and maintain the electronic record for audit.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EVV data match authorized and billed services with correct codes/modifiers and resolve exceptions before claims.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EVV records accurate, complete, and retained for the audit period; never record a visit that did not occur.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Monitor EVV compliance and correct rejected or missing data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EVV System &amp; Compliance Record · EVV Exception &amp; Reconciliation Log · Visit Documentation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Documentation and the Client Record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Documentation and the Client Record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documentation standards;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service is documented accurately and contemporaneously, so the client record reflects the care provided and supports supervision, billing, and audit.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Visit documentation — </w:t>
      </w:r>
      <w:r>
        <w:rPr>
          <w:rFonts w:eastAsia="Calibri" w:cs="Calibri"/>
          <w:b w:val="false"/>
          <w:bCs w:val="false"/>
          <w:i w:val="false"/>
          <w:iCs w:val="false"/>
          <w:color w:val="1A1A1A"/>
          <w:sz w:val="21"/>
          <w:szCs w:val="21"/>
        </w:rPr>
        <w:t>the caregiver’s contemporaneous record of the services provided during a visit, consistent with the service plan.</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complete record of a client’s assessment, service plan, services, supervision, and communications maintained by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the services provided to each client accurately and contemporaneously. Caregivers record the services provided consistent with the service plan, note and report any change in the client’s condition, and sign and date their documentation. The client record includes the assessment, the service plan and reviews, visit documentation, supervisory visits, incident and change-of-condition reports, and communications, and it is kept complete, legible, and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permit documentation of a service that was not provided, back-dating, or copying prior notes without regard to what actually occurred. Where services are AHCCCS-funded, documentation is consistent with EVV and billing. Records are secured, kept confidential, and retained for the period Arizona and AHCCCS require.</w:t>
      </w:r>
    </w:p>
    <w:p>
      <w:pPr>
        <w:pStyle w:val="Normal"/>
        <w:spacing w:lineRule="exact" w:line="276" w:before="0" w:after="120"/>
        <w:jc w:val="start"/>
        <w:rPr/>
      </w:pPr>
      <w:r>
        <w:rPr>
          <w:rFonts w:eastAsia="Calibri" w:cs="Calibri"/>
          <w:b w:val="false"/>
          <w:bCs w:val="false"/>
          <w:i w:val="false"/>
          <w:iCs w:val="false"/>
          <w:color w:val="1A1A1A"/>
          <w:sz w:val="21"/>
          <w:szCs w:val="21"/>
        </w:rPr>
        <w:t>The supervisor and Administrator review documentation for accuracy, completeness, and timeliness through supervision and record audits, correct deficiencies, and use documentation as a source of quality information.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caregivers document services contemporaneously, consistent with the service plan, signed and dated.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Note and report changes in a client’s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complete client record (assessment, service plan, visits, supervision, incidents, communications).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documenting unprovided services, back-dating, or copying notes without regard to what occurred.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AHCCCS-funded documentation consistent with EVV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Secure records, keep them confidential, and retain them as Arizona and AHCCCS require.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documentation for accuracy, completeness, and timeliness and correct deficiencies.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 Change-in-Condition Report · Client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Transportation and Client Property and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Transportation and Client Property and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provider standards;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when caregivers transport them or handle their property or money, so clients are safe and free from financial harm.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funds handling — </w:t>
      </w:r>
      <w:r>
        <w:rPr>
          <w:rFonts w:eastAsia="Calibri" w:cs="Calibri"/>
          <w:b w:val="false"/>
          <w:bCs w:val="false"/>
          <w:i w:val="false"/>
          <w:iCs w:val="false"/>
          <w:color w:val="1A1A1A"/>
          <w:sz w:val="21"/>
          <w:szCs w:val="21"/>
        </w:rPr>
        <w:t>the limited handling of a client’s money for shopping or errands within the service plan, with receipts and accounting.</w:t>
      </w:r>
    </w:p>
    <w:p>
      <w:pPr>
        <w:pStyle w:val="Normal"/>
        <w:spacing w:lineRule="exact" w:line="276" w:before="0" w:after="70"/>
        <w:rPr/>
      </w:pPr>
      <w:r>
        <w:rPr>
          <w:rFonts w:eastAsia="Calibri" w:cs="Calibri"/>
          <w:b/>
          <w:bCs/>
          <w:i w:val="false"/>
          <w:iCs w:val="false"/>
          <w:color w:val="1A1A1A"/>
          <w:sz w:val="21"/>
          <w:szCs w:val="21"/>
        </w:rPr>
        <w:t xml:space="preserve">Safe transport — </w:t>
      </w:r>
      <w:r>
        <w:rPr>
          <w:rFonts w:eastAsia="Calibri" w:cs="Calibri"/>
          <w:b w:val="false"/>
          <w:bCs w:val="false"/>
          <w:i w:val="false"/>
          <w:iCs w:val="false"/>
          <w:color w:val="1A1A1A"/>
          <w:sz w:val="21"/>
          <w:szCs w:val="21"/>
        </w:rPr>
        <w:t>transporting a client only with valid license, insurance, verified record, seat belts, and safe practices.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transporting a client or handling a client’s money is part of the service plan — including attendant care that accompanies a member into the community — [Agency Name] protects the client. Caregivers transport clients only with a valid license, current insurance, a verified driving record, seat belts, and safe practices, and only as the service plan provides. Caregivers handle a client’s money only within the service plan — for authorized shopping or errands — keep receipts, return exact change, record each transaction, and never commingle a client’s funds with their own.</w:t>
      </w:r>
    </w:p>
    <w:p>
      <w:pPr>
        <w:pStyle w:val="Normal"/>
        <w:spacing w:lineRule="exact" w:line="276" w:before="0" w:after="120"/>
        <w:jc w:val="start"/>
        <w:rPr/>
      </w:pPr>
      <w:r>
        <w:rPr>
          <w:rFonts w:eastAsia="Calibri" w:cs="Calibri"/>
          <w:b w:val="false"/>
          <w:bCs w:val="false"/>
          <w:i w:val="false"/>
          <w:iCs w:val="false"/>
          <w:color w:val="1A1A1A"/>
          <w:sz w:val="21"/>
          <w:szCs w:val="21"/>
        </w:rPr>
        <w:t>Caregivers do not accept gifts, tips, loans, or bequests; do not borrow from or lend to clients; and do not take, use, or damage a client’s property. The agency’s surety or fidelity bond protects clients against loss from caregiver theft or fraud. Any incident during transport, and any concern about a client’s property or funds, is reported to the agency promptly and documented, and the agency treats financial exploitation of a client as abuse subject to mandatory reporting.</w:t>
      </w:r>
    </w:p>
    <w:p>
      <w:pPr>
        <w:pStyle w:val="Normal"/>
        <w:spacing w:lineRule="exact" w:line="276" w:before="0" w:after="120"/>
        <w:jc w:val="start"/>
        <w:rPr/>
      </w:pPr>
      <w:r>
        <w:rPr>
          <w:rFonts w:eastAsia="Calibri" w:cs="Calibri"/>
          <w:b w:val="false"/>
          <w:bCs w:val="false"/>
          <w:i w:val="false"/>
          <w:iCs w:val="false"/>
          <w:color w:val="1A1A1A"/>
          <w:sz w:val="21"/>
          <w:szCs w:val="21"/>
        </w:rPr>
        <w:t>The supervisor and Administrator monitor transportation and funds handling through supervision and client feedback, audit any funds ledger, act promptly on any concern, and remove a caregiver from a case where a client’s safety or property requires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Transport clients only per the service plan with valid license, insurance, verified record, seat belts, and safe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Handle client money only within the service plan, with receipts, exact change, and a transaction record; never commingle funds.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gifts, tips, loans, bequests, and taking or damaging client property.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document any transport incident or concern about client property or funds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Treat financial exploitation as abuse subject to mandatory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transportation and funds handling through supervision and client feedback and audit any funds ledger.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Remove a caregiver from a case where a client’s safety or property requires 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Transportation Authorization &amp; Incident Record · Client Funds Handling Ledger · Property/Funds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spacing w:lineRule="exact" w:line="276" w:before="0" w:after="120"/>
        <w:jc w:val="start"/>
        <w:rPr/>
      </w:pPr>
      <w:r>
        <w:rPr>
          <w:rFonts w:eastAsia="Calibri" w:cs="Calibri"/>
          <w:b w:val="false"/>
          <w:bCs w:val="false"/>
          <w:i/>
          <w:iCs/>
          <w:color w:val="555555"/>
          <w:sz w:val="20"/>
          <w:szCs w:val="20"/>
        </w:rPr>
        <w:t>This section protects clients and workers: the mandatory reporting of abuse, neglect, and exploitation to Arizona Adult Protective Services; the reporting and investigation of incidents; infection control in the home; emergency and disaster preparedness for Arizona hazards such as extreme heat, monsoon flooding, and wildfire; home safety; and communicable-disease reporting.</w:t>
      </w:r>
    </w:p>
    <w:p>
      <w:pPr>
        <w:pStyle w:val="Normal"/>
        <w:keepNext w:val="true"/>
        <w:spacing w:before="240" w:after="100"/>
        <w:rPr/>
      </w:pPr>
      <w:r>
        <w:rPr>
          <w:rFonts w:eastAsia="Calibri" w:cs="Calibri"/>
          <w:b/>
          <w:bCs/>
          <w:i w:val="false"/>
          <w:iCs w:val="false"/>
          <w:color w:val="1F3A5F"/>
          <w:sz w:val="24"/>
          <w:szCs w:val="24"/>
        </w:rPr>
        <w:t>Policy 5.1 — Abuse, Neglect and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and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A.R.S. § 46-454 (mandatory reporting); A.R.S. § 46-451 et seq. (APS)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immediately report suspected abuse, neglect, or exploitation of a client to Arizona Adult Protective Services, so vulnerable clients are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Arizona program, within the Department of Economic Security, Division of Aging and Adult Services, that investigates abuse, neglect, and exploitation of vulnerable adults.</w:t>
      </w:r>
    </w:p>
    <w:p>
      <w:pPr>
        <w:pStyle w:val="Normal"/>
        <w:spacing w:lineRule="exact" w:line="276" w:before="0" w:after="70"/>
        <w:rPr/>
      </w:pPr>
      <w:r>
        <w:rPr>
          <w:rFonts w:eastAsia="Calibri" w:cs="Calibri"/>
          <w:b/>
          <w:bCs/>
          <w:i w:val="false"/>
          <w:iCs w:val="false"/>
          <w:color w:val="1A1A1A"/>
          <w:sz w:val="21"/>
          <w:szCs w:val="21"/>
        </w:rPr>
        <w:t xml:space="preserve">APS hotline — </w:t>
      </w:r>
      <w:r>
        <w:rPr>
          <w:rFonts w:eastAsia="Calibri" w:cs="Calibri"/>
          <w:b w:val="false"/>
          <w:bCs w:val="false"/>
          <w:i w:val="false"/>
          <w:iCs w:val="false"/>
          <w:color w:val="1A1A1A"/>
          <w:sz w:val="21"/>
          <w:szCs w:val="21"/>
        </w:rPr>
        <w:t>the statewide number, 1-877-767-2385 (1-877-SOS-ADULT), for reporting suspected abuse, neglect, or exploitation of a vulnerable adult.</w:t>
      </w:r>
    </w:p>
    <w:p>
      <w:pPr>
        <w:pStyle w:val="Normal"/>
        <w:spacing w:lineRule="exact" w:line="276" w:before="0" w:after="70"/>
        <w:rPr/>
      </w:pPr>
      <w:r>
        <w:rPr>
          <w:rFonts w:eastAsia="Calibri" w:cs="Calibri"/>
          <w:b/>
          <w:bCs/>
          <w:i w:val="false"/>
          <w:iCs w:val="false"/>
          <w:color w:val="1A1A1A"/>
          <w:sz w:val="21"/>
          <w:szCs w:val="21"/>
        </w:rPr>
        <w:t xml:space="preserve">Vulnerable adult — </w:t>
      </w:r>
      <w:r>
        <w:rPr>
          <w:rFonts w:eastAsia="Calibri" w:cs="Calibri"/>
          <w:b w:val="false"/>
          <w:bCs w:val="false"/>
          <w:i w:val="false"/>
          <w:iCs w:val="false"/>
          <w:color w:val="1A1A1A"/>
          <w:sz w:val="21"/>
          <w:szCs w:val="21"/>
        </w:rPr>
        <w:t>an individual 18 or older who is unable to protect themselves from abuse, neglect, or exploitation because of a physical or mental impairment.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clients from abuse, neglect, mistreatment, and exploitation, and every staff member is a mandatory reporter responsible for reporting a good-faith suspicion immediately. Staff report suspected abuse, neglect, or exploitation of a vulnerable adult to Arizona Adult Protective Services through the statewide hotline (1-877-767-2385), and call 911 first whenever a client is in immediate danger. Suspected abuse or neglect of a child is reported to the Department of Child Safety (1-888-767-2445). Reports are made on reasonable suspicion; staff do not investigate or confirm abuse before reporting.</w:t>
      </w:r>
    </w:p>
    <w:p>
      <w:pPr>
        <w:pStyle w:val="Normal"/>
        <w:spacing w:lineRule="exact" w:line="276" w:before="0" w:after="120"/>
        <w:jc w:val="start"/>
        <w:rPr/>
      </w:pPr>
      <w:r>
        <w:rPr>
          <w:rFonts w:eastAsia="Calibri" w:cs="Calibri"/>
          <w:b w:val="false"/>
          <w:bCs w:val="false"/>
          <w:i w:val="false"/>
          <w:iCs w:val="false"/>
          <w:color w:val="1A1A1A"/>
          <w:sz w:val="21"/>
          <w:szCs w:val="21"/>
        </w:rPr>
        <w:t>The agency trains every caregiver and office worker on recognizing and reporting abuse, neglect, and exploitation before client contact and on a continuing basis, and it treats financial exploitation — including a caregiver’s misuse of a client’s funds or property — as reportable abuse. Staff also notify the Administrator, who ensures the report is made within required timeframes, documents it, and cooperates fully with any APS, health-plan, or law-enforcement investigation. The agency does not retaliate against anyone who reports in good faith, and a substantiated APS finding against a caregiver bars that caregiver from serving clients.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current on Arizona’s mandatory-reporting requirements, ensures reports are made and documented, and reinforces reporting duties in orientation and continuing education.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first whenever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 neglect, or exploitation of a vulnerable adult to Arizona APS (1-877-767-2385).</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suspected child abuse or neglect to the Department of Child Safety (1-888-767-2445).</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on reasonable, good-faith suspicion; do not investigate or confirm before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Administrator and cooperate fully with any APS, health-plan, or law-enforcement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all staff on recognizing and reporting abuse, neglect, and exploitation before client contact and continually.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Treat financial exploitation as reportable abuse; never retaliate against a good-faith reporter.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&amp; APS Contact Guide · Investigation Cooperation Record · Mandated-Reporter 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incident reporting; agency QAPI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a client’s health or safety are reported, investigated, and used to prevent recurrence, and reported to the health plan or authorities where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affecting a client’s safety or well-being — a fall, injury, missed critical visit, or other adverse event.</w:t>
      </w:r>
    </w:p>
    <w:p>
      <w:pPr>
        <w:pStyle w:val="Normal"/>
        <w:spacing w:lineRule="exact" w:line="276" w:before="0" w:after="70"/>
        <w:rPr/>
      </w:pPr>
      <w:r>
        <w:rPr>
          <w:rFonts w:eastAsia="Calibri" w:cs="Calibri"/>
          <w:b/>
          <w:bCs/>
          <w:i w:val="false"/>
          <w:iCs w:val="false"/>
          <w:color w:val="1A1A1A"/>
          <w:sz w:val="21"/>
          <w:szCs w:val="21"/>
        </w:rPr>
        <w:t xml:space="preserve">Root-cause review — </w:t>
      </w:r>
      <w:r>
        <w:rPr>
          <w:rFonts w:eastAsia="Calibri" w:cs="Calibri"/>
          <w:b w:val="false"/>
          <w:bCs w:val="false"/>
          <w:i w:val="false"/>
          <w:iCs w:val="false"/>
          <w:color w:val="1A1A1A"/>
          <w:sz w:val="21"/>
          <w:szCs w:val="21"/>
        </w:rPr>
        <w:t>the analysis of why an incident happened and what will prevent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report incidents affecting a client’s health or safety promptly. The agency documents each incident, ensures the client’s immediate safety, notifies the client and representative and — for ALTCS members — the case manager and health plan as appropriate, and reports to APS or other authorities where the incident or law requires. Serious incidents — those involving abuse, serious injury, or a threat to life — are handled immediately and reported through the correct channel.</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incidents to identify the cause and the steps needed to prevent recurrence, and it feeds findings into the service plan, caregiver training, and quality improvement. It does not conceal, minimize, or discourage the reporting of incidents and protects staff who report in good faith. Incident records are kept confidential and reviewed through the quality process.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supervisor ensure incidents are reported within required timeframes, investigated thoroughly, corrected, and tracked for patterns, and that any required external report is made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prompt staff reporting of incidents affecting client health or safety.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the client’s immediate safety and document each incident.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client, representative, and (for ALTCS members) case manager and health plan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to APS or other authorities where the incident or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to identify cause and prevention and feed findings into the service plan, training,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Handle serious incidents immediately through the correct channel.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incidents for patterns and keep records confidential and reviewed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Investigation &amp; Corrective Action · Incident Trend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Infection Control and Universal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and Universal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OSHA 29 CFR 1910.1030; CDC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spread of infection in clients’ homes and protect clients and caregivers, through universal precautions and sound infection-control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Universal / standard precautions — </w:t>
      </w:r>
      <w:r>
        <w:rPr>
          <w:rFonts w:eastAsia="Calibri" w:cs="Calibri"/>
          <w:b w:val="false"/>
          <w:bCs w:val="false"/>
          <w:i w:val="false"/>
          <w:iCs w:val="false"/>
          <w:color w:val="1A1A1A"/>
          <w:sz w:val="21"/>
          <w:szCs w:val="21"/>
        </w:rPr>
        <w:t>treating all blood and body fluids as potentially infectious and using hand hygiene and protective equipment accordingly.</w:t>
      </w:r>
    </w:p>
    <w:p>
      <w:pPr>
        <w:pStyle w:val="Normal"/>
        <w:spacing w:lineRule="exact" w:line="276" w:before="0" w:after="70"/>
        <w:rPr/>
      </w:pPr>
      <w:r>
        <w:rPr>
          <w:rFonts w:eastAsia="Calibri" w:cs="Calibri"/>
          <w:b/>
          <w:bCs/>
          <w:i w:val="false"/>
          <w:iCs w:val="false"/>
          <w:color w:val="1A1A1A"/>
          <w:sz w:val="21"/>
          <w:szCs w:val="21"/>
        </w:rPr>
        <w:t xml:space="preserve">Infection control — </w:t>
      </w:r>
      <w:r>
        <w:rPr>
          <w:rFonts w:eastAsia="Calibri" w:cs="Calibri"/>
          <w:b w:val="false"/>
          <w:bCs w:val="false"/>
          <w:i w:val="false"/>
          <w:iCs w:val="false"/>
          <w:color w:val="1A1A1A"/>
          <w:sz w:val="21"/>
          <w:szCs w:val="21"/>
        </w:rPr>
        <w:t>the agency’s practices to prevent, identify, and respond to infection in the home care setting.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trains and requires caregivers to follow universal precautions and infection-control practices in every home: hand hygiene, gloves and other protective equipment as needed, safe handling and disposal of soiled materials, and safe practices around blood and body fluids. The agency provides or ensures access to the supplies caregivers need and follows current public-health guidance, including for respiratory and other communicable illnesses.</w:t>
      </w:r>
    </w:p>
    <w:p>
      <w:pPr>
        <w:pStyle w:val="Normal"/>
        <w:spacing w:lineRule="exact" w:line="276" w:before="0" w:after="120"/>
        <w:jc w:val="start"/>
        <w:rPr/>
      </w:pPr>
      <w:r>
        <w:rPr>
          <w:rFonts w:eastAsia="Calibri" w:cs="Calibri"/>
          <w:b w:val="false"/>
          <w:bCs w:val="false"/>
          <w:i w:val="false"/>
          <w:iCs w:val="false"/>
          <w:color w:val="1A1A1A"/>
          <w:sz w:val="21"/>
          <w:szCs w:val="21"/>
        </w:rPr>
        <w:t>Caregivers who are ill with a communicable condition that could endanger clients do not provide care until cleared, and caregivers report exposures and possible infections to the agency. The agency addresses infection risks identified in the home through the service plan and supervision, cooperates with public-health authorities, and meets OSHA bloodborne-pathogen requirements for its workers.</w:t>
      </w:r>
    </w:p>
    <w:p>
      <w:pPr>
        <w:pStyle w:val="Normal"/>
        <w:spacing w:lineRule="exact" w:line="276" w:before="0" w:after="120"/>
        <w:jc w:val="start"/>
        <w:rPr/>
      </w:pPr>
      <w:r>
        <w:rPr>
          <w:rFonts w:eastAsia="Calibri" w:cs="Calibri"/>
          <w:b w:val="false"/>
          <w:bCs w:val="false"/>
          <w:i w:val="false"/>
          <w:iCs w:val="false"/>
          <w:color w:val="1A1A1A"/>
          <w:sz w:val="21"/>
          <w:szCs w:val="21"/>
        </w:rPr>
        <w:t>The supervisor oversees infection-control training and practice, monitors adherence during supervisory visits, updates practice as guidance changes, and ensures caregivers have the knowledge and supplies to protect clients and themselves.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caregivers in universal precautions and infection control before client contact and continually.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protective equipment, and safe handling/disposal of soiled materials in every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or ensure access to needed infection-control supplies.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caregivers with endangering communicable conditions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caregivers to report exposures and possible infections.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home infection risks through the service plan and supervision and cooperate with public health.</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Meet OSHA bloodborne-pathogen requirements and update practice as guidance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Exposure/Illness Report · Infection-Control Supply &amp; Practice Audit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Emergency and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and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contingency planning;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can continue or safely suspend care during emergencies and disasters common to Arizona, protecting at-risk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plan — </w:t>
      </w:r>
      <w:r>
        <w:rPr>
          <w:rFonts w:eastAsia="Calibri" w:cs="Calibri"/>
          <w:b w:val="false"/>
          <w:bCs w:val="false"/>
          <w:i w:val="false"/>
          <w:iCs w:val="false"/>
          <w:color w:val="1A1A1A"/>
          <w:sz w:val="21"/>
          <w:szCs w:val="21"/>
        </w:rPr>
        <w:t>the written plan for maintaining or safely interrupting services during emergencies and disasters, including client prioritization and communication.</w:t>
      </w:r>
    </w:p>
    <w:p>
      <w:pPr>
        <w:pStyle w:val="Normal"/>
        <w:spacing w:lineRule="exact" w:line="276" w:before="0" w:after="70"/>
        <w:rPr/>
      </w:pPr>
      <w:r>
        <w:rPr>
          <w:rFonts w:eastAsia="Calibri" w:cs="Calibri"/>
          <w:b/>
          <w:bCs/>
          <w:i w:val="false"/>
          <w:iCs w:val="false"/>
          <w:color w:val="1A1A1A"/>
          <w:sz w:val="21"/>
          <w:szCs w:val="21"/>
        </w:rPr>
        <w:t xml:space="preserve">Client acuity / priority — </w:t>
      </w:r>
      <w:r>
        <w:rPr>
          <w:rFonts w:eastAsia="Calibri" w:cs="Calibri"/>
          <w:b w:val="false"/>
          <w:bCs w:val="false"/>
          <w:i w:val="false"/>
          <w:iCs w:val="false"/>
          <w:color w:val="1A1A1A"/>
          <w:sz w:val="21"/>
          <w:szCs w:val="21"/>
        </w:rPr>
        <w:t>the classification of clients by dependence to guide response when resources are limited.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 and disaster preparedness plan addressing the hazards Arizona agencies face — extreme heat, monsoon storms and flash flooding, wildfire and smoke, dust storms, and power outages — and how the agency will continue, prioritize, or safely suspend services during them. Because extreme heat is a particular danger to homebound seniors, the plan gives specific attention to heat safety: checking that clients have working cooling and water, recognizing heat illness, and escalating when a home is unsafe. The plan identifies at-risk clients by acuity, keeps current emergency contacts, and provides for communication with clients, staff, and the ALTCS case manager during an emergency.</w:t>
      </w:r>
    </w:p>
    <w:p>
      <w:pPr>
        <w:pStyle w:val="Normal"/>
        <w:spacing w:lineRule="exact" w:line="276" w:before="0" w:after="120"/>
        <w:jc w:val="start"/>
        <w:rPr/>
      </w:pPr>
      <w:r>
        <w:rPr>
          <w:rFonts w:eastAsia="Calibri" w:cs="Calibri"/>
          <w:b w:val="false"/>
          <w:bCs w:val="false"/>
          <w:i w:val="false"/>
          <w:iCs w:val="false"/>
          <w:color w:val="1A1A1A"/>
          <w:sz w:val="21"/>
          <w:szCs w:val="21"/>
        </w:rPr>
        <w:t>The agency instructs caregivers on emergency procedures, including calling 911 first for a life-threatening emergency, and ensures clients and representatives know what to expect during an emergency and how to reach the agency. The agency coordinates with local emergency management and public-health authorities as appropriate and reviews and updates the plan on a schedule and after any activation.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the plan, trains staff on it, keeps client acuity and emergency-contact information current, and ensures the agency can reach and account for its most vulnerable clients when an emergency strikes.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and disaster plan for Arizona hazards (extreme heat, monsoon/flooding, wildfire, dust storms, power outages).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specific attention to heat safety for homebound clients (cooling, water, recognizing heat illness).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at-risk clients by acuity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for emergency communication with clients, staff, and the ALTCS case manager.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Instruct caregivers on emergency procedures, including calling 911 first for life-threatening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Coordinate with local emergency management and public health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and update the plan on schedule and after any activation.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Acuity &amp; Priority List · Heat-Safety &amp; Emergency Contact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Home Safety and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and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AMPM Policy 1240-A;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reduce safety hazards in the client’s home, so clients and caregivers are safe during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safety assessment — </w:t>
      </w:r>
      <w:r>
        <w:rPr>
          <w:rFonts w:eastAsia="Calibri" w:cs="Calibri"/>
          <w:b w:val="false"/>
          <w:bCs w:val="false"/>
          <w:i w:val="false"/>
          <w:iCs w:val="false"/>
          <w:color w:val="1A1A1A"/>
          <w:sz w:val="21"/>
          <w:szCs w:val="21"/>
        </w:rPr>
        <w:t>the evaluation of the client’s home environment for hazards affecting safe care.</w:t>
      </w:r>
    </w:p>
    <w:p>
      <w:pPr>
        <w:pStyle w:val="Normal"/>
        <w:spacing w:lineRule="exact" w:line="276" w:before="0" w:after="70"/>
        <w:rPr/>
      </w:pPr>
      <w:r>
        <w:rPr>
          <w:rFonts w:eastAsia="Calibri" w:cs="Calibri"/>
          <w:b/>
          <w:bCs/>
          <w:i w:val="false"/>
          <w:iCs w:val="false"/>
          <w:color w:val="1A1A1A"/>
          <w:sz w:val="21"/>
          <w:szCs w:val="21"/>
        </w:rPr>
        <w:t xml:space="preserve">Hazard escalation — </w:t>
      </w:r>
      <w:r>
        <w:rPr>
          <w:rFonts w:eastAsia="Calibri" w:cs="Calibri"/>
          <w:b w:val="false"/>
          <w:bCs w:val="false"/>
          <w:i w:val="false"/>
          <w:iCs w:val="false"/>
          <w:color w:val="1A1A1A"/>
          <w:sz w:val="21"/>
          <w:szCs w:val="21"/>
        </w:rPr>
        <w:t>reporting and addressing a home hazard through the supervisor and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evaluates the safety of a client’s home as part of assessment and supervision and works with the client and family to reduce hazards — fall risks, fire and electrical hazards, unsafe equipment, extreme-heat exposure, and conditions that threaten safe care. Findings are reflected in the service plan, and significant hazards are escalated to the supervisor and addressed. Caregivers report new hazards they observe.</w:t>
      </w:r>
    </w:p>
    <w:p>
      <w:pPr>
        <w:pStyle w:val="Normal"/>
        <w:spacing w:lineRule="exact" w:line="276" w:before="0" w:after="120"/>
        <w:jc w:val="start"/>
        <w:rPr/>
      </w:pPr>
      <w:r>
        <w:rPr>
          <w:rFonts w:eastAsia="Calibri" w:cs="Calibri"/>
          <w:b w:val="false"/>
          <w:bCs w:val="false"/>
          <w:i w:val="false"/>
          <w:iCs w:val="false"/>
          <w:color w:val="1A1A1A"/>
          <w:sz w:val="21"/>
          <w:szCs w:val="21"/>
        </w:rPr>
        <w:t>The agency respects that the home belongs to the client and cannot compel changes, but it documents hazards, advises the client and family, adjusts the service plan where needed, and, where a hazard makes safe care impossible, works with the client on alternatives and, if necessary, follows its acceptance-and-termination policy with safe transition. Caregiver safety is part of home safety; the agency addresses conditions that endanger workers.</w:t>
      </w:r>
    </w:p>
    <w:p>
      <w:pPr>
        <w:pStyle w:val="Normal"/>
        <w:spacing w:lineRule="exact" w:line="276" w:before="0" w:after="120"/>
        <w:jc w:val="start"/>
        <w:rPr/>
      </w:pPr>
      <w:r>
        <w:rPr>
          <w:rFonts w:eastAsia="Calibri" w:cs="Calibri"/>
          <w:b w:val="false"/>
          <w:bCs w:val="false"/>
          <w:i w:val="false"/>
          <w:iCs w:val="false"/>
          <w:color w:val="1A1A1A"/>
          <w:sz w:val="21"/>
          <w:szCs w:val="21"/>
        </w:rPr>
        <w:t>The supervisor reviews home-safety findings, ensures hazards are acted on, and revisits safety at supervisory visits and on any change in the home or the client’s condition.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home safety as part of assessment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Reflect hazard findings in the service plan and escalate significant hazards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caregivers report new hazards they observe.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Advise the client and family on hazards and adjust the service plan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Where a hazard makes safe care impossible, work on alternatives and, if necessary, transition safely.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conditions that endanger caregivers as part of home safety.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Revisit safety at supervisory visits and on any change in the home or client condition.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Hazard Report &amp; Escalation · Service-Plan Safety Update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5.6 — Communicable Disease Reporting and Public Health</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Communicable Disease Reporting and Public 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A.A.C. R9-6 (Communicable Diseases); A.R.S. § 36-621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identifies and reports communicable and reportable diseases as Arizona requires and cooperates with public-health authorities.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Reportable disease — </w:t>
      </w:r>
      <w:r>
        <w:rPr>
          <w:rFonts w:eastAsia="Calibri" w:cs="Calibri"/>
          <w:b w:val="false"/>
          <w:bCs w:val="false"/>
          <w:i w:val="false"/>
          <w:iCs w:val="false"/>
          <w:color w:val="1A1A1A"/>
          <w:sz w:val="21"/>
          <w:szCs w:val="21"/>
        </w:rPr>
        <w:t>a communicable or other condition Arizona requires to be reported to public-health authorities.</w:t>
      </w:r>
    </w:p>
    <w:p>
      <w:pPr>
        <w:pStyle w:val="Normal"/>
        <w:spacing w:lineRule="exact" w:line="276" w:before="0" w:after="70"/>
        <w:rPr/>
      </w:pPr>
      <w:r>
        <w:rPr>
          <w:rFonts w:eastAsia="Calibri" w:cs="Calibri"/>
          <w:b/>
          <w:bCs/>
          <w:i w:val="false"/>
          <w:iCs w:val="false"/>
          <w:color w:val="1A1A1A"/>
          <w:sz w:val="21"/>
          <w:szCs w:val="21"/>
        </w:rPr>
        <w:t xml:space="preserve">Public-health cooperation — </w:t>
      </w:r>
      <w:r>
        <w:rPr>
          <w:rFonts w:eastAsia="Calibri" w:cs="Calibri"/>
          <w:b w:val="false"/>
          <w:bCs w:val="false"/>
          <w:i w:val="false"/>
          <w:iCs w:val="false"/>
          <w:color w:val="1A1A1A"/>
          <w:sz w:val="21"/>
          <w:szCs w:val="21"/>
        </w:rPr>
        <w:t>the agency’s duty to work with state and local health authorities on communicable-disease control.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identifies communicable and reportable diseases affecting its clients or workers and cooperates with the local health department and the Arizona Department of Health Services on reporting and control measures as Arizona’s communicable-disease rules require. The agency follows current public-health guidance and integrates it into infection control, training, and the service plan.</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 and worker confidentiality while meeting reporting duties, keeps ill workers with communicable conditions from providing care until cleared, and responds to public-health emergencies through its emergency-preparedness plan. Reporting and cooperation are treated as legal duties, not discretionary steps.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supervisor keep current on reportable-disease requirements, ensure cooperation and any required reports are made and documented, and adjust agency practice to public-health guidance as it changes.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communicable and reportable diseases affecting clients or workers.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with the local health department and ADHS on reporting and control as Arizona requires.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current public-health guidance in infection control, training, and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ill workers with communicable conditions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Protect confidentiality while meeting reporting duties and document each report.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Respond to public-health emergencies through the emergency-preparedness plan.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Adjust agency practice to public-health guidance as it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Communicable Disease Report Log · Public-Health Cooperation Record · Worker Clearance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Arizona does NOT license non-medical home care. Personal care, attendant care, homemaker, and companion services are not licensed by the Arizona Department of Health Services (ADHS) — only skilled medical home health (nursing, wound care, medication administration, therapy) requires an ADHS Home Health Agency license under A.A.C. R9-10 Article 12. This is a NON-MEDICAL provider operating without a state home care license, held instead to this manual and to every requirement that DOES apply: caregiver screening through the Arizona Level One Fingerprint Clearance Card and the APS/DCS abuse registries; the Direct Care Worker (DCW) training and testing required to serve Medicaid members; the AHCCCS/ALTCS provider requirements for publicly funded clients (APEP enrollment, Person-Centered Service Plan, supervision, and Electronic Visit Verification); federal wage-and-hour, privacy (HIPAA), and safety law; and mandatory abuse reporting to Arizona Adult Protective Services. The agency operates as if surveyed, competing on quality rather than on a license it is not required to hold.</w:t>
      </w:r>
    </w:p>
    <w:p>
      <w:pPr>
        <w:pStyle w:val="Normal"/>
        <w:spacing w:lineRule="exact" w:line="276" w:before="0" w:after="120"/>
        <w:jc w:val="start"/>
        <w:rPr/>
      </w:pPr>
      <w:r>
        <w:rPr>
          <w:rFonts w:eastAsia="Calibri" w:cs="Calibri"/>
          <w:b w:val="false"/>
          <w:bCs w:val="false"/>
          <w:i/>
          <w:iCs/>
          <w:color w:val="555555"/>
          <w:sz w:val="20"/>
          <w:szCs w:val="20"/>
        </w:rPr>
        <w:t>This section keeps the agency accountable and improving: the content and retention of client and personnel records; the quality-improvement program; AHCCCS/ALTCS provider compliance and readiness; program integrity and fraud, waste, and abuse; the agency’s compliance program; and the business compliance and renewal duties that keep the agency operating — including AHCCCS revalidation, fingerprint-card renewals, and business filings, in a state where no home care license exists to renew.</w:t>
      </w:r>
    </w:p>
    <w:p>
      <w:pPr>
        <w:pStyle w:val="Normal"/>
        <w:keepNext w:val="true"/>
        <w:spacing w:before="240" w:after="100"/>
        <w:rPr/>
      </w:pPr>
      <w:r>
        <w:rPr>
          <w:rFonts w:eastAsia="Calibri" w:cs="Calibri"/>
          <w:b/>
          <w:bCs/>
          <w:i w:val="false"/>
          <w:iCs w:val="false"/>
          <w:color w:val="1F3A5F"/>
          <w:sz w:val="24"/>
          <w:szCs w:val="24"/>
        </w:rPr>
        <w:t>Policy 6.1 — Client and Personnel Record Content and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and Personnel Record Content and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record requirements;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and employee has a complete, confidential, and properly retained record that supports care, supervision, billing, and audit.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complete record for each client — assessment, service plan, service and supervisory documentation, incidents, and communications.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Arizona and AHCCCS require records to be kept.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complete client record for each client containing the assessment, the service plan and its reviews, service (visit) documentation, supervisory visits, incident and change-of-condition reports, communications, and the client’s service agreement and rights acknowledgment. Personnel records document each worker’s qualifications, fingerprint clearance and registry checks, exclusion screening, training, testing, and competency, and are retained for the period Arizona and AHCCCS require, with health-related information kept separate.</w:t>
      </w:r>
    </w:p>
    <w:p>
      <w:pPr>
        <w:pStyle w:val="Normal"/>
        <w:spacing w:lineRule="exact" w:line="276" w:before="0" w:after="120"/>
        <w:jc w:val="start"/>
        <w:rPr/>
      </w:pPr>
      <w:r>
        <w:rPr>
          <w:rFonts w:eastAsia="Calibri" w:cs="Calibri"/>
          <w:b w:val="false"/>
          <w:bCs w:val="false"/>
          <w:i w:val="false"/>
          <w:iCs w:val="false"/>
          <w:color w:val="1A1A1A"/>
          <w:sz w:val="21"/>
          <w:szCs w:val="21"/>
        </w:rPr>
        <w:t>Records are legible, current, secured, and confidential; the agency maintains an organized system to protect their confidentiality, controls access by role, and protects paper and electronic records (including EVV data) against loss and unauthorized use. Where services are AHCCCS-funded, records are consistent with EVV and billing and retained for the Medicaid audit period. If the agency discontinues operation, its policies specify arrangements for retaining and protecting records and for notifying clients and, where applicable, AHCCCS.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records are complete and current through supervision and audit, that retention and destruction follow the applicable requirements, and that the agency can produce a complete record promptly on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complete client record (assessment, service plan, service and supervisory documentation, incidents, communications, agreement, rights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Retain personnel records for the period Arizona and AHCCCS require, with health information kept separate.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legible, current, secured, and confidential and control access by role.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AHCCCS-funded records for the audit period consistent with EVV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policies for record retention and client/AHCCCS notification if the agency discontinues operation.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Make records available for AHCCCS and health-plan audit and produce a complete record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Follow the applicable requirements for record retention and destruction.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&amp; Retention Index · Personnel Record Retention Log · Record Access &amp; Audit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Quality Improvement Program</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Improvement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quality management;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run an active quality program that monitors and improves care, so problems are found and fixed and clients receive better service over time.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program — </w:t>
      </w:r>
      <w:r>
        <w:rPr>
          <w:rFonts w:eastAsia="Calibri" w:cs="Calibri"/>
          <w:b w:val="false"/>
          <w:bCs w:val="false"/>
          <w:i w:val="false"/>
          <w:iCs w:val="false"/>
          <w:color w:val="1A1A1A"/>
          <w:sz w:val="21"/>
          <w:szCs w:val="21"/>
        </w:rPr>
        <w:t>the agency’s ongoing program to measure, evaluate, and improve the quality and safety of its services.</w:t>
      </w:r>
    </w:p>
    <w:p>
      <w:pPr>
        <w:pStyle w:val="Normal"/>
        <w:spacing w:lineRule="exact" w:line="276" w:before="0" w:after="70"/>
        <w:rPr/>
      </w:pPr>
      <w:r>
        <w:rPr>
          <w:rFonts w:eastAsia="Calibri" w:cs="Calibri"/>
          <w:b/>
          <w:bCs/>
          <w:i w:val="false"/>
          <w:iCs w:val="false"/>
          <w:color w:val="1A1A1A"/>
          <w:sz w:val="21"/>
          <w:szCs w:val="21"/>
        </w:rPr>
        <w:t xml:space="preserve">Performance improvement — </w:t>
      </w:r>
      <w:r>
        <w:rPr>
          <w:rFonts w:eastAsia="Calibri" w:cs="Calibri"/>
          <w:b w:val="false"/>
          <w:bCs w:val="false"/>
          <w:i w:val="false"/>
          <w:iCs w:val="false"/>
          <w:color w:val="1A1A1A"/>
          <w:sz w:val="21"/>
          <w:szCs w:val="21"/>
        </w:rPr>
        <w:t>the corrective and preventive actions the agency takes based on what its quality data show.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an ongoing quality-improvement program that monitors the quality and safety of its services — supervisory-visit findings, client satisfaction, complaints and grievances, incidents, infection control, missed visits, EVV compliance, and compliance with AHCCCS requirements — and drives corrective and preventive action. The program is overseen by the Administrator and supervisor and reported to the governing body at defined intervals.</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trends, sets improvements, assigns responsibility, and tracks results, closing the loop so problems are actually fixed. It uses client and referrer feedback, health-plan findings, and its own data as inputs, documents the program’s activities and outcomes, and treats quality as continuous. In a state that does not license non-medical home care, the agency treats its quality program as the primary mechanism that holds it to a high standard.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quality program is real and active, that findings lead to change, and that the agency can show a health plan or auditor how it monitors and improves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an ongoing quality program monitoring supervision, satisfaction, complaints, incidents, infection control, missed visits, EVV, and AHCCCS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set improvements, assign responsibility, and track results to closure.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client/referrer feedback, health-plan findings, and agency data as inputs.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the Administrator and supervisor oversee the program and report to the governing body at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program’s activities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Treat quality improvement as continuous and ensure findings lead to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Improvement Log · Trend &amp; Corrective-Action Tracker · Governing-Body Quality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AHCCCS/ALTCS Provider Compliance and Readiness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AHCCCS/ALTCS Provider Compliance and Readiness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Provider Enrollment (APEP); AMPM Policy 1240-A; Contractor agreements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meets Arizona’s Medicaid provider obligations, so publicly funded services are provided and paid lawfully.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APEP — </w:t>
      </w:r>
      <w:r>
        <w:rPr>
          <w:rFonts w:eastAsia="Calibri" w:cs="Calibri"/>
          <w:b w:val="false"/>
          <w:bCs w:val="false"/>
          <w:i w:val="false"/>
          <w:iCs w:val="false"/>
          <w:color w:val="1A1A1A"/>
          <w:sz w:val="21"/>
          <w:szCs w:val="21"/>
        </w:rPr>
        <w:t>the AHCCCS Provider Enrollment Portal, through which the agency enrolls and revalidates as a Medicaid provider.</w:t>
      </w:r>
    </w:p>
    <w:p>
      <w:pPr>
        <w:pStyle w:val="Normal"/>
        <w:spacing w:lineRule="exact" w:line="276" w:before="0" w:after="70"/>
        <w:rPr/>
      </w:pPr>
      <w:r>
        <w:rPr>
          <w:rFonts w:eastAsia="Calibri" w:cs="Calibri"/>
          <w:b/>
          <w:bCs/>
          <w:i w:val="false"/>
          <w:iCs w:val="false"/>
          <w:color w:val="1A1A1A"/>
          <w:sz w:val="21"/>
          <w:szCs w:val="21"/>
        </w:rPr>
        <w:t xml:space="preserve">ALTCS Program Contractor — </w:t>
      </w:r>
      <w:r>
        <w:rPr>
          <w:rFonts w:eastAsia="Calibri" w:cs="Calibri"/>
          <w:b w:val="false"/>
          <w:bCs w:val="false"/>
          <w:i w:val="false"/>
          <w:iCs w:val="false"/>
          <w:color w:val="1A1A1A"/>
          <w:sz w:val="21"/>
          <w:szCs w:val="21"/>
        </w:rPr>
        <w:t>the managed care health plan under contract with AHCCCS through which ALTCS members’ services are authorized and paid.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members, it enrolls as an AHCCCS provider through the AHCCCS Provider Enrollment Portal (paying the applicable enrollment fee and completing the required background screening), contracts with the ALTCS Program Contractors whose members it serves, and follows the authorization, service-limit, supervision, training, and EVV rules of AHCCCS and each Contractor. The agency understands that enrolling does not by itself generate clients and that it must contract with the health plans to serve their members. It revalidates its AHCCCS enrollment as required (generally every four years) and keeps its provider information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authorized, delivered, EVV-verified services, uses the correct procedure codes and modifiers, follows the AHCCCS same-day service and member-directed-option rules (Agency with Choice, Self-Directed Attendant Care), and never submits false or duplicate claims. It complies with Arizona wage-and-hour law and the current minimum wage, carries workers’ compensation, and keeps the certifications and records AHCCCS and its Contractors require. The Administrator monitors Medicaid compliance and corrects any deficiency promptly.</w:t>
      </w:r>
    </w:p>
    <w:p>
      <w:pPr>
        <w:pStyle w:val="Normal"/>
        <w:spacing w:lineRule="exact" w:line="276" w:before="0" w:after="120"/>
        <w:jc w:val="start"/>
        <w:rPr/>
      </w:pPr>
      <w:r>
        <w:rPr>
          <w:rFonts w:eastAsia="Calibri" w:cs="Calibri"/>
          <w:b w:val="false"/>
          <w:bCs w:val="false"/>
          <w:i w:val="false"/>
          <w:iCs w:val="false"/>
          <w:color w:val="1A1A1A"/>
          <w:sz w:val="21"/>
          <w:szCs w:val="21"/>
        </w:rPr>
        <w:t>The agency keeps current on AHCCCS provider bulletins, AMPM policy updates, and Contractor requirements, and updates its practices as those requirements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an AHCCCS provider through APEP and complete the required screening and fee.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Contract with the ALTCS Program Contractors whose members the agency serves.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AHCCCS and Contractor authorization, service-limit, supervision, training, and EVV rules.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authorized, delivered, EVV-verified services with correct codes/modifiers; never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same-day service and member-directed-option (AWC, SDAC) rules.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Revalidate AHCCCS enrollment as required and keep provider information current.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Monitor AHCCCS bulletins and Contractor changes and correct deficiencies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AHCCCS Enrollment &amp; Contractor Register · Billing &amp; Claims Compliance Log · Revalidation &amp; Wage Compliance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Program Integrity and Fraud, Waste &amp; Abuse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Integrity and Fraud, Waste &amp; Abuse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1001; AHCCCS program integrity; A.R.S. § 36-2918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program integrity so the agency prevents, detects, and corrects fraud, waste, and abuse and meets its AHCCCS obligations.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Program integrity — </w:t>
      </w:r>
      <w:r>
        <w:rPr>
          <w:rFonts w:eastAsia="Calibri" w:cs="Calibri"/>
          <w:b w:val="false"/>
          <w:bCs w:val="false"/>
          <w:i w:val="false"/>
          <w:iCs w:val="false"/>
          <w:color w:val="1A1A1A"/>
          <w:sz w:val="21"/>
          <w:szCs w:val="21"/>
        </w:rPr>
        <w:t>the AHCCCS oversight of Medicaid provider billing and conduct.</w:t>
      </w:r>
    </w:p>
    <w:p>
      <w:pPr>
        <w:pStyle w:val="Normal"/>
        <w:spacing w:lineRule="exact" w:line="276" w:before="0" w:after="70"/>
        <w:rPr/>
      </w:pPr>
      <w:r>
        <w:rPr>
          <w:rFonts w:eastAsia="Calibri" w:cs="Calibri"/>
          <w:b/>
          <w:bCs/>
          <w:i w:val="false"/>
          <w:iCs w:val="false"/>
          <w:color w:val="1A1A1A"/>
          <w:sz w:val="21"/>
          <w:szCs w:val="21"/>
        </w:rPr>
        <w:t xml:space="preserve">Fraud, waste, and abuse (FWA) — </w:t>
      </w:r>
      <w:r>
        <w:rPr>
          <w:rFonts w:eastAsia="Calibri" w:cs="Calibri"/>
          <w:b w:val="false"/>
          <w:bCs w:val="false"/>
          <w:i w:val="false"/>
          <w:iCs w:val="false"/>
          <w:color w:val="1A1A1A"/>
          <w:sz w:val="21"/>
          <w:szCs w:val="21"/>
        </w:rPr>
        <w:t>improper billing, misuse of services, or policy violations the agency must prevent, detect, and correct.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program integrity by billing accurately, screening for excluded persons, maintaining EVV and documentation integrity, delivering the fraud, waste, and abuse training AHCCCS requires of direct care workers, and cooperating with AHCCCS and Contractor program-integrity reviews. The agency self-reports and repays overpayments as law requires and does not bill for services that were not delivered, not authorized, or not EVV-verified.</w:t>
      </w:r>
    </w:p>
    <w:p>
      <w:pPr>
        <w:pStyle w:val="Normal"/>
        <w:spacing w:lineRule="exact" w:line="276" w:before="0" w:after="120"/>
        <w:jc w:val="start"/>
        <w:rPr/>
      </w:pPr>
      <w:r>
        <w:rPr>
          <w:rFonts w:eastAsia="Calibri" w:cs="Calibri"/>
          <w:b w:val="false"/>
          <w:bCs w:val="false"/>
          <w:i w:val="false"/>
          <w:iCs w:val="false"/>
          <w:color w:val="1A1A1A"/>
          <w:sz w:val="21"/>
          <w:szCs w:val="21"/>
        </w:rPr>
        <w:t>Staff are trained to report compliance concerns without retaliation, and the agency investigates and corrects problems promptly. The agency recalls that home care is an area of heightened Medicaid fraud enforcement and that program-integrity failures can lead to recoupment, termination from AHCCCS, civil penalties, and criminal liability, so it treats program integrity as essential to staying in business.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(or compliance officer) keeps program-integrity activities active and documented, ensures FWA training and audits occur, and reports to the governing body.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accurately and only for authorized, delivered, EVV-verified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Screen for excluded persons and maintain EVV and documentation integrity.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Deliver AHCCCS-required fraud, waste, and abuse training to direct care workers.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with AHCCCS and Contractor program-integrity reviews.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Self-report and repay overpayments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staff to report concerns without retaliation; investigate and correct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program-integrity activities active, documented, and reported to the governing body.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Program Integrity &amp; FWA Training Log · Audit &amp; Monitoring Record · Concern-Reporting &amp; Overpayment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Compliance Program</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1001;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compliance program so the agency prevents, detects, and corrects non-compliance across its operations.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Compliance program — </w:t>
      </w:r>
      <w:r>
        <w:rPr>
          <w:rFonts w:eastAsia="Calibri" w:cs="Calibri"/>
          <w:b w:val="false"/>
          <w:bCs w:val="false"/>
          <w:i w:val="false"/>
          <w:iCs w:val="false"/>
          <w:color w:val="1A1A1A"/>
          <w:sz w:val="21"/>
          <w:szCs w:val="21"/>
        </w:rPr>
        <w:t>the agency’s program of written standards, training, monitoring, reporting, and correction that keeps it compliant.</w:t>
      </w:r>
    </w:p>
    <w:p>
      <w:pPr>
        <w:pStyle w:val="Normal"/>
        <w:spacing w:lineRule="exact" w:line="276" w:before="0" w:after="70"/>
        <w:rPr/>
      </w:pPr>
      <w:r>
        <w:rPr>
          <w:rFonts w:eastAsia="Calibri" w:cs="Calibri"/>
          <w:b/>
          <w:bCs/>
          <w:i w:val="false"/>
          <w:iCs w:val="false"/>
          <w:color w:val="1A1A1A"/>
          <w:sz w:val="21"/>
          <w:szCs w:val="21"/>
        </w:rPr>
        <w:t xml:space="preserve">Compliance officer — </w:t>
      </w:r>
      <w:r>
        <w:rPr>
          <w:rFonts w:eastAsia="Calibri" w:cs="Calibri"/>
          <w:b w:val="false"/>
          <w:bCs w:val="false"/>
          <w:i w:val="false"/>
          <w:iCs w:val="false"/>
          <w:color w:val="1A1A1A"/>
          <w:sz w:val="21"/>
          <w:szCs w:val="21"/>
        </w:rPr>
        <w:t>the person responsible for the compliance program (often the Administrator in a small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compliance program proportional to its operations — with written standards (this manual), staff training, a way to report concerns without retaliation, auditing and monitoring, and prompt investigation and correction of problems. The program covers caregiver screening and training, service delivery and supervision, documentation and EVV, billing and program integrity, privacy, and abuse reporting.</w:t>
      </w:r>
    </w:p>
    <w:p>
      <w:pPr>
        <w:pStyle w:val="Normal"/>
        <w:spacing w:lineRule="exact" w:line="276" w:before="0" w:after="120"/>
        <w:jc w:val="start"/>
        <w:rPr/>
      </w:pPr>
      <w:r>
        <w:rPr>
          <w:rFonts w:eastAsia="Calibri" w:cs="Calibri"/>
          <w:b w:val="false"/>
          <w:bCs w:val="false"/>
          <w:i w:val="false"/>
          <w:iCs w:val="false"/>
          <w:color w:val="1A1A1A"/>
          <w:sz w:val="21"/>
          <w:szCs w:val="21"/>
        </w:rPr>
        <w:t>Because Arizona does not license non-medical home care, the agency treats its compliance program as the internal substitute for external oversight: it holds itself to the standard a regulator would, so that clients, families, and payers can rely on it. Staff are trained on the program, and the agency does not retaliate against a good-faith reporter.</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(or compliance officer) keeps the program active and documented, ensures audits occur and findings are corrected, and reports to the governing body.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compliance program proportional to operations, with written standards, training, and non-retaliatory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screening, training, service delivery, supervision, documentation, EVV, billing, privacy, and abuse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Audit and monitor, investigate and correct problems, and address violations.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Hold the agency to a regulator’s standard as an internal substitute for external oversight.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staff on the program and protect good-faith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program active, documented, and reported to the governing body.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Compliance Program Description · Compliance Training &amp; Audit Log · Concern-Reporting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Business Compliance, Renewals and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Compliance, Renewals and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AHCCCS revalidation; A.R.S. Title 41 (fingerprint cards); business filings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keeps every business authorization and screening credential current, so it remains in good standing in a state where no home care license exists to renew.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Revalidation — </w:t>
      </w:r>
      <w:r>
        <w:rPr>
          <w:rFonts w:eastAsia="Calibri" w:cs="Calibri"/>
          <w:b w:val="false"/>
          <w:bCs w:val="false"/>
          <w:i w:val="false"/>
          <w:iCs w:val="false"/>
          <w:color w:val="1A1A1A"/>
          <w:sz w:val="21"/>
          <w:szCs w:val="21"/>
        </w:rPr>
        <w:t>the periodic AHCCCS re-verification of the agency’s provider enrollment (generally every four years).</w:t>
      </w:r>
    </w:p>
    <w:p>
      <w:pPr>
        <w:pStyle w:val="Normal"/>
        <w:spacing w:lineRule="exact" w:line="276" w:before="0" w:after="70"/>
        <w:rPr/>
      </w:pPr>
      <w:r>
        <w:rPr>
          <w:rFonts w:eastAsia="Calibri" w:cs="Calibri"/>
          <w:b/>
          <w:bCs/>
          <w:i w:val="false"/>
          <w:iCs w:val="false"/>
          <w:color w:val="1A1A1A"/>
          <w:sz w:val="21"/>
          <w:szCs w:val="21"/>
        </w:rPr>
        <w:t xml:space="preserve">Credential renewals — </w:t>
      </w:r>
      <w:r>
        <w:rPr>
          <w:rFonts w:eastAsia="Calibri" w:cs="Calibri"/>
          <w:b w:val="false"/>
          <w:bCs w:val="false"/>
          <w:i w:val="false"/>
          <w:iCs w:val="false"/>
          <w:color w:val="1A1A1A"/>
          <w:sz w:val="21"/>
          <w:szCs w:val="21"/>
        </w:rPr>
        <w:t>the ongoing renewals the agency tracks — fingerprint clearance cards, CPR/first aid, business filings, and insurance.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keeps every business authorization and credential current. Although there is no ADHS home care license to renew, the agency tracks and completes its AHCCCS provider revalidation (generally every four years), its corporate and tax filings with the Arizona Corporation Commission and the Department of Revenue, its insurance and bond renewals, and each caregiver’s fingerprint clearance card, CPR/first aid, and continuing-education renewals. The agency also completes any reporting a health plan or AHCCCS requires.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compliance calendar of these obligations, files and renews on time, pays required fees, and documents each filing and approval. It notifies AHCCCS and its Contractors of changes in ownership, address, or key personnel as required, and does not let its AHCCCS enrollment, insurance, or caregivers’ clearances lapse.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owns these renewal and reporting duties, tracks deadlines, ensures approvals are obtained before changes take effect where required, and keeps the administrative record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Track and complete AHCCCS provider revalidation (generally every four years).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corporate and tax filings, insurance, and bond renewals current.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Track each caregiver’s fingerprint clearance card, CPR/first aid, and continuing-education renewals.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Complete any reporting a health plan or AHCCCS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 compliance calendar; file and renew on time and pay required fees.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AHCCCS and Contractors of changes in ownership, address, or key personnel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let AHCCCS enrollment, insurance, or caregiver clearances lapse.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Renewals &amp; Revalidation Log · Credential Expiration Tracker · Change-of-Information Notice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Operating Standard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Description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Scope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Referral-for-Skilled-Care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Tax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Corporate Standing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Calendar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Body &amp; Administrator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Qualifications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Administrator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&amp;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&amp; Bond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Coverage Currency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&amp; Financial-Interest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Arrangement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Marketing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Complaint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 &amp; 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Payment &amp; Coverage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Change-of-Service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Service-Plan Review &amp;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of Complaints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Breach Response &amp; Notification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Acceptance, Transfer &amp; 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 Transition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Reference &amp; Employment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Retention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Fingerprint Clearance Card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APS/DCS Registry Check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Card Expiration &amp; Renewal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Exclusion Screening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Monthly Re-Screen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Exclusion Finding &amp; Remediation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DCW Training &amp; Testing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CPR/First Aid &amp; CEU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Screening &amp; TB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Communicable-Condition Clearance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Health-Clearance Currency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Conduct &amp; Fitness Standards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Driving-Record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Conduct/Discipline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Coverage &amp; Scheduling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Supervisory-Visit Due-Date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Service-Plan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Duties &amp; Task-Scope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Service-Plan Assignment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Task-Change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Medication-Boundary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Referral-for-Administration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System &amp;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Exception &amp; Reconciliation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Documentation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Transportation Authorization &amp; Incident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Handling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Property/Funds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&amp; APS Contact Guide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Cooperation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Mandated-Reporter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Trend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Infection-Control Supply &amp; Practice Audit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Acuity &amp; Priority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Heat-Safety &amp; Emergency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Hazard Report &amp; Escalation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Service-Plan Safety Update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Disease Report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Public-Health Cooperation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Clearance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 Access &amp;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Trend &amp; Corrective-Action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Governing-Body Quality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AHCCCS Enrollment &amp; Contractor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&amp; Claims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Revalidation &amp; Wage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Program Integrity &amp; FWA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Audit &amp; Monitoring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Concern-Reporting &amp; Overpayment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Program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Training &amp;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Concern-Reporting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Renewals &amp; Revalidation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Expiration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Change-of-Information Notice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Arizona  —  Ready to customize  —  Page </w:t>
    </w:r>
    <w:r>
      <w:rPr/>
      <w:fldChar w:fldCharType="begin"/>
    </w:r>
    <w:r>
      <w:rPr/>
      <w:instrText xml:space="preserve"> PAGE </w:instrText>
    </w:r>
    <w:r>
      <w:rPr/>
      <w:fldChar w:fldCharType="separate"/>
    </w:r>
    <w:r>
      <w:rPr/>
      <w:t>85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Arizona  —  Ready to customize  —  Page </w:t>
    </w:r>
    <w:r>
      <w:rPr/>
      <w:fldChar w:fldCharType="begin"/>
    </w:r>
    <w:r>
      <w:rPr/>
      <w:instrText xml:space="preserve"> PAGE </w:instrText>
    </w:r>
    <w:r>
      <w:rPr/>
      <w:fldChar w:fldCharType="separate"/>
    </w:r>
    <w:r>
      <w:rPr/>
      <w:t>85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Non-Medical Home Care  •  Arizona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Non-Medical Home Care  •  Arizona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2026-07-13T14:56:27Z</dcterms:created>
  <dc:creator>PolicyReady.org</dc:creator>
  <dc:description/>
  <dc:language>en-US</dc:language>
  <cp:lastModifiedBy>Un-named</cp:lastModifiedBy>
  <dcterms:modified xsi:type="dcterms:W3CDTF">2026-07-13T14:56:27Z</dcterms:modified>
  <cp:revision>1</cp:revision>
  <dc:subject/>
  <dc:title>Arizona Non-Medical Home Care — Policy &amp; Procedure Manual</dc:title>
</cp:coreProperties>
</file>