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Mental Health Referral System</w:t>
            </w:r>
          </w:p>
          <w:p>
            <w:pPr>
              <w:pStyle w:val="Normal"/>
              <w:spacing w:before="0" w:after="0"/>
              <w:jc w:val="center"/>
              <w:rPr/>
            </w:pPr>
            <w:r>
              <w:rPr>
                <w:rFonts w:eastAsia="Calibri" w:cs="Calibri"/>
                <w:b/>
                <w:bCs/>
                <w:i w:val="false"/>
                <w:iCs w:val="false"/>
                <w:color w:val="FFFFFF"/>
                <w:sz w:val="34"/>
                <w:szCs w:val="34"/>
              </w:rPr>
              <w:t>Florida Edition</w:t>
            </w:r>
          </w:p>
        </w:tc>
      </w:tr>
    </w:tbl>
    <w:p>
      <w:pPr>
        <w:pStyle w:val="Normal"/>
        <w:spacing w:lineRule="exact" w:line="268" w:before="0" w:after="60"/>
        <w:jc w:val="center"/>
        <w:rPr/>
      </w:pPr>
      <w:r>
        <w:rPr>
          <w:rFonts w:eastAsia="Calibri" w:cs="Calibri"/>
          <w:b w:val="false"/>
          <w:bCs w:val="false"/>
          <w:i/>
          <w:iCs/>
          <w:color w:val="3E5871"/>
          <w:sz w:val="22"/>
          <w:szCs w:val="22"/>
        </w:rPr>
        <w:t>How a Florida licensed mental health treatment provider builds a steady stream of client referrals — the strategy, a verified directory of Florida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 Florida licensed mental health treatment provider fills its caseload and beds through the systems that pay for and steer behavioral health care: the Statewide Medicaid Managed Care (SMMC) plans that cover Medicaid members, the regional Managing Entity that runs the publicly funded network for the uninsured and underinsured, the Baker Act system and its crisis stabilization units and receiving facilities, hospitals and emergency departments, and the courts (including mental health courts and Baker Act examinations). So your “referral” work is really network and relationship work: get licensed with the right endorsements, get enrolled and in-network so those systems can send you clients, and then become the provider they trust to accept referrals quickly, communicate, and get results. This system shows you exactly who those sources are in Florida,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Florida: by being in-network, being known, and being reliable. Read it once start to finish, then use it as a checklist. Everything here is general educational information for Florida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licensed mental health provider, enroll as a Florida Medicaid provider, and contract with your SMMC plan and your regional Managing Entity so clients can be sent to you and you can be paid. Identify the sources that put clients in front of you — the SMMC plan and Managing Entity care coordinators,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DCF license, enroll as a Florida Medicaid provider, and contract with your SMMC plans and Managing Entity so a care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SMMC plan and Managing Entity care coordinators,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SMMC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SMMC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SMMC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Florida landscape of who puts behavioral health clients in front of a provider. Not all carry the same weight — the SMMC plans, the Managing Entity, and the Baker Act and crisis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Statewide Medicaid Managed Care (SMMC) plans — the biggest for Medicaid. </w:t>
      </w:r>
      <w:r>
        <w:rPr>
          <w:rFonts w:eastAsia="Calibri" w:cs="Calibri"/>
          <w:b w:val="false"/>
          <w:bCs w:val="false"/>
          <w:i w:val="false"/>
          <w:iCs w:val="false"/>
          <w:color w:val="1A1A1A"/>
          <w:sz w:val="20"/>
          <w:szCs w:val="20"/>
        </w:rPr>
        <w:t>Florida's Medicaid behavioral health benefit is managed by regional SMMC plans; their care coordinators refer members and authorize services. Being enrolled and in-network with your SMMC plan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Managing Entity — for the uninsured and underinsured. </w:t>
      </w:r>
      <w:r>
        <w:rPr>
          <w:rFonts w:eastAsia="Calibri" w:cs="Calibri"/>
          <w:b w:val="false"/>
          <w:bCs w:val="false"/>
          <w:i w:val="false"/>
          <w:iCs w:val="false"/>
          <w:color w:val="1A1A1A"/>
          <w:sz w:val="20"/>
          <w:szCs w:val="20"/>
        </w:rPr>
        <w:t>Your regional Managing Entity (ME) coordinates the publicly funded network for people without Medicaid and steers them to contracted providers — getting into the ME network is essential.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Baker Act, crisis stabilization units &amp; receiving facilities. </w:t>
      </w:r>
      <w:r>
        <w:rPr>
          <w:rFonts w:eastAsia="Calibri" w:cs="Calibri"/>
          <w:b w:val="false"/>
          <w:bCs w:val="false"/>
          <w:i w:val="false"/>
          <w:iCs w:val="false"/>
          <w:color w:val="1A1A1A"/>
          <w:sz w:val="20"/>
          <w:szCs w:val="20"/>
        </w:rPr>
        <w:t>Under the Baker Act (Ch. 394), people in psychiatric crisis are examined and stabilized in crisis stabilization units (CSUs) and receiving facilities and then need somewhere to step down to for ongoing mental health treatment — a major source of referrals. The 988 Florida Lifeline and mobile response teams also refer.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Inpatient &amp; residential step-downs. </w:t>
      </w:r>
      <w:r>
        <w:rPr>
          <w:rFonts w:eastAsia="Calibri" w:cs="Calibri"/>
          <w:b w:val="false"/>
          <w:bCs w:val="false"/>
          <w:i w:val="false"/>
          <w:iCs w:val="false"/>
          <w:color w:val="1A1A1A"/>
          <w:sz w:val="20"/>
          <w:szCs w:val="20"/>
        </w:rPr>
        <w:t>Psychiatric hospitals, crisis stabilization units, and residential programs step clients down to ongoing outpatient and residential mental health treatment — core referral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Mental health courts, Baker Act proceedings, competency and forensic diversion, probation and parole, and jail reentry refer large numbers of clients and need reliable communication.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SMMC plans and Managing Entity,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license for the levels of care you provide (outpatient, residential, crisis stabilization)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Florida Medicaid provider and contract with your SMMC plan, and join your regional Managing Entity network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crisis stabilization units, receiving facilities,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If you also provide substance use or co-occurring treatment, the Eliminating Kickbacks in Recovery Act (EKRA, 18 U.S.C. § 220) applies as well: it bans paying or receiving remuneration to induce referrals to a treatment facility or laboratory for patients with ANY payer, not just Medicaid. Florida’s Patient Brokering Act (Fla. Stat. § 817.505) also prohibits patient brokering — and Florida is the country’s most active enforcement state for sober-home and treatment patient-brokering cases.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SMMC plan &amp; Managing Entity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units &amp; inpatient discharge want a warm handoff. </w:t>
      </w:r>
      <w:r>
        <w:rPr>
          <w:rFonts w:eastAsia="Calibri" w:cs="Calibri"/>
          <w:b w:val="false"/>
          <w:bCs w:val="false"/>
          <w:i w:val="false"/>
          <w:iCs w:val="false"/>
          <w:color w:val="1A1A1A"/>
          <w:sz w:val="20"/>
          <w:szCs w:val="20"/>
        </w:rPr>
        <w:t>They need the next level of care ready so the client does not fall through the gap after a crisis stay.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SMMC plans and Managing Entity,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SMMC plans and Managing Entity,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endorsements,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behavioral health entity in [area]. We provide [outpatient / residential / withdrawal management / crisis] services for adults with mental health and substance use needs, we're in-network with [SMMC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endorsements; the services and levels of care you provide; who you serve well (diagnoses, co-occurring, age ranges, any specialties) and who you are not the right fit for; your payers and networks (SMMC plan, Managing Entity,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behavioral health entity in [area], in-network with [SMMC plan] and contracted with [Managing Entity].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SMMC plan and Managing Entity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SMMC plan, Managing Entity,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SMMC plan, Managing Entity,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SMMC plan or Managing Entity,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SMMC plan, Managing Entity,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12 — The Referral Lifecycle &amp; the Warm Handoff</w:t>
      </w:r>
    </w:p>
    <w:p>
      <w:pPr>
        <w:pStyle w:val="Normal"/>
        <w:spacing w:lineRule="exact" w:line="268" w:before="0" w:after="110"/>
        <w:jc w:val="start"/>
        <w:rPr/>
      </w:pPr>
      <w:r>
        <w:rPr>
          <w:rFonts w:eastAsia="Calibri" w:cs="Calibri"/>
          <w:b w:val="false"/>
          <w:bCs w:val="false"/>
          <w:i w:val="false"/>
          <w:iCs w:val="false"/>
          <w:color w:val="1A1A1A"/>
          <w:sz w:val="20"/>
          <w:szCs w:val="20"/>
        </w:rPr>
        <w:t>A referral is not a single event; it is a lifecycle, and you can lose a client at every stage. Understanding the stages — and where they break down — is what turns an occasional referral into a dependable stream.</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Inquiry. </w:t>
      </w:r>
      <w:r>
        <w:rPr>
          <w:rFonts w:eastAsia="Calibri" w:cs="Calibri"/>
          <w:b w:val="false"/>
          <w:bCs w:val="false"/>
          <w:i w:val="false"/>
          <w:iCs w:val="false"/>
          <w:color w:val="1A1A1A"/>
          <w:sz w:val="20"/>
          <w:szCs w:val="20"/>
        </w:rPr>
        <w:t>A referrer calls, emails, or sends a client. The clock starts now. The single biggest predictor of whether a referral converts is how fast you respond — practitioners who reach a referred person within 24 to 48 hours complete far more referrals than those who wait.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Screening &amp; eligibility. </w:t>
      </w:r>
      <w:r>
        <w:rPr>
          <w:rFonts w:eastAsia="Calibri" w:cs="Calibri"/>
          <w:b w:val="false"/>
          <w:bCs w:val="false"/>
          <w:i w:val="false"/>
          <w:iCs w:val="false"/>
          <w:color w:val="1A1A1A"/>
          <w:sz w:val="20"/>
          <w:szCs w:val="20"/>
        </w:rPr>
        <w:t>You quickly determine fit — level of care, payer, clinical appropriateness — and give the referrer a clear yes, no, or 'here is who I'd send them to instead.' A fast, honest answer is a gift, even when it is a no.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Admission / first appointment. </w:t>
      </w:r>
      <w:r>
        <w:rPr>
          <w:rFonts w:eastAsia="Calibri" w:cs="Calibri"/>
          <w:b w:val="false"/>
          <w:bCs w:val="false"/>
          <w:i w:val="false"/>
          <w:iCs w:val="false"/>
          <w:color w:val="1A1A1A"/>
          <w:sz w:val="20"/>
          <w:szCs w:val="20"/>
        </w:rPr>
        <w:t>You make the first step easy: a single intake contact, minimal friction, and a quick first appointment or bed offer.</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Engagement. </w:t>
      </w:r>
      <w:r>
        <w:rPr>
          <w:rFonts w:eastAsia="Calibri" w:cs="Calibri"/>
          <w:b w:val="false"/>
          <w:bCs w:val="false"/>
          <w:i w:val="false"/>
          <w:iCs w:val="false"/>
          <w:color w:val="1A1A1A"/>
          <w:sz w:val="20"/>
          <w:szCs w:val="20"/>
        </w:rPr>
        <w:t>The client actually starts and stays. Referrers watch whether the people they send you disappear or get better.</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 warm handoff at transition. </w:t>
      </w:r>
      <w:r>
        <w:rPr>
          <w:rFonts w:eastAsia="Calibri" w:cs="Calibri"/>
          <w:b w:val="false"/>
          <w:bCs w:val="false"/>
          <w:i w:val="false"/>
          <w:iCs w:val="false"/>
          <w:color w:val="1A1A1A"/>
          <w:sz w:val="20"/>
          <w:szCs w:val="20"/>
        </w:rPr>
        <w:t>When a client moves between levels of care — detox to residential, residential to outpatient, crisis to community — you connect them directly to the next provider rather than handing them a phone number.</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The feedback loop. </w:t>
      </w:r>
      <w:r>
        <w:rPr>
          <w:rFonts w:eastAsia="Calibri" w:cs="Calibri"/>
          <w:b w:val="false"/>
          <w:bCs w:val="false"/>
          <w:i w:val="false"/>
          <w:iCs w:val="false"/>
          <w:color w:val="1A1A1A"/>
          <w:sz w:val="20"/>
          <w:szCs w:val="20"/>
        </w:rPr>
        <w:t>You close the loop with the original referrer (with proper consent) so they know the client is safe and progressing. This is what earns the next referral.</w:t>
      </w:r>
    </w:p>
    <w:p>
      <w:pPr>
        <w:pStyle w:val="Normal"/>
        <w:keepNext w:val="true"/>
        <w:spacing w:before="140" w:after="60"/>
        <w:rPr/>
      </w:pPr>
      <w:r>
        <w:rPr>
          <w:rFonts w:eastAsia="Calibri" w:cs="Calibri"/>
          <w:b/>
          <w:bCs/>
          <w:i w:val="false"/>
          <w:iCs w:val="false"/>
          <w:color w:val="3E5871"/>
          <w:sz w:val="21"/>
          <w:szCs w:val="21"/>
        </w:rPr>
        <w:t>The warm handoff: the highest-value habit you can build</w:t>
      </w:r>
    </w:p>
    <w:p>
      <w:pPr>
        <w:pStyle w:val="Normal"/>
        <w:spacing w:lineRule="exact" w:line="268" w:before="0" w:after="110"/>
        <w:jc w:val="start"/>
        <w:rPr/>
      </w:pPr>
      <w:r>
        <w:rPr>
          <w:rFonts w:eastAsia="Calibri" w:cs="Calibri"/>
          <w:b w:val="false"/>
          <w:bCs w:val="false"/>
          <w:i w:val="false"/>
          <w:iCs w:val="false"/>
          <w:color w:val="1A1A1A"/>
          <w:sz w:val="20"/>
          <w:szCs w:val="20"/>
        </w:rPr>
        <w:t>A warm handoff is a direct, real-time introduction of a client from one provider to the next — in person, by phone, or by video, with the client present — rather than simply giving them a number to call on their own. Federal and county behavioral health systems, and the addiction-medicine field, treat it as a best practice for exactly one reason: it works. Studies of behavioral health referrals find that warm handoffs are completed at roughly 80 percent, compared with only about a third to a half of standard 'here's a phone number' referrals. The transitions between levels of care are the most dangerous moments in a person's treatment — the gap before the next service is where relapse, crisis, and disengagement happen — so the provider who reliably closes that gap becomes the provider everyone wants to work with.</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Make the warm handoff your standard</w:t>
            </w:r>
          </w:p>
          <w:p>
            <w:pPr>
              <w:pStyle w:val="Normal"/>
              <w:spacing w:lineRule="exact" w:line="264" w:before="0" w:after="0"/>
              <w:rPr/>
            </w:pPr>
            <w:r>
              <w:rPr>
                <w:rFonts w:eastAsia="Calibri" w:cs="Calibri"/>
                <w:b w:val="false"/>
                <w:bCs w:val="false"/>
                <w:i w:val="false"/>
                <w:iCs w:val="false"/>
                <w:color w:val="1A1A1A"/>
                <w:sz w:val="19"/>
                <w:szCs w:val="19"/>
              </w:rPr>
              <w:t>For every planned discharge or transition, aim to introduce the client directly to the receiving provider before they leave you: identify both providers by name and role, summarize the client's status and goals, confirm the next appointment or bed, and let the client ask questions. Document each handoff — date, providers, what was shared, the client's response. It protects the client, it satisfies accreditation care-coordination expectations, and it makes you the referral partner others trust.</w:t>
            </w:r>
          </w:p>
        </w:tc>
      </w:tr>
    </w:tbl>
    <w:p>
      <w:pPr>
        <w:pStyle w:val="Normal"/>
        <w:keepNext w:val="true"/>
        <w:spacing w:before="220" w:after="90"/>
        <w:rPr/>
      </w:pPr>
      <w:r>
        <w:rPr>
          <w:rFonts w:eastAsia="Calibri" w:cs="Calibri"/>
          <w:b/>
          <w:bCs/>
          <w:i w:val="false"/>
          <w:iCs w:val="false"/>
          <w:color w:val="1F3A5F"/>
          <w:sz w:val="26"/>
          <w:szCs w:val="26"/>
        </w:rPr>
        <w:t>Part 13 — Running a Great First Meeting With a Referral Source</w:t>
      </w:r>
    </w:p>
    <w:p>
      <w:pPr>
        <w:pStyle w:val="Normal"/>
        <w:spacing w:lineRule="exact" w:line="268" w:before="0" w:after="110"/>
        <w:jc w:val="start"/>
        <w:rPr/>
      </w:pPr>
      <w:r>
        <w:rPr>
          <w:rFonts w:eastAsia="Calibri" w:cs="Calibri"/>
          <w:b w:val="false"/>
          <w:bCs w:val="false"/>
          <w:i w:val="false"/>
          <w:iCs w:val="false"/>
          <w:color w:val="1A1A1A"/>
          <w:sz w:val="20"/>
          <w:szCs w:val="20"/>
        </w:rPr>
        <w:t>Most providers never actually sit down with the people who could send them clients. The ones who do — and who run that meeting well — build relationships that last for years. Here is how to make a first meeting count, whether it is fifteen minutes with a hospital discharge planner or a scheduled visit with a care coordinator or a drug-court coordinator.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Prepare. </w:t>
      </w:r>
      <w:r>
        <w:rPr>
          <w:rFonts w:eastAsia="Calibri" w:cs="Calibri"/>
          <w:b w:val="false"/>
          <w:bCs w:val="false"/>
          <w:i w:val="false"/>
          <w:iCs w:val="false"/>
          <w:color w:val="1A1A1A"/>
          <w:sz w:val="20"/>
          <w:szCs w:val="20"/>
        </w:rPr>
        <w:t>Learn what that source does, who they serve, and the pressure they are under before you walk in. Bring your one-page capabilities summary and your current openings.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Lead with their problem, not your brochure. </w:t>
      </w:r>
      <w:r>
        <w:rPr>
          <w:rFonts w:eastAsia="Calibri" w:cs="Calibri"/>
          <w:b w:val="false"/>
          <w:bCs w:val="false"/>
          <w:i w:val="false"/>
          <w:iCs w:val="false"/>
          <w:color w:val="1A1A1A"/>
          <w:sz w:val="20"/>
          <w:szCs w:val="20"/>
        </w:rPr>
        <w:t>Open with a question: 'What kind of client is hardest for you to place right now?' Then show how you solve exactly that.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specific and honest about fit. </w:t>
      </w:r>
      <w:r>
        <w:rPr>
          <w:rFonts w:eastAsia="Calibri" w:cs="Calibri"/>
          <w:b w:val="false"/>
          <w:bCs w:val="false"/>
          <w:i w:val="false"/>
          <w:iCs w:val="false"/>
          <w:color w:val="1A1A1A"/>
          <w:sz w:val="20"/>
          <w:szCs w:val="20"/>
        </w:rPr>
        <w:t>Say clearly who you serve well and who you are not right for. Referrers trust the provider who declines a poor fit far more than the one who says yes to everything.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Make the next step effortless. </w:t>
      </w:r>
      <w:r>
        <w:rPr>
          <w:rFonts w:eastAsia="Calibri" w:cs="Calibri"/>
          <w:b w:val="false"/>
          <w:bCs w:val="false"/>
          <w:i w:val="false"/>
          <w:iCs w:val="false"/>
          <w:color w:val="1A1A1A"/>
          <w:sz w:val="20"/>
          <w:szCs w:val="20"/>
        </w:rPr>
        <w:t>Leave them with one intake phone number, one email, your response-time promise, and your name. Ask exactly how they prefer to send a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Follow up within 48 hours. </w:t>
      </w:r>
      <w:r>
        <w:rPr>
          <w:rFonts w:eastAsia="Calibri" w:cs="Calibri"/>
          <w:b w:val="false"/>
          <w:bCs w:val="false"/>
          <w:i w:val="false"/>
          <w:iCs w:val="false"/>
          <w:color w:val="1A1A1A"/>
          <w:sz w:val="20"/>
          <w:szCs w:val="20"/>
        </w:rPr>
        <w:t>A short thank-you note that restates your intake contact and openings turns a pleasant meeting into a working relationship.</w:t>
      </w:r>
    </w:p>
    <w:p>
      <w:pPr>
        <w:pStyle w:val="Normal"/>
        <w:keepNext w:val="true"/>
        <w:spacing w:before="220" w:after="90"/>
        <w:rPr/>
      </w:pPr>
      <w:r>
        <w:rPr>
          <w:rFonts w:eastAsia="Calibri" w:cs="Calibri"/>
          <w:b/>
          <w:bCs/>
          <w:i w:val="false"/>
          <w:iCs w:val="false"/>
          <w:color w:val="1F3A5F"/>
          <w:sz w:val="26"/>
          <w:szCs w:val="26"/>
        </w:rPr>
        <w:t>Part 14 — Formal Relationships Without Paying for Referrals</w:t>
      </w:r>
    </w:p>
    <w:p>
      <w:pPr>
        <w:pStyle w:val="Normal"/>
        <w:spacing w:lineRule="exact" w:line="268" w:before="0" w:after="110"/>
        <w:jc w:val="start"/>
        <w:rPr/>
      </w:pPr>
      <w:r>
        <w:rPr>
          <w:rFonts w:eastAsia="Calibri" w:cs="Calibri"/>
          <w:b w:val="false"/>
          <w:bCs w:val="false"/>
          <w:i w:val="false"/>
          <w:iCs w:val="false"/>
          <w:color w:val="1A1A1A"/>
          <w:sz w:val="20"/>
          <w:szCs w:val="20"/>
        </w:rPr>
        <w:t>As relationships deepen, you may want something more formal — a written care-coordination agreement or memorandum of understanding (MOU) with a hospital, a detox program, a court program, or another provider. Done right, these agreements strengthen continuity of care and make you a preferred partner. Done wrong, they cross the legal line. This is where behavioral health providers get into real trouble, so read carefully.</w:t>
      </w:r>
    </w:p>
    <w:p>
      <w:pPr>
        <w:pStyle w:val="Normal"/>
        <w:keepNext w:val="true"/>
        <w:spacing w:before="140" w:after="60"/>
        <w:rPr/>
      </w:pPr>
      <w:r>
        <w:rPr>
          <w:rFonts w:eastAsia="Calibri" w:cs="Calibri"/>
          <w:b/>
          <w:bCs/>
          <w:i w:val="false"/>
          <w:iCs w:val="false"/>
          <w:color w:val="3E5871"/>
          <w:sz w:val="21"/>
          <w:szCs w:val="21"/>
        </w:rPr>
        <w:t>What a compliant care-coordination agreement can do</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Define how two providers will communicate, share information (within 42 CFR Part 2 and HIPAA consent), and coordinate transitions and warm handoffs.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Set expectations for response times, on-call contacts, and joint treatment planning.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Describe a genuine clinical or operational relationship — not a promise to send a certain number of clients, and not any payment tied to volume of referrals.</w:t>
      </w:r>
    </w:p>
    <w:p>
      <w:pPr>
        <w:pStyle w:val="Normal"/>
        <w:keepNext w:val="true"/>
        <w:spacing w:before="140" w:after="60"/>
        <w:rPr/>
      </w:pPr>
      <w:r>
        <w:rPr>
          <w:rFonts w:eastAsia="Calibri" w:cs="Calibri"/>
          <w:b/>
          <w:bCs/>
          <w:i w:val="false"/>
          <w:iCs w:val="false"/>
          <w:color w:val="3E5871"/>
          <w:sz w:val="21"/>
          <w:szCs w:val="21"/>
        </w:rPr>
        <w:t>Where the legal line sits — in practice</w:t>
      </w:r>
    </w:p>
    <w:p>
      <w:pPr>
        <w:pStyle w:val="Normal"/>
        <w:spacing w:lineRule="exact" w:line="268" w:before="0" w:after="110"/>
        <w:jc w:val="start"/>
        <w:rPr/>
      </w:pPr>
      <w:r>
        <w:rPr>
          <w:rFonts w:eastAsia="Calibri" w:cs="Calibri"/>
          <w:b w:val="false"/>
          <w:bCs w:val="false"/>
          <w:i w:val="false"/>
          <w:iCs w:val="false"/>
          <w:color w:val="1A1A1A"/>
          <w:sz w:val="20"/>
          <w:szCs w:val="20"/>
        </w:rPr>
        <w:t>Two federal laws govern this, and substance use treatment is a top enforcement priority. The Anti-Kickback Statute prohibits paying or receiving anything of value for referrals of federally funded (including Medicaid) patients. The Eliminating Kickbacks in Recovery Act (EKRA, 18 U.S.C. § 220) goes further and bans paying or receiving remuneration to induce referrals to a recovery home, clinical treatment facility, or laboratory for patients with ANY payer, including private pay. Most states, and many with special force, also prohibit patient brokering. A few worked examples: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Not allowed: </w:t>
      </w:r>
      <w:r>
        <w:rPr>
          <w:rFonts w:eastAsia="Calibri" w:cs="Calibri"/>
          <w:b w:val="false"/>
          <w:bCs w:val="false"/>
          <w:i w:val="false"/>
          <w:iCs w:val="false"/>
          <w:color w:val="1A1A1A"/>
          <w:sz w:val="20"/>
          <w:szCs w:val="20"/>
        </w:rPr>
        <w:t>paying a 'marketer,' interventionist, or sober-home operator a fee — flat or per-head — for each client they steer to you; giving free rent, trips, or gifts in exchange for referrals; a 'medical director' paid far above fair value whose real job is to send patients.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Allowed: </w:t>
      </w:r>
      <w:r>
        <w:rPr>
          <w:rFonts w:eastAsia="Calibri" w:cs="Calibri"/>
          <w:b w:val="false"/>
          <w:bCs w:val="false"/>
          <w:i w:val="false"/>
          <w:iCs w:val="false"/>
          <w:color w:val="1A1A1A"/>
          <w:sz w:val="20"/>
          <w:szCs w:val="20"/>
        </w:rPr>
        <w:t>employing a genuine business-development or outreach person on a bona fide salary that does not vary with referral volume; paying fair-market value for actual, documented services under a written contract (never for referrals); marketing legitimately — a website, directory listings, education; being a real clinical resource.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simple test</w:t>
            </w:r>
          </w:p>
          <w:p>
            <w:pPr>
              <w:pStyle w:val="Normal"/>
              <w:spacing w:lineRule="exact" w:line="264" w:before="0" w:after="0"/>
              <w:rPr/>
            </w:pPr>
            <w:r>
              <w:rPr>
                <w:rFonts w:eastAsia="Calibri" w:cs="Calibri"/>
                <w:b w:val="false"/>
                <w:bCs w:val="false"/>
                <w:i w:val="false"/>
                <w:iCs w:val="false"/>
                <w:color w:val="1A1A1A"/>
                <w:sz w:val="19"/>
                <w:szCs w:val="19"/>
              </w:rPr>
              <w:t>If money or anything of value moves because a client was referred, stop and get qualified counsel before you sign or pay. Earn referrals through reliability and relationships — never buy them. A single patient-brokering charge can end a program.</w:t>
            </w:r>
          </w:p>
        </w:tc>
      </w:tr>
    </w:tbl>
    <w:p>
      <w:pPr>
        <w:pStyle w:val="Normal"/>
        <w:keepNext w:val="true"/>
        <w:spacing w:before="220" w:after="90"/>
        <w:rPr/>
      </w:pPr>
      <w:r>
        <w:rPr>
          <w:rFonts w:eastAsia="Calibri" w:cs="Calibri"/>
          <w:b/>
          <w:bCs/>
          <w:i w:val="false"/>
          <w:iCs w:val="false"/>
          <w:color w:val="1F3A5F"/>
          <w:sz w:val="26"/>
          <w:szCs w:val="26"/>
        </w:rPr>
        <w:t>Part 15 — Your Intake &amp; Admissions Experience Is Your Referral Engine</w:t>
      </w:r>
    </w:p>
    <w:p>
      <w:pPr>
        <w:pStyle w:val="Normal"/>
        <w:spacing w:lineRule="exact" w:line="268" w:before="0" w:after="110"/>
        <w:jc w:val="start"/>
        <w:rPr/>
      </w:pPr>
      <w:r>
        <w:rPr>
          <w:rFonts w:eastAsia="Calibri" w:cs="Calibri"/>
          <w:b w:val="false"/>
          <w:bCs w:val="false"/>
          <w:i w:val="false"/>
          <w:iCs w:val="false"/>
          <w:color w:val="1A1A1A"/>
          <w:sz w:val="20"/>
          <w:szCs w:val="20"/>
        </w:rPr>
        <w:t>Referrers do not judge you on your website or your mission statement. They judge you on what happens in the hours after they send you a client. Your intake and admissions experience is, in practice, your single most powerful referral tool — and the one most providers neglect.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Answer fast, every time. </w:t>
      </w:r>
      <w:r>
        <w:rPr>
          <w:rFonts w:eastAsia="Calibri" w:cs="Calibri"/>
          <w:b w:val="false"/>
          <w:bCs w:val="false"/>
          <w:i w:val="false"/>
          <w:iCs w:val="false"/>
          <w:color w:val="1A1A1A"/>
          <w:sz w:val="20"/>
          <w:szCs w:val="20"/>
        </w:rPr>
        <w:t>Same-day — ideally within a couple of hours. Every unanswered call or slow response is a referral quietly going to a competitor.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Give one point of contact. </w:t>
      </w:r>
      <w:r>
        <w:rPr>
          <w:rFonts w:eastAsia="Calibri" w:cs="Calibri"/>
          <w:b w:val="false"/>
          <w:bCs w:val="false"/>
          <w:i w:val="false"/>
          <w:iCs w:val="false"/>
          <w:color w:val="1A1A1A"/>
          <w:sz w:val="20"/>
          <w:szCs w:val="20"/>
        </w:rPr>
        <w:t>A named intake person or line the referrer can reach directly, not a general voicemail. Referrers reuse the provider who is easy to reach.</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or no clearly and quickly. </w:t>
      </w:r>
      <w:r>
        <w:rPr>
          <w:rFonts w:eastAsia="Calibri" w:cs="Calibri"/>
          <w:b w:val="false"/>
          <w:bCs w:val="false"/>
          <w:i w:val="false"/>
          <w:iCs w:val="false"/>
          <w:color w:val="1A1A1A"/>
          <w:sz w:val="20"/>
          <w:szCs w:val="20"/>
        </w:rPr>
        <w:t>A fast, honest decision — even a no with a suggestion of where else to try — respects the referrer's time pressure and earns trust.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Reduce friction for the client. </w:t>
      </w:r>
      <w:r>
        <w:rPr>
          <w:rFonts w:eastAsia="Calibri" w:cs="Calibri"/>
          <w:b w:val="false"/>
          <w:bCs w:val="false"/>
          <w:i w:val="false"/>
          <w:iCs w:val="false"/>
          <w:color w:val="1A1A1A"/>
          <w:sz w:val="20"/>
          <w:szCs w:val="20"/>
        </w:rPr>
        <w:t>Simple paperwork, help with transportation and benefits, and a quick first appointment or bed offer keep the referral from falling apart at the last step.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Close the loop. </w:t>
      </w:r>
      <w:r>
        <w:rPr>
          <w:rFonts w:eastAsia="Calibri" w:cs="Calibri"/>
          <w:b w:val="false"/>
          <w:bCs w:val="false"/>
          <w:i w:val="false"/>
          <w:iCs w:val="false"/>
          <w:color w:val="1A1A1A"/>
          <w:sz w:val="20"/>
          <w:szCs w:val="20"/>
        </w:rPr>
        <w:t>Tell the referrer you accepted, and later that the client engaged (with consent). Silence after intake is the most common way providers lose a referral source.</w:t>
      </w:r>
    </w:p>
    <w:p>
      <w:pPr>
        <w:pStyle w:val="Normal"/>
        <w:keepNext w:val="true"/>
        <w:spacing w:before="220" w:after="90"/>
        <w:rPr/>
      </w:pPr>
      <w:r>
        <w:rPr>
          <w:rFonts w:eastAsia="Calibri" w:cs="Calibri"/>
          <w:b/>
          <w:bCs/>
          <w:i w:val="false"/>
          <w:iCs w:val="false"/>
          <w:color w:val="1F3A5F"/>
          <w:sz w:val="26"/>
          <w:szCs w:val="26"/>
        </w:rPr>
        <w:t>Part 16 — Reputation, Outcomes &amp; Accreditation</w:t>
      </w:r>
    </w:p>
    <w:p>
      <w:pPr>
        <w:pStyle w:val="Normal"/>
        <w:spacing w:lineRule="exact" w:line="268" w:before="0" w:after="110"/>
        <w:jc w:val="start"/>
        <w:rPr/>
      </w:pPr>
      <w:r>
        <w:rPr>
          <w:rFonts w:eastAsia="Calibri" w:cs="Calibri"/>
          <w:b w:val="false"/>
          <w:bCs w:val="false"/>
          <w:i w:val="false"/>
          <w:iCs w:val="false"/>
          <w:color w:val="1A1A1A"/>
          <w:sz w:val="20"/>
          <w:szCs w:val="20"/>
        </w:rPr>
        <w:t>Over time, referrals flow toward providers with a reputation for getting results and being safe to send people to. You build that reputation deliberately.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Track and share outcomes (appropriately). </w:t>
      </w:r>
      <w:r>
        <w:rPr>
          <w:rFonts w:eastAsia="Calibri" w:cs="Calibri"/>
          <w:b w:val="false"/>
          <w:bCs w:val="false"/>
          <w:i w:val="false"/>
          <w:iCs w:val="false"/>
          <w:color w:val="1A1A1A"/>
          <w:sz w:val="20"/>
          <w:szCs w:val="20"/>
        </w:rPr>
        <w:t>Engagement rates, completion rates, and reductions in crisis or readmission are the language referrers care about. A provider who can say 'the clients you send us stay engaged' has an enormous advantage.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Manage your online reputation. </w:t>
      </w:r>
      <w:r>
        <w:rPr>
          <w:rFonts w:eastAsia="Calibri" w:cs="Calibri"/>
          <w:b w:val="false"/>
          <w:bCs w:val="false"/>
          <w:i w:val="false"/>
          <w:iCs w:val="false"/>
          <w:color w:val="1A1A1A"/>
          <w:sz w:val="20"/>
          <w:szCs w:val="20"/>
        </w:rPr>
        <w:t>Referrers and families look you up. A current, professional online presence and thoughtful responses to reviews signal that you are credible and safe.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Consider accreditation. </w:t>
      </w:r>
      <w:r>
        <w:rPr>
          <w:rFonts w:eastAsia="Calibri" w:cs="Calibri"/>
          <w:b w:val="false"/>
          <w:bCs w:val="false"/>
          <w:i w:val="false"/>
          <w:iCs w:val="false"/>
          <w:color w:val="1A1A1A"/>
          <w:sz w:val="20"/>
          <w:szCs w:val="20"/>
        </w:rPr>
        <w:t>Accreditation from CARF or The Joint Commission signals quality and requires the care-coordination and continuity practices this playbook describes. Many payers and institutional referrers prefer, or require, accredited providers — it can open referral doors that are otherwise closed.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Never let a referred client bounce back needlessly. </w:t>
      </w:r>
      <w:r>
        <w:rPr>
          <w:rFonts w:eastAsia="Calibri" w:cs="Calibri"/>
          <w:b w:val="false"/>
          <w:bCs w:val="false"/>
          <w:i w:val="false"/>
          <w:iCs w:val="false"/>
          <w:color w:val="1A1A1A"/>
          <w:sz w:val="20"/>
          <w:szCs w:val="20"/>
        </w:rPr>
        <w:t>The strongest reputation-builder of all is simple: the people they send you get better and do not return to crisis. That makes the referrer look good — and they remember.</w:t>
      </w:r>
    </w:p>
    <w:p>
      <w:pPr>
        <w:pStyle w:val="Normal"/>
        <w:keepNext w:val="true"/>
        <w:spacing w:before="220" w:after="90"/>
        <w:rPr/>
      </w:pPr>
      <w:r>
        <w:rPr>
          <w:rFonts w:eastAsia="Calibri" w:cs="Calibri"/>
          <w:b/>
          <w:bCs/>
          <w:i w:val="false"/>
          <w:iCs w:val="false"/>
          <w:color w:val="1F3A5F"/>
          <w:sz w:val="26"/>
          <w:szCs w:val="26"/>
        </w:rPr>
        <w:t>Part 17 — Community Education, Objections &amp; Your 12-Month Rhythm</w:t>
      </w:r>
    </w:p>
    <w:p>
      <w:pPr>
        <w:pStyle w:val="Normal"/>
        <w:keepNext w:val="true"/>
        <w:spacing w:before="140" w:after="60"/>
        <w:rPr/>
      </w:pPr>
      <w:r>
        <w:rPr>
          <w:rFonts w:eastAsia="Calibri" w:cs="Calibri"/>
          <w:b/>
          <w:bCs/>
          <w:i w:val="false"/>
          <w:iCs w:val="false"/>
          <w:color w:val="3E5871"/>
          <w:sz w:val="21"/>
          <w:szCs w:val="21"/>
        </w:rPr>
        <w:t>Be the educator</w:t>
      </w:r>
    </w:p>
    <w:p>
      <w:pPr>
        <w:pStyle w:val="Normal"/>
        <w:spacing w:lineRule="exact" w:line="268" w:before="0" w:after="110"/>
        <w:jc w:val="start"/>
        <w:rPr/>
      </w:pPr>
      <w:r>
        <w:rPr>
          <w:rFonts w:eastAsia="Calibri" w:cs="Calibri"/>
          <w:b w:val="false"/>
          <w:bCs w:val="false"/>
          <w:i w:val="false"/>
          <w:iCs w:val="false"/>
          <w:color w:val="1A1A1A"/>
          <w:sz w:val="20"/>
          <w:szCs w:val="20"/>
        </w:rPr>
        <w:t>One of the most effective and fully compliant ways to earn referrals is to be a source of useful knowledge. Offer brief in-services or lunch-and-learns to hospital discharge teams, primary care clinics, courts, and other providers on topics you know well — levels of care, what to expect from your program, how to make a good referral, medication-assisted treatment, or co-occurring care. You are not selling; you are helping, and you become the name they remember.</w:t>
      </w:r>
    </w:p>
    <w:p>
      <w:pPr>
        <w:pStyle w:val="Normal"/>
        <w:keepNext w:val="true"/>
        <w:spacing w:before="140" w:after="60"/>
        <w:rPr/>
      </w:pPr>
      <w:r>
        <w:rPr>
          <w:rFonts w:eastAsia="Calibri" w:cs="Calibri"/>
          <w:b/>
          <w:bCs/>
          <w:i w:val="false"/>
          <w:iCs w:val="false"/>
          <w:color w:val="3E5871"/>
          <w:sz w:val="21"/>
          <w:szCs w:val="21"/>
        </w:rPr>
        <w:t>Answering the objections referrers raise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 don't know if you have space.' </w:t>
      </w:r>
      <w:r>
        <w:rPr>
          <w:rFonts w:eastAsia="Calibri" w:cs="Calibri"/>
          <w:b w:val="false"/>
          <w:bCs w:val="false"/>
          <w:i w:val="false"/>
          <w:iCs w:val="false"/>
          <w:color w:val="1A1A1A"/>
          <w:sz w:val="20"/>
          <w:szCs w:val="20"/>
        </w:rPr>
        <w:t>Keep your availability current with them and in any bed or referral platform, and answer instantly when they ask.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'I'm not sure you take our clients / payer.' </w:t>
      </w:r>
      <w:r>
        <w:rPr>
          <w:rFonts w:eastAsia="Calibri" w:cs="Calibri"/>
          <w:b w:val="false"/>
          <w:bCs w:val="false"/>
          <w:i w:val="false"/>
          <w:iCs w:val="false"/>
          <w:color w:val="1A1A1A"/>
          <w:sz w:val="20"/>
          <w:szCs w:val="20"/>
        </w:rPr>
        <w:t>Be crystal clear about who you serve and which payers and networks you accept.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'Last time I referred somewhere, I never heard back.' </w:t>
      </w:r>
      <w:r>
        <w:rPr>
          <w:rFonts w:eastAsia="Calibri" w:cs="Calibri"/>
          <w:b w:val="false"/>
          <w:bCs w:val="false"/>
          <w:i w:val="false"/>
          <w:iCs w:val="false"/>
          <w:color w:val="1A1A1A"/>
          <w:sz w:val="20"/>
          <w:szCs w:val="20"/>
        </w:rPr>
        <w:t>Lead with your communication promise and then keep it — this is the objection you win by being different.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'Will my client actually get better?' </w:t>
      </w:r>
      <w:r>
        <w:rPr>
          <w:rFonts w:eastAsia="Calibri" w:cs="Calibri"/>
          <w:b w:val="false"/>
          <w:bCs w:val="false"/>
          <w:i w:val="false"/>
          <w:iCs w:val="false"/>
          <w:color w:val="1A1A1A"/>
          <w:sz w:val="20"/>
          <w:szCs w:val="20"/>
        </w:rPr>
        <w:t>Share your approach and outcomes honestly, and let a track record of engaged clients speak for you.</w:t>
      </w:r>
    </w:p>
    <w:p>
      <w:pPr>
        <w:pStyle w:val="Normal"/>
        <w:keepNext w:val="true"/>
        <w:spacing w:before="140" w:after="60"/>
        <w:rPr/>
      </w:pPr>
      <w:r>
        <w:rPr>
          <w:rFonts w:eastAsia="Calibri" w:cs="Calibri"/>
          <w:b/>
          <w:bCs/>
          <w:i w:val="false"/>
          <w:iCs w:val="false"/>
          <w:color w:val="3E5871"/>
          <w:sz w:val="21"/>
          <w:szCs w:val="21"/>
        </w:rPr>
        <w:t>A twelve-month relationship rhythm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over a year, not a week. A simple annual rhythm keeps them warm: introduce yourself to a set number of new sources each quarter; check in with every active referrer on a regular cycle; offer one in-service or education session per quarter; send a brief, consent-appropriate update whenever you can make a referrer look good; and review your referral-source data quarterly to see who to invest in. Consistency, not intensity, is what fills a caseload year after year.</w:t>
      </w:r>
    </w:p>
    <w:p>
      <w:pPr>
        <w:pStyle w:val="Normal"/>
        <w:keepNext w:val="true"/>
        <w:spacing w:before="220" w:after="90"/>
        <w:rPr/>
      </w:pPr>
      <w:r>
        <w:rPr>
          <w:rFonts w:eastAsia="Calibri" w:cs="Calibri"/>
          <w:b/>
          <w:bCs/>
          <w:i w:val="false"/>
          <w:iCs w:val="false"/>
          <w:color w:val="1F3A5F"/>
          <w:sz w:val="26"/>
          <w:szCs w:val="26"/>
        </w:rPr>
        <w:t>Part 18 — Source-Type Playbooks: Each Referrer Is Different</w:t>
      </w:r>
    </w:p>
    <w:p>
      <w:pPr>
        <w:pStyle w:val="Normal"/>
        <w:spacing w:lineRule="exact" w:line="268" w:before="0" w:after="110"/>
        <w:jc w:val="start"/>
        <w:rPr/>
      </w:pPr>
      <w:r>
        <w:rPr>
          <w:rFonts w:eastAsia="Calibri" w:cs="Calibri"/>
          <w:b w:val="false"/>
          <w:bCs w:val="false"/>
          <w:i w:val="false"/>
          <w:iCs w:val="false"/>
          <w:color w:val="1A1A1A"/>
          <w:sz w:val="20"/>
          <w:szCs w:val="20"/>
        </w:rPr>
        <w:t>A hospital discharge planner, a drug-court coordinator, a primary care clinic, and a child-welfare caseworker all send clients — but they have different pressures, different timelines, and different definitions of a good provider. Tailor your approach to each.</w:t>
      </w:r>
    </w:p>
    <w:p>
      <w:pPr>
        <w:pStyle w:val="Normal"/>
        <w:keepNext w:val="true"/>
        <w:spacing w:before="140" w:after="60"/>
        <w:rPr/>
      </w:pPr>
      <w:r>
        <w:rPr>
          <w:rFonts w:eastAsia="Calibri" w:cs="Calibri"/>
          <w:b/>
          <w:bCs/>
          <w:i w:val="false"/>
          <w:iCs w:val="false"/>
          <w:color w:val="3E5871"/>
          <w:sz w:val="21"/>
          <w:szCs w:val="21"/>
        </w:rPr>
        <w:t>Hospitals &amp; emergency departments</w:t>
      </w:r>
    </w:p>
    <w:p>
      <w:pPr>
        <w:pStyle w:val="Normal"/>
        <w:spacing w:lineRule="exact" w:line="268" w:before="0" w:after="110"/>
        <w:jc w:val="start"/>
        <w:rPr/>
      </w:pPr>
      <w:r>
        <w:rPr>
          <w:rFonts w:eastAsia="Calibri" w:cs="Calibri"/>
          <w:b w:val="false"/>
          <w:bCs w:val="false"/>
          <w:i w:val="false"/>
          <w:iCs w:val="false"/>
          <w:color w:val="1A1A1A"/>
          <w:sz w:val="20"/>
          <w:szCs w:val="20"/>
        </w:rPr>
        <w:t>Discharge planners and ED social workers are under intense time pressure and are measured on safe, timely discharges and avoiding readmissions. Win them by being reachable in real time, accepting quickly, taking the harder placements when you can, and never letting a discharged client bounce back. A same-day bed or appointment and a warm handoff are worth more here than any brochure.</w:t>
      </w:r>
    </w:p>
    <w:p>
      <w:pPr>
        <w:pStyle w:val="Normal"/>
        <w:keepNext w:val="true"/>
        <w:spacing w:before="140" w:after="60"/>
        <w:rPr/>
      </w:pPr>
      <w:r>
        <w:rPr>
          <w:rFonts w:eastAsia="Calibri" w:cs="Calibri"/>
          <w:b/>
          <w:bCs/>
          <w:i w:val="false"/>
          <w:iCs w:val="false"/>
          <w:color w:val="3E5871"/>
          <w:sz w:val="21"/>
          <w:szCs w:val="21"/>
        </w:rPr>
        <w:t>Courts &amp; criminal justice</w:t>
      </w:r>
    </w:p>
    <w:p>
      <w:pPr>
        <w:pStyle w:val="Normal"/>
        <w:spacing w:lineRule="exact" w:line="268" w:before="0" w:after="110"/>
        <w:jc w:val="start"/>
        <w:rPr/>
      </w:pPr>
      <w:r>
        <w:rPr>
          <w:rFonts w:eastAsia="Calibri" w:cs="Calibri"/>
          <w:b w:val="false"/>
          <w:bCs w:val="false"/>
          <w:i w:val="false"/>
          <w:iCs w:val="false"/>
          <w:color w:val="1A1A1A"/>
          <w:sz w:val="20"/>
          <w:szCs w:val="20"/>
        </w:rPr>
        <w:t>Drug courts, mental health courts, probation, parole, and reentry programs need compliance and communication above all: attendance, drug-screen results, progress, and prompt notice of any problem — all within consent. They send steady volume to providers who report reliably and never leave a coordinator surprised in front of a judge. Learn each program's reporting expectations and meet them without being chased.</w:t>
      </w:r>
    </w:p>
    <w:p>
      <w:pPr>
        <w:pStyle w:val="Normal"/>
        <w:keepNext w:val="true"/>
        <w:spacing w:before="140" w:after="60"/>
        <w:rPr/>
      </w:pPr>
      <w:r>
        <w:rPr>
          <w:rFonts w:eastAsia="Calibri" w:cs="Calibri"/>
          <w:b/>
          <w:bCs/>
          <w:i w:val="false"/>
          <w:iCs w:val="false"/>
          <w:color w:val="3E5871"/>
          <w:sz w:val="21"/>
          <w:szCs w:val="21"/>
        </w:rPr>
        <w:t>Primary care &amp; FQHCs</w:t>
      </w:r>
    </w:p>
    <w:p>
      <w:pPr>
        <w:pStyle w:val="Normal"/>
        <w:spacing w:lineRule="exact" w:line="268" w:before="0" w:after="110"/>
        <w:jc w:val="start"/>
        <w:rPr/>
      </w:pPr>
      <w:r>
        <w:rPr>
          <w:rFonts w:eastAsia="Calibri" w:cs="Calibri"/>
          <w:b w:val="false"/>
          <w:bCs w:val="false"/>
          <w:i w:val="false"/>
          <w:iCs w:val="false"/>
          <w:color w:val="1A1A1A"/>
          <w:sz w:val="20"/>
          <w:szCs w:val="20"/>
        </w:rPr>
        <w:t>Primary care providers and federally qualified health centers increasingly screen for depression and substance use and need somewhere to send positive screens. They value an easy referral path, feedback that the patient connected, and help closing the loop so the screening counts. Offer a simple referral route and a promise to report back, and you become their default.</w:t>
      </w:r>
    </w:p>
    <w:p>
      <w:pPr>
        <w:pStyle w:val="Normal"/>
        <w:keepNext w:val="true"/>
        <w:spacing w:before="140" w:after="60"/>
        <w:rPr/>
      </w:pPr>
      <w:r>
        <w:rPr>
          <w:rFonts w:eastAsia="Calibri" w:cs="Calibri"/>
          <w:b/>
          <w:bCs/>
          <w:i w:val="false"/>
          <w:iCs w:val="false"/>
          <w:color w:val="3E5871"/>
          <w:sz w:val="21"/>
          <w:szCs w:val="21"/>
        </w:rPr>
        <w:t>Schools, child welfare &amp; social services</w:t>
      </w:r>
    </w:p>
    <w:p>
      <w:pPr>
        <w:pStyle w:val="Normal"/>
        <w:spacing w:lineRule="exact" w:line="268" w:before="0" w:after="110"/>
        <w:jc w:val="start"/>
        <w:rPr/>
      </w:pPr>
      <w:r>
        <w:rPr>
          <w:rFonts w:eastAsia="Calibri" w:cs="Calibri"/>
          <w:b w:val="false"/>
          <w:bCs w:val="false"/>
          <w:i w:val="false"/>
          <w:iCs w:val="false"/>
          <w:color w:val="1A1A1A"/>
          <w:sz w:val="20"/>
          <w:szCs w:val="20"/>
        </w:rPr>
        <w:t>School counselors, child-welfare caseworkers, and social-service agencies refer children, families, and adults in crisis. They need responsiveness, cultural fit, help navigating benefits and transportation, and respectful communication. Being easy to work with and following through is what earns repeat referrals from this group.</w:t>
      </w:r>
    </w:p>
    <w:p>
      <w:pPr>
        <w:pStyle w:val="Normal"/>
        <w:keepNext w:val="true"/>
        <w:spacing w:before="220" w:after="90"/>
        <w:rPr/>
      </w:pPr>
      <w:r>
        <w:rPr>
          <w:rFonts w:eastAsia="Calibri" w:cs="Calibri"/>
          <w:b/>
          <w:bCs/>
          <w:i w:val="false"/>
          <w:iCs w:val="false"/>
          <w:color w:val="1F3A5F"/>
          <w:sz w:val="26"/>
          <w:szCs w:val="26"/>
        </w:rPr>
        <w:t>Part 19 — Your Digital Front Door</w:t>
      </w:r>
    </w:p>
    <w:p>
      <w:pPr>
        <w:pStyle w:val="Normal"/>
        <w:spacing w:lineRule="exact" w:line="268" w:before="0" w:after="110"/>
        <w:jc w:val="start"/>
        <w:rPr/>
      </w:pPr>
      <w:r>
        <w:rPr>
          <w:rFonts w:eastAsia="Calibri" w:cs="Calibri"/>
          <w:b w:val="false"/>
          <w:bCs w:val="false"/>
          <w:i w:val="false"/>
          <w:iCs w:val="false"/>
          <w:color w:val="1A1A1A"/>
          <w:sz w:val="20"/>
          <w:szCs w:val="20"/>
        </w:rPr>
        <w:t>Before a coordinator or family refers to you, they look you up. Your online presence either confirms you are credible and reachable or quietly sends the referral elsewhere. Treat these as the front door to your program.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Google Business Profile. </w:t>
      </w:r>
      <w:r>
        <w:rPr>
          <w:rFonts w:eastAsia="Calibri" w:cs="Calibri"/>
          <w:b w:val="false"/>
          <w:bCs w:val="false"/>
          <w:i w:val="false"/>
          <w:iCs w:val="false"/>
          <w:color w:val="1A1A1A"/>
          <w:sz w:val="20"/>
          <w:szCs w:val="20"/>
        </w:rPr>
        <w:t>Claim and complete it: accurate name, address, phone, hours, services, and photos. This is often the first thing a referrer or family sees. Keep it current and respond to reviews professionally.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Provider directories. </w:t>
      </w:r>
      <w:r>
        <w:rPr>
          <w:rFonts w:eastAsia="Calibri" w:cs="Calibri"/>
          <w:b w:val="false"/>
          <w:bCs w:val="false"/>
          <w:i w:val="false"/>
          <w:iCs w:val="false"/>
          <w:color w:val="1A1A1A"/>
          <w:sz w:val="20"/>
          <w:szCs w:val="20"/>
        </w:rPr>
        <w:t>Make sure you are listed and accurate in the directories referrers actually use — Psychology Today, SAMHSA's treatment locator, your Medicaid plan and county directories, and any state or crisis-line referral platform. An out-of-date directory entry is a lost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Payer &amp; network directories. </w:t>
      </w:r>
      <w:r>
        <w:rPr>
          <w:rFonts w:eastAsia="Calibri" w:cs="Calibri"/>
          <w:b w:val="false"/>
          <w:bCs w:val="false"/>
          <w:i w:val="false"/>
          <w:iCs w:val="false"/>
          <w:color w:val="1A1A1A"/>
          <w:sz w:val="20"/>
          <w:szCs w:val="20"/>
        </w:rPr>
        <w:t>Confirm every plan you accept lists you correctly, with current contact and availability. Coordinators filter by network first.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 website that converts. </w:t>
      </w:r>
      <w:r>
        <w:rPr>
          <w:rFonts w:eastAsia="Calibri" w:cs="Calibri"/>
          <w:b w:val="false"/>
          <w:bCs w:val="false"/>
          <w:i w:val="false"/>
          <w:iCs w:val="false"/>
          <w:color w:val="1A1A1A"/>
          <w:sz w:val="20"/>
          <w:szCs w:val="20"/>
        </w:rPr>
        <w:t>A referrer visiting your site should find, in seconds: who you serve, what levels of care you offer, which payers you take, and a single, obvious way to make a referral or reach intake. Put your intake number and a short referral form where they cannot miss them.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Reputation management. </w:t>
      </w:r>
      <w:r>
        <w:rPr>
          <w:rFonts w:eastAsia="Calibri" w:cs="Calibri"/>
          <w:b w:val="false"/>
          <w:bCs w:val="false"/>
          <w:i w:val="false"/>
          <w:iCs w:val="false"/>
          <w:color w:val="1A1A1A"/>
          <w:sz w:val="20"/>
          <w:szCs w:val="20"/>
        </w:rPr>
        <w:t>Monitor your reviews, respond with professionalism and without ever confirming anyone was a client, and ask satisfied clients and families — appropriately — to share their experience. A thoughtful presence signals a safe place to send people.</w:t>
      </w:r>
    </w:p>
    <w:p>
      <w:pPr>
        <w:pStyle w:val="Normal"/>
        <w:keepNext w:val="true"/>
        <w:spacing w:before="220" w:after="90"/>
        <w:rPr/>
      </w:pPr>
      <w:r>
        <w:rPr>
          <w:rFonts w:eastAsia="Calibri" w:cs="Calibri"/>
          <w:b/>
          <w:bCs/>
          <w:i w:val="false"/>
          <w:iCs w:val="false"/>
          <w:color w:val="1F3A5F"/>
          <w:sz w:val="26"/>
          <w:szCs w:val="26"/>
        </w:rPr>
        <w:t>Part 20 — Measuring What Matters</w:t>
      </w:r>
    </w:p>
    <w:p>
      <w:pPr>
        <w:pStyle w:val="Normal"/>
        <w:spacing w:lineRule="exact" w:line="268" w:before="0" w:after="110"/>
        <w:jc w:val="start"/>
        <w:rPr/>
      </w:pPr>
      <w:r>
        <w:rPr>
          <w:rFonts w:eastAsia="Calibri" w:cs="Calibri"/>
          <w:b w:val="false"/>
          <w:bCs w:val="false"/>
          <w:i w:val="false"/>
          <w:iCs w:val="false"/>
          <w:color w:val="1A1A1A"/>
          <w:sz w:val="20"/>
          <w:szCs w:val="20"/>
        </w:rPr>
        <w:t>You cannot grow what you do not track. A simple referral scoreboard, reviewed monthly, tells you which sources to invest in and where clients are falling out of the pipeline. You do not need software — a spreadsheet will do — but you do need to look at it consistently.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Referrals in, by source. </w:t>
      </w:r>
      <w:r>
        <w:rPr>
          <w:rFonts w:eastAsia="Calibri" w:cs="Calibri"/>
          <w:b w:val="false"/>
          <w:bCs w:val="false"/>
          <w:i w:val="false"/>
          <w:iCs w:val="false"/>
          <w:color w:val="1A1A1A"/>
          <w:sz w:val="20"/>
          <w:szCs w:val="20"/>
        </w:rPr>
        <w:t>Count how many clients each source sends. The pattern tells you where to spend your relationship time.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Conversion rate. </w:t>
      </w:r>
      <w:r>
        <w:rPr>
          <w:rFonts w:eastAsia="Calibri" w:cs="Calibri"/>
          <w:b w:val="false"/>
          <w:bCs w:val="false"/>
          <w:i w:val="false"/>
          <w:iCs w:val="false"/>
          <w:color w:val="1A1A1A"/>
          <w:sz w:val="20"/>
          <w:szCs w:val="20"/>
        </w:rPr>
        <w:t>Of the people referred, how many actually admitted or attended? A low rate points to intake friction or slow response.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Time to first contact and to admission. </w:t>
      </w:r>
      <w:r>
        <w:rPr>
          <w:rFonts w:eastAsia="Calibri" w:cs="Calibri"/>
          <w:b w:val="false"/>
          <w:bCs w:val="false"/>
          <w:i w:val="false"/>
          <w:iCs w:val="false"/>
          <w:color w:val="1A1A1A"/>
          <w:sz w:val="20"/>
          <w:szCs w:val="20"/>
        </w:rPr>
        <w:t>Track your speed. Faster response is the single strongest lever on conversion.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Engagement / completion. </w:t>
      </w:r>
      <w:r>
        <w:rPr>
          <w:rFonts w:eastAsia="Calibri" w:cs="Calibri"/>
          <w:b w:val="false"/>
          <w:bCs w:val="false"/>
          <w:i w:val="false"/>
          <w:iCs w:val="false"/>
          <w:color w:val="1A1A1A"/>
          <w:sz w:val="20"/>
          <w:szCs w:val="20"/>
        </w:rPr>
        <w:t>Do referred clients stay and progress? This is what referrers ultimately judge you 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Loop-closure rate. </w:t>
      </w:r>
      <w:r>
        <w:rPr>
          <w:rFonts w:eastAsia="Calibri" w:cs="Calibri"/>
          <w:b w:val="false"/>
          <w:bCs w:val="false"/>
          <w:i w:val="false"/>
          <w:iCs w:val="false"/>
          <w:color w:val="1A1A1A"/>
          <w:sz w:val="20"/>
          <w:szCs w:val="20"/>
        </w:rPr>
        <w:t>How often did you actually report back to the referrer (with consent)? This predicts your repeat referrals better than almost anything else.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Run a monthly referral review</w:t>
            </w:r>
          </w:p>
          <w:p>
            <w:pPr>
              <w:pStyle w:val="Normal"/>
              <w:spacing w:lineRule="exact" w:line="264" w:before="0" w:after="0"/>
              <w:rPr/>
            </w:pPr>
            <w:r>
              <w:rPr>
                <w:rFonts w:eastAsia="Calibri" w:cs="Calibri"/>
                <w:b w:val="false"/>
                <w:bCs w:val="false"/>
                <w:i w:val="false"/>
                <w:iCs w:val="false"/>
                <w:color w:val="1A1A1A"/>
                <w:sz w:val="19"/>
                <w:szCs w:val="19"/>
              </w:rPr>
              <w:t>Once a month, spend thirty minutes with your scoreboard. Which three sources sent the most? Which went quiet, and why? Where are clients dropping out — inquiry, intake, or engagement? Pick one number to improve next month. Consistency here is what compounds into a full, steady caseload.</w:t>
            </w:r>
          </w:p>
        </w:tc>
      </w:tr>
    </w:tbl>
    <w:p>
      <w:pPr>
        <w:pStyle w:val="Normal"/>
        <w:keepNext w:val="true"/>
        <w:spacing w:before="220" w:after="90"/>
        <w:rPr/>
      </w:pPr>
      <w:r>
        <w:rPr>
          <w:rFonts w:eastAsia="Calibri" w:cs="Calibri"/>
          <w:b/>
          <w:bCs/>
          <w:i w:val="false"/>
          <w:iCs w:val="false"/>
          <w:color w:val="1F3A5F"/>
          <w:sz w:val="26"/>
          <w:szCs w:val="26"/>
        </w:rPr>
        <w:t>Part 21 — Be the Provider Who Takes the Hard Referrals</w:t>
      </w:r>
    </w:p>
    <w:p>
      <w:pPr>
        <w:pStyle w:val="Normal"/>
        <w:spacing w:lineRule="exact" w:line="268" w:before="0" w:after="110"/>
        <w:jc w:val="start"/>
        <w:rPr/>
      </w:pPr>
      <w:r>
        <w:rPr>
          <w:rFonts w:eastAsia="Calibri" w:cs="Calibri"/>
          <w:b w:val="false"/>
          <w:bCs w:val="false"/>
          <w:i w:val="false"/>
          <w:iCs w:val="false"/>
          <w:color w:val="1A1A1A"/>
          <w:sz w:val="20"/>
          <w:szCs w:val="20"/>
        </w:rPr>
        <w:t>Every referral source has a short list of clients they struggle to place: co-occurring mental health and substance use, complex medication needs, prior treatment failures, justice involvement, limited English, no insurance, or challenging behavior. The provider willing and able to take those clients — safely and well — becomes the one everyone calls first, because you solve the problem that keeps coordinators up at night.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to co-occurring. </w:t>
      </w:r>
      <w:r>
        <w:rPr>
          <w:rFonts w:eastAsia="Calibri" w:cs="Calibri"/>
          <w:b w:val="false"/>
          <w:bCs w:val="false"/>
          <w:i w:val="false"/>
          <w:iCs w:val="false"/>
          <w:color w:val="1A1A1A"/>
          <w:sz w:val="20"/>
          <w:szCs w:val="20"/>
        </w:rPr>
        <w:t>Clients rarely have just one condition. Being genuinely able to treat co-occurring mental health and substance use disorders together — or to coordinate seamlessly with a partner who covers the other side — removes the most common reason a referral gets declined elsewhere.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Have a clear, fast answer for complex cases. </w:t>
      </w:r>
      <w:r>
        <w:rPr>
          <w:rFonts w:eastAsia="Calibri" w:cs="Calibri"/>
          <w:b w:val="false"/>
          <w:bCs w:val="false"/>
          <w:i w:val="false"/>
          <w:iCs w:val="false"/>
          <w:color w:val="1A1A1A"/>
          <w:sz w:val="20"/>
          <w:szCs w:val="20"/>
        </w:rPr>
        <w:t>When you cannot take a client, say so immediately and, wherever possible, point the referrer to who can. A fast, helpful no protects the relationship and often brings the next, easier referral straight back to you.</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Build the capacity that makes 'yes' possible. </w:t>
      </w:r>
      <w:r>
        <w:rPr>
          <w:rFonts w:eastAsia="Calibri" w:cs="Calibri"/>
          <w:b w:val="false"/>
          <w:bCs w:val="false"/>
          <w:i w:val="false"/>
          <w:iCs w:val="false"/>
          <w:color w:val="1A1A1A"/>
          <w:sz w:val="20"/>
          <w:szCs w:val="20"/>
        </w:rPr>
        <w:t>Staff training, medication support, language access, and warm partnerships with complementary providers are what let you accept the referrals others turn away. Each capability you add opens a new stream of clients.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Reliability on the hard cases is your best marketing</w:t>
            </w:r>
          </w:p>
          <w:p>
            <w:pPr>
              <w:pStyle w:val="Normal"/>
              <w:spacing w:lineRule="exact" w:line="264" w:before="0" w:after="0"/>
              <w:rPr/>
            </w:pPr>
            <w:r>
              <w:rPr>
                <w:rFonts w:eastAsia="Calibri" w:cs="Calibri"/>
                <w:b w:val="false"/>
                <w:bCs w:val="false"/>
                <w:i w:val="false"/>
                <w:iCs w:val="false"/>
                <w:color w:val="1A1A1A"/>
                <w:sz w:val="19"/>
                <w:szCs w:val="19"/>
              </w:rPr>
              <w:t>You do not have to take every difficult client — only be honest and fast about which ones you can. The provider who is dependable on the tough placements, and gracious about the ones they must decline, earns a reputation that fills the caseload faster than any advertising.</w:t>
            </w:r>
          </w:p>
        </w:tc>
      </w:tr>
    </w:tbl>
    <w:p>
      <w:pPr>
        <w:pStyle w:val="Normal"/>
        <w:keepNext w:val="true"/>
        <w:spacing w:before="220" w:after="90"/>
        <w:rPr/>
      </w:pPr>
      <w:r>
        <w:rPr>
          <w:rFonts w:eastAsia="Calibri" w:cs="Calibri"/>
          <w:b/>
          <w:bCs/>
          <w:i w:val="false"/>
          <w:iCs w:val="false"/>
          <w:color w:val="1F3A5F"/>
          <w:sz w:val="26"/>
          <w:szCs w:val="26"/>
        </w:rPr>
        <w:t>Part 22 — Benefits &amp; Payer Navigation as a Referral Advantage</w:t>
      </w:r>
    </w:p>
    <w:p>
      <w:pPr>
        <w:pStyle w:val="Normal"/>
        <w:spacing w:lineRule="exact" w:line="268" w:before="0" w:after="110"/>
        <w:jc w:val="start"/>
        <w:rPr/>
      </w:pPr>
      <w:r>
        <w:rPr>
          <w:rFonts w:eastAsia="Calibri" w:cs="Calibri"/>
          <w:b w:val="false"/>
          <w:bCs w:val="false"/>
          <w:i w:val="false"/>
          <w:iCs w:val="false"/>
          <w:color w:val="1A1A1A"/>
          <w:sz w:val="20"/>
          <w:szCs w:val="20"/>
        </w:rPr>
        <w:t>One of the quietest reasons a referral falls apart is the insurance and benefits maze. Clients get referred, then get stuck on eligibility, verification, authorization, or cost — and disappear. The provider who takes that burden off the client and the referrer wins the referral and keeps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Verify benefits fast. </w:t>
      </w:r>
      <w:r>
        <w:rPr>
          <w:rFonts w:eastAsia="Calibri" w:cs="Calibri"/>
          <w:b w:val="false"/>
          <w:bCs w:val="false"/>
          <w:i w:val="false"/>
          <w:iCs w:val="false"/>
          <w:color w:val="1A1A1A"/>
          <w:sz w:val="20"/>
          <w:szCs w:val="20"/>
        </w:rPr>
        <w:t>A quick, clear verification of coverage — what is covered, what it costs, what is authorized — keeps a referral from stalling. Referrers remember the provider who gives them a straight answer the same day.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Help with enrollment. </w:t>
      </w:r>
      <w:r>
        <w:rPr>
          <w:rFonts w:eastAsia="Calibri" w:cs="Calibri"/>
          <w:b w:val="false"/>
          <w:bCs w:val="false"/>
          <w:i w:val="false"/>
          <w:iCs w:val="false"/>
          <w:color w:val="1A1A1A"/>
          <w:sz w:val="20"/>
          <w:szCs w:val="20"/>
        </w:rPr>
        <w:t>Many referred clients are eligible for Medicaid or a marketplace plan but not enrolled. Helping them apply, or connecting them to help, turns a client who could not pay into one who can — and referrers notice which providers make that happen.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Know the options for the uninsured. </w:t>
      </w:r>
      <w:r>
        <w:rPr>
          <w:rFonts w:eastAsia="Calibri" w:cs="Calibri"/>
          <w:b w:val="false"/>
          <w:bCs w:val="false"/>
          <w:i w:val="false"/>
          <w:iCs w:val="false"/>
          <w:color w:val="1A1A1A"/>
          <w:sz w:val="20"/>
          <w:szCs w:val="20"/>
        </w:rPr>
        <w:t>Understand public and grant funding, sliding-scale options, and single-case agreements in your area so you rarely have to turn someone away purely over payment. Being resourceful about coverage is itself a referral magnet.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transparent about cost. </w:t>
      </w:r>
      <w:r>
        <w:rPr>
          <w:rFonts w:eastAsia="Calibri" w:cs="Calibri"/>
          <w:b w:val="false"/>
          <w:bCs w:val="false"/>
          <w:i w:val="false"/>
          <w:iCs w:val="false"/>
          <w:color w:val="1A1A1A"/>
          <w:sz w:val="20"/>
          <w:szCs w:val="20"/>
        </w:rPr>
        <w:t>Clear, honest information about what a client will owe builds trust with families and referrers alike, and prevents the surprise bills that damage reputations and referral relationships.</w:t>
      </w:r>
    </w:p>
    <w:p>
      <w:pPr>
        <w:pStyle w:val="Normal"/>
        <w:keepNext w:val="true"/>
        <w:spacing w:before="220" w:after="90"/>
        <w:rPr/>
      </w:pPr>
      <w:r>
        <w:rPr>
          <w:rFonts w:eastAsia="Calibri" w:cs="Calibri"/>
          <w:b/>
          <w:bCs/>
          <w:i w:val="false"/>
          <w:iCs w:val="false"/>
          <w:color w:val="1F3A5F"/>
          <w:sz w:val="26"/>
          <w:szCs w:val="26"/>
        </w:rPr>
        <w:t>Part 23 — Ready-to-Use Outreach Scripts</w:t>
      </w:r>
    </w:p>
    <w:p>
      <w:pPr>
        <w:pStyle w:val="Normal"/>
        <w:spacing w:lineRule="exact" w:line="268" w:before="0" w:after="110"/>
        <w:jc w:val="start"/>
        <w:rPr/>
      </w:pPr>
      <w:r>
        <w:rPr>
          <w:rFonts w:eastAsia="Calibri" w:cs="Calibri"/>
          <w:b w:val="false"/>
          <w:bCs w:val="false"/>
          <w:i w:val="false"/>
          <w:iCs w:val="false"/>
          <w:color w:val="1A1A1A"/>
          <w:sz w:val="20"/>
          <w:szCs w:val="20"/>
        </w:rPr>
        <w:t>Adapt these to your program and your voice. They are starting points for the conversations that build referral relationships — keep them short, specific, and focused on the other person's problem, never on your brochure.</w:t>
      </w:r>
    </w:p>
    <w:p>
      <w:pPr>
        <w:pStyle w:val="Normal"/>
        <w:keepNext w:val="true"/>
        <w:spacing w:before="140" w:after="60"/>
        <w:rPr/>
      </w:pPr>
      <w:r>
        <w:rPr>
          <w:rFonts w:eastAsia="Calibri" w:cs="Calibri"/>
          <w:b/>
          <w:bCs/>
          <w:i w:val="false"/>
          <w:iCs w:val="false"/>
          <w:color w:val="3E5871"/>
          <w:sz w:val="21"/>
          <w:szCs w:val="21"/>
        </w:rPr>
        <w:t>Voicemail for a discharge planner or care coordinator</w:t>
      </w:r>
    </w:p>
    <w:p>
      <w:pPr>
        <w:pStyle w:val="Normal"/>
        <w:spacing w:lineRule="exact" w:line="268" w:before="0" w:after="110"/>
        <w:jc w:val="start"/>
        <w:rPr/>
      </w:pPr>
      <w:r>
        <w:rPr>
          <w:rFonts w:eastAsia="Calibri" w:cs="Calibri"/>
          <w:b w:val="false"/>
          <w:bCs w:val="false"/>
          <w:i w:val="false"/>
          <w:iCs w:val="false"/>
          <w:color w:val="1A1A1A"/>
          <w:sz w:val="20"/>
          <w:szCs w:val="20"/>
        </w:rPr>
        <w:t>Hi [name], this is [your name] with [program], a licensed [level of care] provider in [area]. I know you sometimes need a provider who can accept a referral quickly and keep you in the loop — that's what we do. Our intake line reaches a live person at [number], and we respond the same day. I'd love to be a resource for the placements that are hardest for you. Thank you for the work you do.</w:t>
      </w:r>
    </w:p>
    <w:p>
      <w:pPr>
        <w:pStyle w:val="Normal"/>
        <w:keepNext w:val="true"/>
        <w:spacing w:before="140" w:after="60"/>
        <w:rPr/>
      </w:pPr>
      <w:r>
        <w:rPr>
          <w:rFonts w:eastAsia="Calibri" w:cs="Calibri"/>
          <w:b/>
          <w:bCs/>
          <w:i w:val="false"/>
          <w:iCs w:val="false"/>
          <w:color w:val="3E5871"/>
          <w:sz w:val="21"/>
          <w:szCs w:val="21"/>
        </w:rPr>
        <w:t>Introduction email to a hospital or ED social worker</w:t>
      </w:r>
    </w:p>
    <w:p>
      <w:pPr>
        <w:pStyle w:val="Normal"/>
        <w:spacing w:lineRule="exact" w:line="268" w:before="0" w:after="110"/>
        <w:jc w:val="start"/>
        <w:rPr/>
      </w:pPr>
      <w:r>
        <w:rPr>
          <w:rFonts w:eastAsia="Calibri" w:cs="Calibri"/>
          <w:b w:val="false"/>
          <w:bCs w:val="false"/>
          <w:i w:val="false"/>
          <w:iCs w:val="false"/>
          <w:color w:val="1A1A1A"/>
          <w:sz w:val="20"/>
          <w:szCs w:val="20"/>
        </w:rPr>
        <w:t>Subject: A fast, reliable [level of care] option for your discharges. Hi [name] — I'm [name] with [program]. We accept referrals the same day, take [who you serve well, including co-occurring], and we're in-network with [payers]. When you have a client who's ready to discharge and hard to place, we'd like to be the call you can count on. Our intake is [number / email], and I've attached a one-page summary. Could I stop by for fifteen minutes to learn what's hardest for your team to place right now?</w:t>
      </w:r>
    </w:p>
    <w:p>
      <w:pPr>
        <w:pStyle w:val="Normal"/>
        <w:keepNext w:val="true"/>
        <w:spacing w:before="140" w:after="60"/>
        <w:rPr/>
      </w:pPr>
      <w:r>
        <w:rPr>
          <w:rFonts w:eastAsia="Calibri" w:cs="Calibri"/>
          <w:b/>
          <w:bCs/>
          <w:i w:val="false"/>
          <w:iCs w:val="false"/>
          <w:color w:val="3E5871"/>
          <w:sz w:val="21"/>
          <w:szCs w:val="21"/>
        </w:rPr>
        <w:t>Email to a drug-court or accountability-court coordinator</w:t>
      </w:r>
    </w:p>
    <w:p>
      <w:pPr>
        <w:pStyle w:val="Normal"/>
        <w:spacing w:lineRule="exact" w:line="268" w:before="0" w:after="110"/>
        <w:jc w:val="start"/>
        <w:rPr/>
      </w:pPr>
      <w:r>
        <w:rPr>
          <w:rFonts w:eastAsia="Calibri" w:cs="Calibri"/>
          <w:b w:val="false"/>
          <w:bCs w:val="false"/>
          <w:i w:val="false"/>
          <w:iCs w:val="false"/>
          <w:color w:val="1A1A1A"/>
          <w:sz w:val="20"/>
          <w:szCs w:val="20"/>
        </w:rPr>
        <w:t>Subject: Reliable reporting and open spots for your participants. Hi [name] — I'm [name] with [program]. We work with justice-involved clients and understand the reporting you rely on — attendance, screens, and progress, promptly and within consent. We currently have openings and would welcome the chance to support your participants. What's the best way to receive a referral from your program, and what reporting format works best for you?</w:t>
      </w:r>
    </w:p>
    <w:p>
      <w:pPr>
        <w:pStyle w:val="Normal"/>
        <w:keepNext w:val="true"/>
        <w:spacing w:before="140" w:after="60"/>
        <w:rPr/>
      </w:pPr>
      <w:r>
        <w:rPr>
          <w:rFonts w:eastAsia="Calibri" w:cs="Calibri"/>
          <w:b/>
          <w:bCs/>
          <w:i w:val="false"/>
          <w:iCs w:val="false"/>
          <w:color w:val="3E5871"/>
          <w:sz w:val="21"/>
          <w:szCs w:val="21"/>
        </w:rPr>
        <w:t>The reconnect script (for a source that went quiet)</w:t>
      </w:r>
    </w:p>
    <w:p>
      <w:pPr>
        <w:pStyle w:val="Normal"/>
        <w:spacing w:lineRule="exact" w:line="268" w:before="0" w:after="110"/>
        <w:jc w:val="start"/>
        <w:rPr/>
      </w:pPr>
      <w:r>
        <w:rPr>
          <w:rFonts w:eastAsia="Calibri" w:cs="Calibri"/>
          <w:b w:val="false"/>
          <w:bCs w:val="false"/>
          <w:i w:val="false"/>
          <w:iCs w:val="false"/>
          <w:color w:val="1A1A1A"/>
          <w:sz w:val="20"/>
          <w:szCs w:val="20"/>
        </w:rPr>
        <w:t>Hi [name], it's [name] with [program]. It's been a little while — I wanted to check in, let you know we have current openings for [who you serve], and ask how referrals have been going on your end. Is there a type of client that's been hard for you to place lately? We'd love to help.</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Referral-readiness checklist</w:t>
            </w:r>
          </w:p>
          <w:p>
            <w:pPr>
              <w:pStyle w:val="Normal"/>
              <w:spacing w:lineRule="exact" w:line="264" w:before="0" w:after="0"/>
              <w:rPr/>
            </w:pPr>
            <w:r>
              <w:rPr>
                <w:rFonts w:eastAsia="Calibri" w:cs="Calibri"/>
                <w:b w:val="false"/>
                <w:bCs w:val="false"/>
                <w:i w:val="false"/>
                <w:iCs w:val="false"/>
                <w:color w:val="1A1A1A"/>
                <w:sz w:val="19"/>
                <w:szCs w:val="19"/>
              </w:rPr>
              <w:t>Before you launch outreach, make sure a referral that arrives today would go smoothly: a live person answers intake during your stated hours; you can verify benefits and give a yes/no quickly; your openings are current everywhere they're listed; you have a one-pager ready to send; and you have a simple way to close the loop with the referrer. Fix any gap here first — outreach that generates referrals you can't smoothly accept damages the relationships you're trying to build.</w:t>
            </w:r>
          </w:p>
        </w:tc>
      </w:tr>
    </w:tbl>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Florida Medicaid enrollment, your SMMC plan contract, and your Managing Entity contract,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psychiatric units,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hospital, crisis &amp; court relationships. </w:t>
      </w:r>
      <w:r>
        <w:rPr>
          <w:rFonts w:eastAsia="Calibri" w:cs="Calibri"/>
          <w:b w:val="false"/>
          <w:bCs w:val="false"/>
          <w:i w:val="false"/>
          <w:iCs w:val="false"/>
          <w:color w:val="1A1A1A"/>
          <w:sz w:val="20"/>
          <w:szCs w:val="20"/>
        </w:rPr>
        <w:t>Meet the psychiatric hospitals and crisis units and, if you serve justice-involved clients, the mental health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Florida Mental Health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Florida sources a mental health treatment provider builds relationships with, organized statewide and then by metro with verified named partners.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SMMC plan — in-network first. </w:t>
      </w:r>
      <w:r>
        <w:rPr>
          <w:rFonts w:eastAsia="Calibri" w:cs="Calibri"/>
          <w:b w:val="false"/>
          <w:bCs w:val="false"/>
          <w:i w:val="false"/>
          <w:iCs w:val="false"/>
          <w:color w:val="1A1A1A"/>
          <w:sz w:val="20"/>
          <w:szCs w:val="20"/>
        </w:rPr>
        <w:t>Most Florida Medicaid members receive behavioral health through Statewide Medicaid Managed Care (SMMC) plans; their care coordinators refer members and authorize services. Enroll as a Florida Medicaid provider and contract with the SMMC plans serving your area.</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regional Managing Entity (ME) — the public safety net. </w:t>
      </w:r>
      <w:r>
        <w:rPr>
          <w:rFonts w:eastAsia="Calibri" w:cs="Calibri"/>
          <w:b w:val="false"/>
          <w:bCs w:val="false"/>
          <w:i w:val="false"/>
          <w:iCs w:val="false"/>
          <w:color w:val="1A1A1A"/>
          <w:sz w:val="20"/>
          <w:szCs w:val="20"/>
        </w:rPr>
        <w:t>Seven regional Managing Entities coordinate the DCF-funded network for the uninsured and underinsured. Join the ME network for your region: Central Florida Behavioral Health Network (Suncoast), Central Florida Cares Health System (Central), Lutheran Services Florida Health Systems (Northeast/North Central), Thriving Mind South Florida (Miami-Dade/Monroe), Broward Behavioral Health Coalition, Southeast Florida Behavioral Health Network, and the Northwest/Big Bend network.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Baker Act, crisis stabilization units &amp; receiving facilities. </w:t>
      </w:r>
      <w:r>
        <w:rPr>
          <w:rFonts w:eastAsia="Calibri" w:cs="Calibri"/>
          <w:b w:val="false"/>
          <w:bCs w:val="false"/>
          <w:i w:val="false"/>
          <w:iCs w:val="false"/>
          <w:color w:val="1A1A1A"/>
          <w:sz w:val="20"/>
          <w:szCs w:val="20"/>
        </w:rPr>
        <w:t>Crisis stabilization units (CSUs) and public receiving facilities examine and stabilize people under the Baker Act (Ch. 394) and then step them down to ongoing mental health treatment — a major referral source. The 988 Florida Lifeline and mobile response teams also refer.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Florida AHCA / DCF — licensing. </w:t>
      </w:r>
      <w:r>
        <w:rPr>
          <w:rFonts w:eastAsia="Calibri" w:cs="Calibri"/>
          <w:b w:val="false"/>
          <w:bCs w:val="false"/>
          <w:i w:val="false"/>
          <w:iCs w:val="false"/>
          <w:color w:val="1A1A1A"/>
          <w:sz w:val="20"/>
          <w:szCs w:val="20"/>
        </w:rPr>
        <w:t>Mental health residential treatment is licensed under 65E-4.016, F.A.C.; DCF's Office of Substance Abuse and Mental Health (SAMH) oversees the public system. myflfamilies.com.</w:t>
      </w:r>
    </w:p>
    <w:p>
      <w:pPr>
        <w:pStyle w:val="Normal"/>
        <w:keepNext w:val="true"/>
        <w:spacing w:before="150" w:after="60"/>
        <w:rPr/>
      </w:pPr>
      <w:r>
        <w:rPr>
          <w:rFonts w:eastAsia="Calibri" w:cs="Calibri"/>
          <w:b/>
          <w:bCs/>
          <w:i w:val="false"/>
          <w:iCs w:val="false"/>
          <w:color w:val="3E5871"/>
          <w:sz w:val="20"/>
          <w:szCs w:val="20"/>
        </w:rPr>
        <w:t>Miami / South Florida — verified named partners</w:t>
      </w:r>
    </w:p>
    <w:p>
      <w:pPr>
        <w:pStyle w:val="Normal"/>
        <w:spacing w:before="0" w:after="60"/>
        <w:rPr/>
      </w:pPr>
      <w:r>
        <w:rPr>
          <w:rFonts w:eastAsia="Calibri" w:cs="Calibri"/>
          <w:b/>
          <w:bCs/>
          <w:i w:val="false"/>
          <w:iCs w:val="false"/>
          <w:color w:val="1F3A5F"/>
          <w:sz w:val="19"/>
          <w:szCs w:val="19"/>
        </w:rPr>
        <w:t>Psychiatric hospitals, crisis &amp; community mental health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Jackson Behavioral Health Hospital (psychiatric &amp; receiving)</w:t>
      </w:r>
      <w:r>
        <w:rPr>
          <w:rFonts w:eastAsia="Calibri" w:cs="Calibri"/>
          <w:b w:val="false"/>
          <w:bCs w:val="false"/>
          <w:i w:val="false"/>
          <w:iCs w:val="false"/>
          <w:color w:val="555555"/>
          <w:sz w:val="18"/>
          <w:szCs w:val="18"/>
        </w:rPr>
        <w:t xml:space="preserve">  —  1695 NW 9th Ave, Miami, FL 33136</w:t>
      </w:r>
      <w:r>
        <w:rPr>
          <w:rFonts w:eastAsia="Calibri" w:cs="Calibri"/>
          <w:b w:val="false"/>
          <w:bCs w:val="false"/>
          <w:i w:val="false"/>
          <w:iCs w:val="false"/>
          <w:color w:val="3E5871"/>
          <w:sz w:val="18"/>
          <w:szCs w:val="18"/>
        </w:rPr>
        <w:t xml:space="preserve">  ·  305-355-7000</w:t>
      </w:r>
    </w:p>
    <w:p>
      <w:pPr>
        <w:pStyle w:val="ListParagraph"/>
        <w:numPr>
          <w:ilvl w:val="0"/>
          <w:numId w:val="1"/>
        </w:numPr>
        <w:spacing w:lineRule="exact" w:line="264" w:before="0" w:after="70"/>
        <w:rPr/>
      </w:pPr>
      <w:r>
        <w:rPr>
          <w:rFonts w:eastAsia="Calibri" w:cs="Calibri"/>
          <w:b/>
          <w:bCs/>
          <w:i w:val="false"/>
          <w:iCs w:val="false"/>
          <w:color w:val="1A1A1A"/>
          <w:sz w:val="19"/>
          <w:szCs w:val="19"/>
        </w:rPr>
        <w:t>Miami Behavioral Health Center (crisis / stabilization)</w:t>
      </w:r>
      <w:r>
        <w:rPr>
          <w:rFonts w:eastAsia="Calibri" w:cs="Calibri"/>
          <w:b w:val="false"/>
          <w:bCs w:val="false"/>
          <w:i w:val="false"/>
          <w:iCs w:val="false"/>
          <w:color w:val="555555"/>
          <w:sz w:val="18"/>
          <w:szCs w:val="18"/>
        </w:rPr>
        <w:t xml:space="preserve">  —  3800 W Flagler St, Coral Gables, FL 33134</w:t>
      </w:r>
      <w:r>
        <w:rPr>
          <w:rFonts w:eastAsia="Calibri" w:cs="Calibri"/>
          <w:b w:val="false"/>
          <w:bCs w:val="false"/>
          <w:i w:val="false"/>
          <w:iCs w:val="false"/>
          <w:color w:val="3E5871"/>
          <w:sz w:val="18"/>
          <w:szCs w:val="18"/>
        </w:rPr>
        <w:t xml:space="preserve">  ·  305-774-3616</w:t>
      </w:r>
    </w:p>
    <w:p>
      <w:pPr>
        <w:pStyle w:val="ListParagraph"/>
        <w:numPr>
          <w:ilvl w:val="0"/>
          <w:numId w:val="1"/>
        </w:numPr>
        <w:spacing w:lineRule="exact" w:line="264" w:before="0" w:after="70"/>
        <w:rPr/>
      </w:pPr>
      <w:r>
        <w:rPr>
          <w:rFonts w:eastAsia="Calibri" w:cs="Calibri"/>
          <w:b/>
          <w:bCs/>
          <w:i w:val="false"/>
          <w:iCs w:val="false"/>
          <w:color w:val="1A1A1A"/>
          <w:sz w:val="19"/>
          <w:szCs w:val="19"/>
        </w:rPr>
        <w:t>Jackson Community Mental Health Center</w:t>
      </w:r>
      <w:r>
        <w:rPr>
          <w:rFonts w:eastAsia="Calibri" w:cs="Calibri"/>
          <w:b w:val="false"/>
          <w:bCs w:val="false"/>
          <w:i w:val="false"/>
          <w:iCs w:val="false"/>
          <w:color w:val="555555"/>
          <w:sz w:val="18"/>
          <w:szCs w:val="18"/>
        </w:rPr>
        <w:t xml:space="preserve">  —  15055 NW 27th Ave, Opa-locka, FL 33054</w:t>
      </w:r>
      <w:r>
        <w:rPr>
          <w:rFonts w:eastAsia="Calibri" w:cs="Calibri"/>
          <w:b w:val="false"/>
          <w:bCs w:val="false"/>
          <w:i w:val="false"/>
          <w:iCs w:val="false"/>
          <w:color w:val="3E5871"/>
          <w:sz w:val="18"/>
          <w:szCs w:val="18"/>
        </w:rPr>
        <w:t xml:space="preserve">  ·  786-466-2800</w:t>
      </w:r>
    </w:p>
    <w:p>
      <w:pPr>
        <w:pStyle w:val="Normal"/>
        <w:keepNext w:val="true"/>
        <w:spacing w:before="150" w:after="60"/>
        <w:rPr/>
      </w:pPr>
      <w:r>
        <w:rPr>
          <w:rFonts w:eastAsia="Calibri" w:cs="Calibri"/>
          <w:b/>
          <w:bCs/>
          <w:i w:val="false"/>
          <w:iCs w:val="false"/>
          <w:color w:val="3E5871"/>
          <w:sz w:val="20"/>
          <w:szCs w:val="20"/>
        </w:rPr>
        <w:t>Orlando / Central Florida — verified named partners</w:t>
      </w:r>
    </w:p>
    <w:p>
      <w:pPr>
        <w:pStyle w:val="Normal"/>
        <w:spacing w:before="0" w:after="60"/>
        <w:rPr/>
      </w:pPr>
      <w:r>
        <w:rPr>
          <w:rFonts w:eastAsia="Calibri" w:cs="Calibri"/>
          <w:b/>
          <w:bCs/>
          <w:i w:val="false"/>
          <w:iCs w:val="false"/>
          <w:color w:val="1F3A5F"/>
          <w:sz w:val="19"/>
          <w:szCs w:val="19"/>
        </w:rPr>
        <w:t>Psychiatric hospitals &amp; mental health navigation</w:t>
      </w:r>
    </w:p>
    <w:p>
      <w:pPr>
        <w:pStyle w:val="ListParagraph"/>
        <w:numPr>
          <w:ilvl w:val="0"/>
          <w:numId w:val="1"/>
        </w:numPr>
        <w:spacing w:lineRule="exact" w:line="264" w:before="0" w:after="70"/>
        <w:rPr/>
      </w:pPr>
      <w:r>
        <w:rPr>
          <w:rFonts w:eastAsia="Calibri" w:cs="Calibri"/>
          <w:b/>
          <w:bCs/>
          <w:i w:val="false"/>
          <w:iCs w:val="false"/>
          <w:color w:val="1A1A1A"/>
          <w:sz w:val="19"/>
          <w:szCs w:val="19"/>
        </w:rPr>
        <w:t>Central Florida Behavioral Hospital (Baker Act receiving)</w:t>
      </w:r>
      <w:r>
        <w:rPr>
          <w:rFonts w:eastAsia="Calibri" w:cs="Calibri"/>
          <w:b w:val="false"/>
          <w:bCs w:val="false"/>
          <w:i w:val="false"/>
          <w:iCs w:val="false"/>
          <w:color w:val="555555"/>
          <w:sz w:val="18"/>
          <w:szCs w:val="18"/>
        </w:rPr>
        <w:t xml:space="preserve">  —  6601 Central Florida Pkwy, Orlando, FL 32821</w:t>
      </w:r>
      <w:r>
        <w:rPr>
          <w:rFonts w:eastAsia="Calibri" w:cs="Calibri"/>
          <w:b w:val="false"/>
          <w:bCs w:val="false"/>
          <w:i w:val="false"/>
          <w:iCs w:val="false"/>
          <w:color w:val="3E5871"/>
          <w:sz w:val="18"/>
          <w:szCs w:val="18"/>
        </w:rPr>
        <w:t xml:space="preserve">  ·  407-370-0111</w:t>
      </w:r>
    </w:p>
    <w:p>
      <w:pPr>
        <w:pStyle w:val="ListParagraph"/>
        <w:numPr>
          <w:ilvl w:val="0"/>
          <w:numId w:val="1"/>
        </w:numPr>
        <w:spacing w:lineRule="exact" w:line="264" w:before="0" w:after="70"/>
        <w:rPr/>
      </w:pPr>
      <w:r>
        <w:rPr>
          <w:rFonts w:eastAsia="Calibri" w:cs="Calibri"/>
          <w:b/>
          <w:bCs/>
          <w:i w:val="false"/>
          <w:iCs w:val="false"/>
          <w:color w:val="1A1A1A"/>
          <w:sz w:val="19"/>
          <w:szCs w:val="19"/>
        </w:rPr>
        <w:t>Center for Behavioral Health — Orlando</w:t>
      </w:r>
      <w:r>
        <w:rPr>
          <w:rFonts w:eastAsia="Calibri" w:cs="Calibri"/>
          <w:b w:val="false"/>
          <w:bCs w:val="false"/>
          <w:i w:val="false"/>
          <w:iCs w:val="false"/>
          <w:color w:val="555555"/>
          <w:sz w:val="18"/>
          <w:szCs w:val="18"/>
        </w:rPr>
        <w:t xml:space="preserve">  —  601 E Rollins St, Orlando, FL 32803</w:t>
      </w:r>
      <w:r>
        <w:rPr>
          <w:rFonts w:eastAsia="Calibri" w:cs="Calibri"/>
          <w:b w:val="false"/>
          <w:bCs w:val="false"/>
          <w:i w:val="false"/>
          <w:iCs w:val="false"/>
          <w:color w:val="3E5871"/>
          <w:sz w:val="18"/>
          <w:szCs w:val="18"/>
        </w:rPr>
        <w:t xml:space="preserve">  ·  407-896-8097</w:t>
      </w:r>
    </w:p>
    <w:p>
      <w:pPr>
        <w:pStyle w:val="ListParagraph"/>
        <w:numPr>
          <w:ilvl w:val="0"/>
          <w:numId w:val="1"/>
        </w:numPr>
        <w:spacing w:lineRule="exact" w:line="264" w:before="0" w:after="70"/>
        <w:rPr/>
      </w:pPr>
      <w:r>
        <w:rPr>
          <w:rFonts w:eastAsia="Calibri" w:cs="Calibri"/>
          <w:b/>
          <w:bCs/>
          <w:i w:val="false"/>
          <w:iCs w:val="false"/>
          <w:color w:val="1A1A1A"/>
          <w:sz w:val="19"/>
          <w:szCs w:val="19"/>
        </w:rPr>
        <w:t>Mental Health Association of Central Florida (navigation &amp; referral)</w:t>
      </w:r>
      <w:r>
        <w:rPr>
          <w:rFonts w:eastAsia="Calibri" w:cs="Calibri"/>
          <w:b w:val="false"/>
          <w:bCs w:val="false"/>
          <w:i w:val="false"/>
          <w:iCs w:val="false"/>
          <w:color w:val="555555"/>
          <w:sz w:val="18"/>
          <w:szCs w:val="18"/>
        </w:rPr>
        <w:t xml:space="preserve">  —  605 E Robinson St #450, Orlando, FL 32801</w:t>
      </w:r>
      <w:r>
        <w:rPr>
          <w:rFonts w:eastAsia="Calibri" w:cs="Calibri"/>
          <w:b w:val="false"/>
          <w:bCs w:val="false"/>
          <w:i w:val="false"/>
          <w:iCs w:val="false"/>
          <w:color w:val="3E5871"/>
          <w:sz w:val="18"/>
          <w:szCs w:val="18"/>
        </w:rPr>
        <w:t xml:space="preserve">  ·  407-898-0110</w:t>
      </w:r>
    </w:p>
    <w:p>
      <w:pPr>
        <w:pStyle w:val="Normal"/>
        <w:keepNext w:val="true"/>
        <w:spacing w:before="150" w:after="60"/>
        <w:rPr/>
      </w:pPr>
      <w:r>
        <w:rPr>
          <w:rFonts w:eastAsia="Calibri" w:cs="Calibri"/>
          <w:b/>
          <w:bCs/>
          <w:i w:val="false"/>
          <w:iCs w:val="false"/>
          <w:color w:val="3E5871"/>
          <w:sz w:val="20"/>
          <w:szCs w:val="20"/>
        </w:rPr>
        <w:t>Tampa Bay — verified named partners</w:t>
      </w:r>
    </w:p>
    <w:p>
      <w:pPr>
        <w:pStyle w:val="Normal"/>
        <w:spacing w:before="0" w:after="60"/>
        <w:rPr/>
      </w:pPr>
      <w:r>
        <w:rPr>
          <w:rFonts w:eastAsia="Calibri" w:cs="Calibri"/>
          <w:b/>
          <w:bCs/>
          <w:i w:val="false"/>
          <w:iCs w:val="false"/>
          <w:color w:val="1F3A5F"/>
          <w:sz w:val="19"/>
          <w:szCs w:val="19"/>
        </w:rPr>
        <w:t>Crisis &amp; psychiatric receiving facilities</w:t>
      </w:r>
    </w:p>
    <w:p>
      <w:pPr>
        <w:pStyle w:val="ListParagraph"/>
        <w:numPr>
          <w:ilvl w:val="0"/>
          <w:numId w:val="1"/>
        </w:numPr>
        <w:spacing w:lineRule="exact" w:line="264" w:before="0" w:after="70"/>
        <w:rPr/>
      </w:pPr>
      <w:r>
        <w:rPr>
          <w:rFonts w:eastAsia="Calibri" w:cs="Calibri"/>
          <w:b/>
          <w:bCs/>
          <w:i w:val="false"/>
          <w:iCs w:val="false"/>
          <w:color w:val="1A1A1A"/>
          <w:sz w:val="19"/>
          <w:szCs w:val="19"/>
        </w:rPr>
        <w:t>Crisis Center of Tampa Bay</w:t>
      </w:r>
      <w:r>
        <w:rPr>
          <w:rFonts w:eastAsia="Calibri" w:cs="Calibri"/>
          <w:b w:val="false"/>
          <w:bCs w:val="false"/>
          <w:i w:val="false"/>
          <w:iCs w:val="false"/>
          <w:color w:val="555555"/>
          <w:sz w:val="18"/>
          <w:szCs w:val="18"/>
        </w:rPr>
        <w:t xml:space="preserve">  —  14905 Crisis Center Plaza, Tampa, FL 33613</w:t>
      </w:r>
      <w:r>
        <w:rPr>
          <w:rFonts w:eastAsia="Calibri" w:cs="Calibri"/>
          <w:b w:val="false"/>
          <w:bCs w:val="false"/>
          <w:i w:val="false"/>
          <w:iCs w:val="false"/>
          <w:color w:val="3E5871"/>
          <w:sz w:val="18"/>
          <w:szCs w:val="18"/>
        </w:rPr>
        <w:t xml:space="preserve">  ·  813-964-1964</w:t>
      </w:r>
    </w:p>
    <w:p>
      <w:pPr>
        <w:pStyle w:val="ListParagraph"/>
        <w:numPr>
          <w:ilvl w:val="0"/>
          <w:numId w:val="1"/>
        </w:numPr>
        <w:spacing w:lineRule="exact" w:line="264" w:before="0" w:after="70"/>
        <w:rPr/>
      </w:pPr>
      <w:r>
        <w:rPr>
          <w:rFonts w:eastAsia="Calibri" w:cs="Calibri"/>
          <w:b/>
          <w:bCs/>
          <w:i w:val="false"/>
          <w:iCs w:val="false"/>
          <w:color w:val="1A1A1A"/>
          <w:sz w:val="19"/>
          <w:szCs w:val="19"/>
        </w:rPr>
        <w:t>St. Joseph's Hospital Behavioral Health Center (Baker Act receiving)</w:t>
      </w:r>
      <w:r>
        <w:rPr>
          <w:rFonts w:eastAsia="Calibri" w:cs="Calibri"/>
          <w:b w:val="false"/>
          <w:bCs w:val="false"/>
          <w:i w:val="false"/>
          <w:iCs w:val="false"/>
          <w:color w:val="555555"/>
          <w:sz w:val="18"/>
          <w:szCs w:val="18"/>
        </w:rPr>
        <w:t xml:space="preserve">  —  4918 N Habana Ave, Tampa, FL 33614</w:t>
      </w:r>
      <w:r>
        <w:rPr>
          <w:rFonts w:eastAsia="Calibri" w:cs="Calibri"/>
          <w:b w:val="false"/>
          <w:bCs w:val="false"/>
          <w:i w:val="false"/>
          <w:iCs w:val="false"/>
          <w:color w:val="3E5871"/>
          <w:sz w:val="18"/>
          <w:szCs w:val="18"/>
        </w:rPr>
        <w:t xml:space="preserve">  ·  813-870-4300</w:t>
      </w:r>
    </w:p>
    <w:p>
      <w:pPr>
        <w:pStyle w:val="Normal"/>
        <w:keepNext w:val="true"/>
        <w:spacing w:before="150" w:after="60"/>
        <w:rPr/>
      </w:pPr>
      <w:r>
        <w:rPr>
          <w:rFonts w:eastAsia="Calibri" w:cs="Calibri"/>
          <w:b/>
          <w:bCs/>
          <w:i w:val="false"/>
          <w:iCs w:val="false"/>
          <w:color w:val="3E5871"/>
          <w:sz w:val="20"/>
          <w:szCs w:val="20"/>
        </w:rPr>
        <w:t>Jacksonville / Northeast Florida — verified named partners</w:t>
      </w:r>
    </w:p>
    <w:p>
      <w:pPr>
        <w:pStyle w:val="Normal"/>
        <w:spacing w:before="0" w:after="60"/>
        <w:rPr/>
      </w:pPr>
      <w:r>
        <w:rPr>
          <w:rFonts w:eastAsia="Calibri" w:cs="Calibri"/>
          <w:b/>
          <w:bCs/>
          <w:i w:val="false"/>
          <w:iCs w:val="false"/>
          <w:color w:val="1F3A5F"/>
          <w:sz w:val="19"/>
          <w:szCs w:val="19"/>
        </w:rPr>
        <w:t>Psychiatric hospitals &amp; community mental health</w:t>
      </w:r>
    </w:p>
    <w:p>
      <w:pPr>
        <w:pStyle w:val="ListParagraph"/>
        <w:numPr>
          <w:ilvl w:val="0"/>
          <w:numId w:val="1"/>
        </w:numPr>
        <w:spacing w:lineRule="exact" w:line="264" w:before="0" w:after="70"/>
        <w:rPr/>
      </w:pPr>
      <w:r>
        <w:rPr>
          <w:rFonts w:eastAsia="Calibri" w:cs="Calibri"/>
          <w:b/>
          <w:bCs/>
          <w:i w:val="false"/>
          <w:iCs w:val="false"/>
          <w:color w:val="1A1A1A"/>
          <w:sz w:val="19"/>
          <w:szCs w:val="19"/>
        </w:rPr>
        <w:t>River Point Behavioral Health (psychiatric hospital)</w:t>
      </w:r>
      <w:r>
        <w:rPr>
          <w:rFonts w:eastAsia="Calibri" w:cs="Calibri"/>
          <w:b w:val="false"/>
          <w:bCs w:val="false"/>
          <w:i w:val="false"/>
          <w:iCs w:val="false"/>
          <w:color w:val="555555"/>
          <w:sz w:val="18"/>
          <w:szCs w:val="18"/>
        </w:rPr>
        <w:t xml:space="preserve">  —  6300 Beach Blvd, Jacksonville, FL 32216</w:t>
      </w:r>
      <w:r>
        <w:rPr>
          <w:rFonts w:eastAsia="Calibri" w:cs="Calibri"/>
          <w:b w:val="false"/>
          <w:bCs w:val="false"/>
          <w:i w:val="false"/>
          <w:iCs w:val="false"/>
          <w:color w:val="3E5871"/>
          <w:sz w:val="18"/>
          <w:szCs w:val="18"/>
        </w:rPr>
        <w:t xml:space="preserve">  ·  904-724-9202</w:t>
      </w:r>
    </w:p>
    <w:p>
      <w:pPr>
        <w:pStyle w:val="ListParagraph"/>
        <w:numPr>
          <w:ilvl w:val="0"/>
          <w:numId w:val="1"/>
        </w:numPr>
        <w:spacing w:lineRule="exact" w:line="264" w:before="0" w:after="70"/>
        <w:rPr/>
      </w:pPr>
      <w:r>
        <w:rPr>
          <w:rFonts w:eastAsia="Calibri" w:cs="Calibri"/>
          <w:b/>
          <w:bCs/>
          <w:i w:val="false"/>
          <w:iCs w:val="false"/>
          <w:color w:val="1A1A1A"/>
          <w:sz w:val="19"/>
          <w:szCs w:val="19"/>
        </w:rPr>
        <w:t>Mental Health Resource Center</w:t>
      </w:r>
      <w:r>
        <w:rPr>
          <w:rFonts w:eastAsia="Calibri" w:cs="Calibri"/>
          <w:b w:val="false"/>
          <w:bCs w:val="false"/>
          <w:i w:val="false"/>
          <w:iCs w:val="false"/>
          <w:color w:val="555555"/>
          <w:sz w:val="18"/>
          <w:szCs w:val="18"/>
        </w:rPr>
        <w:t xml:space="preserve">  —  11820 Beach Blvd, Jacksonville, FL 32246</w:t>
      </w:r>
      <w:r>
        <w:rPr>
          <w:rFonts w:eastAsia="Calibri" w:cs="Calibri"/>
          <w:b w:val="false"/>
          <w:bCs w:val="false"/>
          <w:i w:val="false"/>
          <w:iCs w:val="false"/>
          <w:color w:val="3E5871"/>
          <w:sz w:val="18"/>
          <w:szCs w:val="18"/>
        </w:rPr>
        <w:t xml:space="preserve">  ·  904-642-9100</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(SMMC plan / Managing Entity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(SMMC plan, Managing Entity,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rPr/>
      </w:pPr>
      <w:r>
        <w:rPr/>
      </w:r>
      <w:r>
        <w:br w:type="page"/>
      </w:r>
    </w:p>
    <w:p>
      <w:pPr>
        <w:pStyle w:val="Normal"/>
        <w:keepNext w:val="true"/>
        <w:shd w:val="clear" w:fill="1F3A5F"/>
        <w:spacing w:before="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Introduction Letter to a Referral Source  </w:t>
      </w:r>
    </w:p>
    <w:p>
      <w:pPr>
        <w:pStyle w:val="Normal"/>
        <w:spacing w:lineRule="exact" w:line="268" w:before="0" w:after="110"/>
        <w:jc w:val="start"/>
        <w:rPr/>
      </w:pPr>
      <w:r>
        <w:rPr>
          <w:rFonts w:eastAsia="Calibri" w:cs="Calibri"/>
          <w:b w:val="false"/>
          <w:bCs w:val="false"/>
          <w:i w:val="false"/>
          <w:iCs w:val="false"/>
          <w:color w:val="1A1A1A"/>
          <w:sz w:val="20"/>
          <w:szCs w:val="20"/>
        </w:rPr>
        <w:t>Adapt and put on your letterhead. Keep it to one page.</w:t>
      </w:r>
    </w:p>
    <w:p>
      <w:pPr>
        <w:pStyle w:val="Normal"/>
        <w:spacing w:lineRule="exact" w:line="268" w:before="0" w:after="110"/>
        <w:jc w:val="start"/>
        <w:rPr/>
      </w:pPr>
      <w:r>
        <w:rPr>
          <w:rFonts w:eastAsia="Calibri" w:cs="Calibri"/>
          <w:b w:val="false"/>
          <w:bCs w:val="false"/>
          <w:i w:val="false"/>
          <w:iCs w:val="false"/>
          <w:color w:val="1A1A1A"/>
          <w:sz w:val="20"/>
          <w:szCs w:val="20"/>
        </w:rPr>
        <w:t>Dear [name / team], I'm writing to introduce [your program], a licensed [level of care] provider serving [area]. We specialize in [who you serve well], we're in-network with [payers/plans], and we currently have openings. We know you occasionally need a provider who accepts referrals quickly, communicates throughout, and reports outcomes — we would like to be that resource for you. Our intake line is [number] and reaches a live person [hours]; we respond to every referral the same day. I've enclosed a one-page summary of who we serve and how to reach us. I'd welcome the chance to learn what kinds of clients are hardest for you to place. Thank you for the work you do. — [name, title, contact]</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Your Capabilities One-Pager  </w:t>
      </w:r>
    </w:p>
    <w:p>
      <w:pPr>
        <w:pStyle w:val="Normal"/>
        <w:spacing w:lineRule="exact" w:line="268" w:before="0" w:after="110"/>
        <w:jc w:val="start"/>
        <w:rPr/>
      </w:pPr>
      <w:r>
        <w:rPr>
          <w:rFonts w:eastAsia="Calibri" w:cs="Calibri"/>
          <w:b w:val="false"/>
          <w:bCs w:val="false"/>
          <w:i w:val="false"/>
          <w:iCs w:val="false"/>
          <w:color w:val="1A1A1A"/>
          <w:sz w:val="20"/>
          <w:szCs w:val="20"/>
        </w:rPr>
        <w:t>A single page a coordinator can keep on file. Include each of these, factually and without any claim you cannot back up:</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Program name, location, and license / certification.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Levels of care and services you provide.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Who you serve well — diagnoses, co-occurring, ages, specialties — and who you are not the right fit for.</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Payers and networks accepted (Medicaid plans, county, commercial, private pay).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Current availability and typical time-to-admission.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Intake contact, hours, and your response-time promise.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One line on what makes you reliable (accreditation, outcomes, communication).</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A Three-Touch Follow-Up Sequence  </w:t>
      </w:r>
    </w:p>
    <w:p>
      <w:pPr>
        <w:pStyle w:val="Normal"/>
        <w:spacing w:lineRule="exact" w:line="268" w:before="0" w:after="110"/>
        <w:jc w:val="start"/>
        <w:rPr/>
      </w:pPr>
      <w:r>
        <w:rPr>
          <w:rFonts w:eastAsia="Calibri" w:cs="Calibri"/>
          <w:b w:val="false"/>
          <w:bCs w:val="false"/>
          <w:i w:val="false"/>
          <w:iCs w:val="false"/>
          <w:color w:val="1A1A1A"/>
          <w:sz w:val="20"/>
          <w:szCs w:val="20"/>
        </w:rPr>
        <w:t>After you meet or receive a referral, persistence — done politely — is what separates you from the providers a coordinator forgets.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Touch 1 (within 48 hours): </w:t>
      </w:r>
      <w:r>
        <w:rPr>
          <w:rFonts w:eastAsia="Calibri" w:cs="Calibri"/>
          <w:b w:val="false"/>
          <w:bCs w:val="false"/>
          <w:i w:val="false"/>
          <w:iCs w:val="false"/>
          <w:color w:val="1A1A1A"/>
          <w:sz w:val="20"/>
          <w:szCs w:val="20"/>
        </w:rPr>
        <w:t>a short thank-you that restates your intake contact, openings, and response-time promise.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Touch 2 (about two weeks later): </w:t>
      </w:r>
      <w:r>
        <w:rPr>
          <w:rFonts w:eastAsia="Calibri" w:cs="Calibri"/>
          <w:b w:val="false"/>
          <w:bCs w:val="false"/>
          <w:i w:val="false"/>
          <w:iCs w:val="false"/>
          <w:color w:val="1A1A1A"/>
          <w:sz w:val="20"/>
          <w:szCs w:val="20"/>
        </w:rPr>
        <w:t>share one useful item — an update on availability, a resource, or an offer to do a brief in-service. No ask.</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Touch 3 (about a month later): </w:t>
      </w:r>
      <w:r>
        <w:rPr>
          <w:rFonts w:eastAsia="Calibri" w:cs="Calibri"/>
          <w:b w:val="false"/>
          <w:bCs w:val="false"/>
          <w:i w:val="false"/>
          <w:iCs w:val="false"/>
          <w:color w:val="1A1A1A"/>
          <w:sz w:val="20"/>
          <w:szCs w:val="20"/>
        </w:rPr>
        <w:t>check in, confirm your current openings, and ask how they prefer to send a referral. Then move them into your regular check-in cycle.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Referral Feedback / Loop-Closure Note  </w:t>
      </w:r>
    </w:p>
    <w:p>
      <w:pPr>
        <w:pStyle w:val="Normal"/>
        <w:spacing w:lineRule="exact" w:line="268" w:before="0" w:after="110"/>
        <w:jc w:val="start"/>
        <w:rPr/>
      </w:pPr>
      <w:r>
        <w:rPr>
          <w:rFonts w:eastAsia="Calibri" w:cs="Calibri"/>
          <w:b w:val="false"/>
          <w:bCs w:val="false"/>
          <w:i w:val="false"/>
          <w:iCs w:val="false"/>
          <w:color w:val="1A1A1A"/>
          <w:sz w:val="20"/>
          <w:szCs w:val="20"/>
        </w:rPr>
        <w:t>Send to the original referrer once you have appropriate consent. This single habit earns more repeat referrals than any other.</w:t>
      </w:r>
    </w:p>
    <w:p>
      <w:pPr>
        <w:pStyle w:val="Normal"/>
        <w:spacing w:lineRule="exact" w:line="268" w:before="0" w:after="110"/>
        <w:jc w:val="start"/>
        <w:rPr/>
      </w:pPr>
      <w:r>
        <w:rPr>
          <w:rFonts w:eastAsia="Calibri" w:cs="Calibri"/>
          <w:b w:val="false"/>
          <w:bCs w:val="false"/>
          <w:i w:val="false"/>
          <w:iCs w:val="false"/>
          <w:color w:val="1A1A1A"/>
          <w:sz w:val="20"/>
          <w:szCs w:val="20"/>
        </w:rPr>
        <w:t>Hello [name], thank you for referring [client initials] on [date]. I wanted to close the loop: they were admitted on [date] and are engaged in [level of care]. [One line on progress, within consent.] We'll keep you informed as appropriate. Please don't hesitate to send us anyone who needs [what you do] — and thank you again for trusting us. — [name]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Outline: A Compliant Care-Coordination Agreement (MOU)  </w:t>
      </w:r>
    </w:p>
    <w:p>
      <w:pPr>
        <w:pStyle w:val="Normal"/>
        <w:spacing w:lineRule="exact" w:line="268" w:before="0" w:after="110"/>
        <w:jc w:val="start"/>
        <w:rPr/>
      </w:pPr>
      <w:r>
        <w:rPr>
          <w:rFonts w:eastAsia="Calibri" w:cs="Calibri"/>
          <w:b w:val="false"/>
          <w:bCs w:val="false"/>
          <w:i w:val="false"/>
          <w:iCs w:val="false"/>
          <w:color w:val="1A1A1A"/>
          <w:sz w:val="20"/>
          <w:szCs w:val="20"/>
        </w:rPr>
        <w:t>Use as a discussion outline with counsel — not as legal language. A sound agreement covers: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Purpose: to coordinate care and support safe transitions between the two providers.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Communication: named contacts, response times, and how information is shared within 42 CFR Part 2 and HIPAA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Transitions: how warm handoffs, records, and joint planning will work.</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What it does NOT include: any payment tied to referral volume, and no promise to refer a set number of clients — this is what keeps it on the right side of the Anti-Kickback Statute and EKRA.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Term, review, and termination.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 note that either party may refer elsewhere based solely on clinical fit and client choice.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Twelve-Month Relationship Calendar  </w:t>
      </w:r>
    </w:p>
    <w:p>
      <w:pPr>
        <w:pStyle w:val="Normal"/>
        <w:spacing w:lineRule="exact" w:line="268" w:before="0" w:after="110"/>
        <w:jc w:val="start"/>
        <w:rPr/>
      </w:pPr>
      <w:r>
        <w:rPr>
          <w:rFonts w:eastAsia="Calibri" w:cs="Calibri"/>
          <w:b w:val="false"/>
          <w:bCs w:val="false"/>
          <w:i w:val="false"/>
          <w:iCs w:val="false"/>
          <w:color w:val="1A1A1A"/>
          <w:sz w:val="20"/>
          <w:szCs w:val="20"/>
        </w:rPr>
        <w:t>Plan the year so relationships stay warm. Fill in targets and track completion.</w:t>
      </w:r>
    </w:p>
    <w:tbl>
      <w:tblPr>
        <w:tblW w:w="9360" w:type="dxa"/>
        <w:jc w:val="start"/>
        <w:tblInd w:w="0" w:type="dxa"/>
        <w:tblLayout w:type="fixed"/>
        <w:tblCellMar>
          <w:top w:w="60" w:type="dxa"/>
          <w:start w:w="100" w:type="dxa"/>
          <w:bottom w:w="60" w:type="dxa"/>
          <w:end w:w="100" w:type="dxa"/>
        </w:tblCellMar>
      </w:tblPr>
      <w:tblGrid>
        <w:gridCol w:w="1799"/>
        <w:gridCol w:w="3760"/>
        <w:gridCol w:w="3801"/>
      </w:tblGrid>
      <w:tr>
        <w:trPr>
          <w:tblHeader w:val="true"/>
        </w:trPr>
        <w:tc>
          <w:tcPr>
            <w:tcW w:w="17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Quarter</w:t>
            </w:r>
          </w:p>
        </w:tc>
        <w:tc>
          <w:tcPr>
            <w:tcW w:w="37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sources to meet (goal)</w:t>
            </w:r>
          </w:p>
        </w:tc>
        <w:tc>
          <w:tcPr>
            <w:tcW w:w="38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in-service / education</w:t>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Q1</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Q2</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Q3</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Q4</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Monthly Referral Tracking Log  </w:t>
      </w:r>
    </w:p>
    <w:p>
      <w:pPr>
        <w:pStyle w:val="Normal"/>
        <w:spacing w:lineRule="exact" w:line="268" w:before="0" w:after="110"/>
        <w:jc w:val="start"/>
        <w:rPr/>
      </w:pPr>
      <w:r>
        <w:rPr>
          <w:rFonts w:eastAsia="Calibri" w:cs="Calibri"/>
          <w:b w:val="false"/>
          <w:bCs w:val="false"/>
          <w:i w:val="false"/>
          <w:iCs w:val="false"/>
          <w:color w:val="1A1A1A"/>
          <w:sz w:val="20"/>
          <w:szCs w:val="20"/>
        </w:rPr>
        <w:t>Keep a simple running log — a spreadsheet is fine. One row per referral; review the totals each month (Part 20).</w:t>
      </w:r>
    </w:p>
    <w:tbl>
      <w:tblPr>
        <w:tblW w:w="9360" w:type="dxa"/>
        <w:jc w:val="start"/>
        <w:tblInd w:w="0" w:type="dxa"/>
        <w:tblLayout w:type="fixed"/>
        <w:tblCellMar>
          <w:top w:w="60" w:type="dxa"/>
          <w:start w:w="100" w:type="dxa"/>
          <w:bottom w:w="60" w:type="dxa"/>
          <w:end w:w="100" w:type="dxa"/>
        </w:tblCellMar>
      </w:tblPr>
      <w:tblGrid>
        <w:gridCol w:w="2600"/>
        <w:gridCol w:w="3899"/>
        <w:gridCol w:w="2861"/>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 &amp; referral source</w:t>
            </w:r>
          </w:p>
        </w:tc>
        <w:tc>
          <w:tcPr>
            <w:tcW w:w="38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initials — outcome (admitted / declined / no-show)</w:t>
            </w:r>
          </w:p>
        </w:tc>
        <w:tc>
          <w:tcPr>
            <w:tcW w:w="28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Time to contact — loop closed? (Y/N)</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pacing w:before="140" w:after="60"/>
        <w:rPr/>
      </w:pPr>
      <w:r>
        <w:rPr>
          <w:rFonts w:eastAsia="Calibri" w:cs="Calibri"/>
          <w:b/>
          <w:bCs/>
          <w:i w:val="false"/>
          <w:iCs w:val="false"/>
          <w:color w:val="3E5871"/>
          <w:sz w:val="21"/>
          <w:szCs w:val="21"/>
        </w:rPr>
        <w:t>Sources &amp; Further Reading</w:t>
      </w:r>
    </w:p>
    <w:p>
      <w:pPr>
        <w:pStyle w:val="Normal"/>
        <w:spacing w:lineRule="exact" w:line="268" w:before="0" w:after="110"/>
        <w:jc w:val="start"/>
        <w:rPr/>
      </w:pPr>
      <w:r>
        <w:rPr>
          <w:rFonts w:eastAsia="Calibri" w:cs="Calibri"/>
          <w:b w:val="false"/>
          <w:bCs w:val="false"/>
          <w:i w:val="false"/>
          <w:iCs w:val="false"/>
          <w:color w:val="1A1A1A"/>
          <w:sz w:val="20"/>
          <w:szCs w:val="20"/>
        </w:rPr>
        <w:t>This system reflects widely used, publicly available guidance on behavioral health referrals and care coordination, including: SAMHSA and the National Council for Mental Wellbeing on warm handoffs and linkage to care; the National Association of Counties (NACo) warm hand-off strategy brief; the American Society of Addiction Medicine (ASAM) Criteria on the continuum and levels of care; the National Academies (Institute of Medicine) on coordinating care for mental and substance-use conditions; CARF International and The Joint Commission on care-coordination and continuity standards; and the federal Anti-Kickback Statute, the Eliminating Kickbacks in Recovery Act (18 U.S.C. § 220), and 42 CFR Part 2 on confidentiality. State-specific programs and contacts are drawn from the responsible state agency and county behavioral health systems. Verify all contacts, programs, and legal requirements before relying on them; this is general educational information, not legal or clinical advice.</w:t>
      </w:r>
    </w:p>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Florida behavioral health providers, not legal advice. Contacts, programs, and phone numbers change — verify each before you rely on it, and confirm the Anti-Kickback Statute, EKRA, and Florida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Mental Health Referral System — Florida Edition  —  PolicyReady.org  —  Page </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Mental Health Referral System — Florida Edition  —  PolicyReady.org  —  Page </w:t>
    </w:r>
    <w:r>
      <w:rPr/>
      <w:fldChar w:fldCharType="begin"/>
    </w:r>
    <w:r>
      <w:rPr/>
      <w:instrText xml:space="preserve"> PAGE </w:instrText>
    </w:r>
    <w:r>
      <w:rPr/>
      <w:fldChar w:fldCharType="separate"/>
    </w:r>
    <w:r>
      <w:rPr/>
      <w:t>19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2026-07-16T11:56:59Z</dcterms:created>
  <dc:creator>PolicyReady.org</dc:creator>
  <dc:description/>
  <dc:language>en-US</dc:language>
  <cp:lastModifiedBy>Un-named</cp:lastModifiedBy>
  <dcterms:modified xsi:type="dcterms:W3CDTF">2026-07-16T11:56:59Z</dcterms:modified>
  <cp:revision>1</cp:revision>
  <dc:subject/>
  <dc:title>The Mental Health Referral System — Florida Edition</dc:title>
</cp:coreProperties>
</file>