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Substance Use Referral System</w:t>
            </w:r>
          </w:p>
          <w:p>
            <w:pPr>
              <w:pStyle w:val="Normal"/>
              <w:spacing w:before="0" w:after="0"/>
              <w:jc w:val="center"/>
              <w:rPr/>
            </w:pPr>
            <w:r>
              <w:rPr>
                <w:rFonts w:eastAsia="Calibri" w:cs="Calibri"/>
                <w:b/>
                <w:bCs/>
                <w:i w:val="false"/>
                <w:iCs w:val="false"/>
                <w:color w:val="FFFFFF"/>
                <w:sz w:val="34"/>
                <w:szCs w:val="34"/>
              </w:rPr>
              <w:t>Florida Edition</w:t>
            </w:r>
          </w:p>
        </w:tc>
      </w:tr>
    </w:tbl>
    <w:p>
      <w:pPr>
        <w:pStyle w:val="Normal"/>
        <w:spacing w:lineRule="exact" w:line="268" w:before="0" w:after="60"/>
        <w:jc w:val="center"/>
        <w:rPr/>
      </w:pPr>
      <w:r>
        <w:rPr>
          <w:rFonts w:eastAsia="Calibri" w:cs="Calibri"/>
          <w:b w:val="false"/>
          <w:bCs w:val="false"/>
          <w:i/>
          <w:iCs/>
          <w:color w:val="3E5871"/>
          <w:sz w:val="22"/>
          <w:szCs w:val="22"/>
        </w:rPr>
        <w:t>How a Florida licensed substance use treatment provider builds a steady stream of client referrals — the strategy, a verified directory of Florida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Florida licensed substance use treatment provider fills its caseload and beds through the systems that pay for and steer behavioral health care: the Statewide Medicaid Managed Care (SMMC) plans that cover Medicaid members, the regional Managing Entity that runs the publicly funded network for the uninsured and underinsured, the Marchman Act system and its detox and addictions receiving facilities, hospitals and emergency departments, and the courts (including drug courts and Marchman Act petitions).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Florida,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Florida: by being in-network, being known, and being reliable. Read it once start to finish, then use it as a checklist. Everything here is general educational information for Florida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substance use provider, enroll as a Florida Medicaid provider, and contract with your SMMC plan and your regional Managing Entity so clients can be sent to you and you can be paid. Identify the sources that put clients in front of you — the SMMC plan and Managing Entity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Florida Medicaid provider, and contract with your SMMC plans and Managing Entity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SMMC plan and Managing Entity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SMMC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SMMC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SMMC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Florida landscape of who puts behavioral health clients in front of a provider. Not all carry the same weight — the SMMC plans, the Managing Entity, and the Marchman Act and detox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Statewide Medicaid Managed Care (SMMC) plans — the biggest for Medicaid. </w:t>
      </w:r>
      <w:r>
        <w:rPr>
          <w:rFonts w:eastAsia="Calibri" w:cs="Calibri"/>
          <w:b w:val="false"/>
          <w:bCs w:val="false"/>
          <w:i w:val="false"/>
          <w:iCs w:val="false"/>
          <w:color w:val="1A1A1A"/>
          <w:sz w:val="20"/>
          <w:szCs w:val="20"/>
        </w:rPr>
        <w:t>Florida's Medicaid behavioral health benefit is managed by regional SMMC plans; their care coordinators refer members and authorize services. Being enrolled and in-network with your SMMC plan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Managing Entity — for the uninsured and underinsured. </w:t>
      </w:r>
      <w:r>
        <w:rPr>
          <w:rFonts w:eastAsia="Calibri" w:cs="Calibri"/>
          <w:b w:val="false"/>
          <w:bCs w:val="false"/>
          <w:i w:val="false"/>
          <w:iCs w:val="false"/>
          <w:color w:val="1A1A1A"/>
          <w:sz w:val="20"/>
          <w:szCs w:val="20"/>
        </w:rPr>
        <w:t>Your regional Managing Entity (ME) coordinates the publicly funded network for people without Medicaid and steers them to contracted providers — getting into the ME network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Marchman Act &amp; detox / addictions receiving facilities. </w:t>
      </w:r>
      <w:r>
        <w:rPr>
          <w:rFonts w:eastAsia="Calibri" w:cs="Calibri"/>
          <w:b w:val="false"/>
          <w:bCs w:val="false"/>
          <w:i w:val="false"/>
          <w:iCs w:val="false"/>
          <w:color w:val="1A1A1A"/>
          <w:sz w:val="20"/>
          <w:szCs w:val="20"/>
        </w:rPr>
        <w:t>Under the Marchman Act (Ch. 397), people are assessed and stabilized in detox and addictions receiving facilities (ARFs) and then need somewhere to step down to for ongoing substance use treatment — a major source of referrals. The 988 Florida Lifeline and mobile response teams also refer.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courts, Marchman Act petitions, probation and parole, diversion, and jail reentry refer large numbers of clients to treatment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SMMC plans and Managing Entity,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DCF license for the levels of care you provide (outpatient, residential, detoxification)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Florida Medicaid provider and contract with your SMMC plan, and join your regional Managing Entity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detox and addictions receiving facilities,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Florida’s Patient Brokering Act (Fla. Stat. § 817.505) also prohibits patient brokering — and Florida is the country’s most active enforcement state for sober-home and treatment patient-brokering cases.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SMMC plan &amp; Managing Entity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SMMC plans and Managing Entity,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SMMC plans and Managing Entity,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[SMMC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(SMMC plan, Managing Entity,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[SMMC plan] and contracted with [Managing Entity].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SMMC plan and Managing Entity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SMMC plan, Managing Entity,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SMMC plan, Managing Entity,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SMMC plan or Managing Entity,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SMMC plan, Managing Entity,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Florida Medicaid enrollment, your SMMC plan contract, and your Managing Entity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Florida Substance Use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Florida sources a substance use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SMMC plan — in-network first. </w:t>
      </w:r>
      <w:r>
        <w:rPr>
          <w:rFonts w:eastAsia="Calibri" w:cs="Calibri"/>
          <w:b w:val="false"/>
          <w:bCs w:val="false"/>
          <w:i w:val="false"/>
          <w:iCs w:val="false"/>
          <w:color w:val="1A1A1A"/>
          <w:sz w:val="20"/>
          <w:szCs w:val="20"/>
        </w:rPr>
        <w:t>Most Florida Medicaid members receive behavioral health through Statewide Medicaid Managed Care (SMMC) plans; their care coordinators refer members and authorize services. Enroll as a Florida Medicaid provider and contract with the SMMC plans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regional Managing Entity (ME) — the public safety net. </w:t>
      </w:r>
      <w:r>
        <w:rPr>
          <w:rFonts w:eastAsia="Calibri" w:cs="Calibri"/>
          <w:b w:val="false"/>
          <w:bCs w:val="false"/>
          <w:i w:val="false"/>
          <w:iCs w:val="false"/>
          <w:color w:val="1A1A1A"/>
          <w:sz w:val="20"/>
          <w:szCs w:val="20"/>
        </w:rPr>
        <w:t>Seven regional Managing Entities coordinate the DCF-funded network for the uninsured and underinsured. Join the ME network for your region: Central Florida Behavioral Health Network (Suncoast), Central Florida Cares Health System (Central), Lutheran Services Florida Health Systems (Northeast/North Central), Thriving Mind South Florida (Miami-Dade/Monroe), Broward Behavioral Health Coalition, Southeast Florida Behavioral Health Network, and the Northwest/Big Bend network.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Marchman Act &amp; detox / addictions receiving facilities. </w:t>
      </w:r>
      <w:r>
        <w:rPr>
          <w:rFonts w:eastAsia="Calibri" w:cs="Calibri"/>
          <w:b w:val="false"/>
          <w:bCs w:val="false"/>
          <w:i w:val="false"/>
          <w:iCs w:val="false"/>
          <w:color w:val="1A1A1A"/>
          <w:sz w:val="20"/>
          <w:szCs w:val="20"/>
        </w:rPr>
        <w:t>Detox and addictions receiving facilities (ARFs) assess and stabilize people under the Marchman Act (Ch. 397) and then step them down to ongoing treatment — a major referral source. The 988 Florida Lifeline also refers.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Florida DCF — licensing. </w:t>
      </w:r>
      <w:r>
        <w:rPr>
          <w:rFonts w:eastAsia="Calibri" w:cs="Calibri"/>
          <w:b w:val="false"/>
          <w:bCs w:val="false"/>
          <w:i w:val="false"/>
          <w:iCs w:val="false"/>
          <w:color w:val="1A1A1A"/>
          <w:sz w:val="20"/>
          <w:szCs w:val="20"/>
        </w:rPr>
        <w:t>The Department of Children and Families licenses substance abuse services under 65D-30, F.A.C., through the Office of Substance Abuse and Mental Health (SAMH). myflfamilies.com.</w:t>
      </w:r>
    </w:p>
    <w:p>
      <w:pPr>
        <w:pStyle w:val="Normal"/>
        <w:keepNext w:val="true"/>
        <w:spacing w:before="150" w:after="60"/>
        <w:rPr/>
      </w:pPr>
      <w:r>
        <w:rPr>
          <w:rFonts w:eastAsia="Calibri" w:cs="Calibri"/>
          <w:b/>
          <w:bCs/>
          <w:i w:val="false"/>
          <w:iCs w:val="false"/>
          <w:color w:val="3E5871"/>
          <w:sz w:val="20"/>
          <w:szCs w:val="20"/>
        </w:rPr>
        <w:t>Miami / South Florida — verified named partners</w:t>
      </w:r>
    </w:p>
    <w:p>
      <w:pPr>
        <w:pStyle w:val="Normal"/>
        <w:spacing w:before="0" w:after="60"/>
        <w:rPr/>
      </w:pPr>
      <w:r>
        <w:rPr>
          <w:rFonts w:eastAsia="Calibri" w:cs="Calibri"/>
          <w:b/>
          <w:bCs/>
          <w:i w:val="false"/>
          <w:iCs w:val="false"/>
          <w:color w:val="1F3A5F"/>
          <w:sz w:val="19"/>
          <w:szCs w:val="19"/>
        </w:rPr>
        <w:t>Detox &amp; substance use treatment (referral sources &amp; step-downs)</w:t>
      </w:r>
    </w:p>
    <w:p>
      <w:pPr>
        <w:pStyle w:val="ListParagraph"/>
        <w:numPr>
          <w:ilvl w:val="0"/>
          <w:numId w:val="1"/>
        </w:numPr>
        <w:spacing w:lineRule="exact" w:line="264" w:before="0" w:after="70"/>
        <w:rPr/>
      </w:pPr>
      <w:r>
        <w:rPr>
          <w:rFonts w:eastAsia="Calibri" w:cs="Calibri"/>
          <w:b/>
          <w:bCs/>
          <w:i w:val="false"/>
          <w:iCs w:val="false"/>
          <w:color w:val="1A1A1A"/>
          <w:sz w:val="19"/>
          <w:szCs w:val="19"/>
        </w:rPr>
        <w:t>Summer House Detox Center</w:t>
      </w:r>
      <w:r>
        <w:rPr>
          <w:rFonts w:eastAsia="Calibri" w:cs="Calibri"/>
          <w:b w:val="false"/>
          <w:bCs w:val="false"/>
          <w:i w:val="false"/>
          <w:iCs w:val="false"/>
          <w:color w:val="555555"/>
          <w:sz w:val="18"/>
          <w:szCs w:val="18"/>
        </w:rPr>
        <w:t xml:space="preserve">  —  13550 Memorial Hwy, Miami, FL 33161</w:t>
      </w:r>
      <w:r>
        <w:rPr>
          <w:rFonts w:eastAsia="Calibri" w:cs="Calibri"/>
          <w:b w:val="false"/>
          <w:bCs w:val="false"/>
          <w:i w:val="false"/>
          <w:iCs w:val="false"/>
          <w:color w:val="3E5871"/>
          <w:sz w:val="18"/>
          <w:szCs w:val="18"/>
        </w:rPr>
        <w:t xml:space="preserve">  ·  888-338-6908</w:t>
      </w:r>
    </w:p>
    <w:p>
      <w:pPr>
        <w:pStyle w:val="ListParagraph"/>
        <w:numPr>
          <w:ilvl w:val="0"/>
          <w:numId w:val="1"/>
        </w:numPr>
        <w:spacing w:lineRule="exact" w:line="264" w:before="0" w:after="70"/>
        <w:rPr/>
      </w:pPr>
      <w:r>
        <w:rPr>
          <w:rFonts w:eastAsia="Calibri" w:cs="Calibri"/>
          <w:b/>
          <w:bCs/>
          <w:i w:val="false"/>
          <w:iCs w:val="false"/>
          <w:color w:val="1A1A1A"/>
          <w:sz w:val="19"/>
          <w:szCs w:val="19"/>
        </w:rPr>
        <w:t>Harbor Village (detox &amp; residential)</w:t>
      </w:r>
      <w:r>
        <w:rPr>
          <w:rFonts w:eastAsia="Calibri" w:cs="Calibri"/>
          <w:b w:val="false"/>
          <w:bCs w:val="false"/>
          <w:i w:val="false"/>
          <w:iCs w:val="false"/>
          <w:color w:val="555555"/>
          <w:sz w:val="18"/>
          <w:szCs w:val="18"/>
        </w:rPr>
        <w:t xml:space="preserve">  —  9198 NW 8th Ave, Miami, FL 33150</w:t>
      </w:r>
      <w:r>
        <w:rPr>
          <w:rFonts w:eastAsia="Calibri" w:cs="Calibri"/>
          <w:b w:val="false"/>
          <w:bCs w:val="false"/>
          <w:i w:val="false"/>
          <w:iCs w:val="false"/>
          <w:color w:val="3E5871"/>
          <w:sz w:val="18"/>
          <w:szCs w:val="18"/>
        </w:rPr>
        <w:t xml:space="preserve">  ·  844-993-0378</w:t>
      </w:r>
    </w:p>
    <w:p>
      <w:pPr>
        <w:pStyle w:val="ListParagraph"/>
        <w:numPr>
          <w:ilvl w:val="0"/>
          <w:numId w:val="1"/>
        </w:numPr>
        <w:spacing w:lineRule="exact" w:line="264" w:before="0" w:after="70"/>
        <w:rPr/>
      </w:pPr>
      <w:r>
        <w:rPr>
          <w:rFonts w:eastAsia="Calibri" w:cs="Calibri"/>
          <w:b/>
          <w:bCs/>
          <w:i w:val="false"/>
          <w:iCs w:val="false"/>
          <w:color w:val="1A1A1A"/>
          <w:sz w:val="19"/>
          <w:szCs w:val="19"/>
        </w:rPr>
        <w:t>South Beach Detox</w:t>
      </w:r>
      <w:r>
        <w:rPr>
          <w:rFonts w:eastAsia="Calibri" w:cs="Calibri"/>
          <w:b w:val="false"/>
          <w:bCs w:val="false"/>
          <w:i w:val="false"/>
          <w:iCs w:val="false"/>
          <w:color w:val="555555"/>
          <w:sz w:val="18"/>
          <w:szCs w:val="18"/>
        </w:rPr>
        <w:t xml:space="preserve">  —  85 NW 168th St, North Miami Beach, FL 33169</w:t>
      </w:r>
      <w:r>
        <w:rPr>
          <w:rFonts w:eastAsia="Calibri" w:cs="Calibri"/>
          <w:b w:val="false"/>
          <w:bCs w:val="false"/>
          <w:i w:val="false"/>
          <w:iCs w:val="false"/>
          <w:color w:val="3E5871"/>
          <w:sz w:val="18"/>
          <w:szCs w:val="18"/>
        </w:rPr>
        <w:t xml:space="preserve">  ·  800-940-0082</w:t>
      </w:r>
    </w:p>
    <w:p>
      <w:pPr>
        <w:pStyle w:val="Normal"/>
        <w:keepNext w:val="true"/>
        <w:spacing w:before="150" w:after="60"/>
        <w:rPr/>
      </w:pPr>
      <w:r>
        <w:rPr>
          <w:rFonts w:eastAsia="Calibri" w:cs="Calibri"/>
          <w:b/>
          <w:bCs/>
          <w:i w:val="false"/>
          <w:iCs w:val="false"/>
          <w:color w:val="3E5871"/>
          <w:sz w:val="20"/>
          <w:szCs w:val="20"/>
        </w:rPr>
        <w:t>Orlando / Central Florida — verified named partners</w:t>
      </w:r>
    </w:p>
    <w:p>
      <w:pPr>
        <w:pStyle w:val="Normal"/>
        <w:spacing w:before="0" w:after="60"/>
        <w:rPr/>
      </w:pPr>
      <w:r>
        <w:rPr>
          <w:rFonts w:eastAsia="Calibri" w:cs="Calibri"/>
          <w:b/>
          <w:bCs/>
          <w:i w:val="false"/>
          <w:iCs w:val="false"/>
          <w:color w:val="1F3A5F"/>
          <w:sz w:val="19"/>
          <w:szCs w:val="19"/>
        </w:rPr>
        <w:t>Detox, treatment &amp; opioid treatment programs</w:t>
      </w:r>
    </w:p>
    <w:p>
      <w:pPr>
        <w:pStyle w:val="ListParagraph"/>
        <w:numPr>
          <w:ilvl w:val="0"/>
          <w:numId w:val="1"/>
        </w:numPr>
        <w:spacing w:lineRule="exact" w:line="264" w:before="0" w:after="70"/>
        <w:rPr/>
      </w:pPr>
      <w:r>
        <w:rPr>
          <w:rFonts w:eastAsia="Calibri" w:cs="Calibri"/>
          <w:b/>
          <w:bCs/>
          <w:i w:val="false"/>
          <w:iCs w:val="false"/>
          <w:color w:val="1A1A1A"/>
          <w:sz w:val="19"/>
          <w:szCs w:val="19"/>
        </w:rPr>
        <w:t>Orlando Recovery Center (detox, residential &amp; MH)</w:t>
      </w:r>
      <w:r>
        <w:rPr>
          <w:rFonts w:eastAsia="Calibri" w:cs="Calibri"/>
          <w:b w:val="false"/>
          <w:bCs w:val="false"/>
          <w:i w:val="false"/>
          <w:iCs w:val="false"/>
          <w:color w:val="555555"/>
          <w:sz w:val="18"/>
          <w:szCs w:val="18"/>
        </w:rPr>
        <w:t xml:space="preserve">  —  6000 Lake Ellenor Dr, Orlando, FL 32809</w:t>
      </w:r>
      <w:r>
        <w:rPr>
          <w:rFonts w:eastAsia="Calibri" w:cs="Calibri"/>
          <w:b w:val="false"/>
          <w:bCs w:val="false"/>
          <w:i w:val="false"/>
          <w:iCs w:val="false"/>
          <w:color w:val="3E5871"/>
          <w:sz w:val="18"/>
          <w:szCs w:val="18"/>
        </w:rPr>
        <w:t xml:space="preserve">  ·  407-680-1226</w:t>
      </w:r>
    </w:p>
    <w:p>
      <w:pPr>
        <w:pStyle w:val="ListParagraph"/>
        <w:numPr>
          <w:ilvl w:val="0"/>
          <w:numId w:val="1"/>
        </w:numPr>
        <w:spacing w:lineRule="exact" w:line="264" w:before="0" w:after="70"/>
        <w:rPr/>
      </w:pPr>
      <w:r>
        <w:rPr>
          <w:rFonts w:eastAsia="Calibri" w:cs="Calibri"/>
          <w:b/>
          <w:bCs/>
          <w:i w:val="false"/>
          <w:iCs w:val="false"/>
          <w:color w:val="1A1A1A"/>
          <w:sz w:val="19"/>
          <w:szCs w:val="19"/>
        </w:rPr>
        <w:t>Sunrise Detox Orlando</w:t>
      </w:r>
      <w:r>
        <w:rPr>
          <w:rFonts w:eastAsia="Calibri" w:cs="Calibri"/>
          <w:b w:val="false"/>
          <w:bCs w:val="false"/>
          <w:i w:val="false"/>
          <w:iCs w:val="false"/>
          <w:color w:val="555555"/>
          <w:sz w:val="18"/>
          <w:szCs w:val="18"/>
        </w:rPr>
        <w:t xml:space="preserve">  —  2431 Sand Lake Rd, Orlando, FL 32809</w:t>
      </w:r>
      <w:r>
        <w:rPr>
          <w:rFonts w:eastAsia="Calibri" w:cs="Calibri"/>
          <w:b w:val="false"/>
          <w:bCs w:val="false"/>
          <w:i w:val="false"/>
          <w:iCs w:val="false"/>
          <w:color w:val="3E5871"/>
          <w:sz w:val="18"/>
          <w:szCs w:val="18"/>
        </w:rPr>
        <w:t xml:space="preserve">  ·  407-305-4029</w:t>
      </w:r>
    </w:p>
    <w:p>
      <w:pPr>
        <w:pStyle w:val="ListParagraph"/>
        <w:numPr>
          <w:ilvl w:val="0"/>
          <w:numId w:val="1"/>
        </w:numPr>
        <w:spacing w:lineRule="exact" w:line="264" w:before="0" w:after="70"/>
        <w:rPr/>
      </w:pPr>
      <w:r>
        <w:rPr>
          <w:rFonts w:eastAsia="Calibri" w:cs="Calibri"/>
          <w:b/>
          <w:bCs/>
          <w:i w:val="false"/>
          <w:iCs w:val="false"/>
          <w:color w:val="1A1A1A"/>
          <w:sz w:val="19"/>
          <w:szCs w:val="19"/>
        </w:rPr>
        <w:t>Central Florida Treatment Centers (opioid treatment program)</w:t>
      </w:r>
      <w:r>
        <w:rPr>
          <w:rFonts w:eastAsia="Calibri" w:cs="Calibri"/>
          <w:b w:val="false"/>
          <w:bCs w:val="false"/>
          <w:i w:val="false"/>
          <w:iCs w:val="false"/>
          <w:color w:val="555555"/>
          <w:sz w:val="18"/>
          <w:szCs w:val="18"/>
        </w:rPr>
        <w:t xml:space="preserve">  —  1800 W Colonial Dr, Orlando, FL 32804</w:t>
      </w:r>
      <w:r>
        <w:rPr>
          <w:rFonts w:eastAsia="Calibri" w:cs="Calibri"/>
          <w:b w:val="false"/>
          <w:bCs w:val="false"/>
          <w:i w:val="false"/>
          <w:iCs w:val="false"/>
          <w:color w:val="3E5871"/>
          <w:sz w:val="18"/>
          <w:szCs w:val="18"/>
        </w:rPr>
        <w:t xml:space="preserve">  ·  407-843-0041</w:t>
      </w:r>
    </w:p>
    <w:p>
      <w:pPr>
        <w:pStyle w:val="Normal"/>
        <w:keepNext w:val="true"/>
        <w:spacing w:before="150" w:after="60"/>
        <w:rPr/>
      </w:pPr>
      <w:r>
        <w:rPr>
          <w:rFonts w:eastAsia="Calibri" w:cs="Calibri"/>
          <w:b/>
          <w:bCs/>
          <w:i w:val="false"/>
          <w:iCs w:val="false"/>
          <w:color w:val="3E5871"/>
          <w:sz w:val="20"/>
          <w:szCs w:val="20"/>
        </w:rPr>
        <w:t>Tampa Bay — verified named partners</w:t>
      </w:r>
    </w:p>
    <w:p>
      <w:pPr>
        <w:pStyle w:val="Normal"/>
        <w:spacing w:before="0" w:after="60"/>
        <w:rPr/>
      </w:pPr>
      <w:r>
        <w:rPr>
          <w:rFonts w:eastAsia="Calibri" w:cs="Calibri"/>
          <w:b/>
          <w:bCs/>
          <w:i w:val="false"/>
          <w:iCs w:val="false"/>
          <w:color w:val="1F3A5F"/>
          <w:sz w:val="19"/>
          <w:szCs w:val="19"/>
        </w:rPr>
        <w:t>Addictions receiving facility &amp;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ACTS Adult Addiction Receiving Facility (AARF) — Marchman Act</w:t>
      </w:r>
      <w:r>
        <w:rPr>
          <w:rFonts w:eastAsia="Calibri" w:cs="Calibri"/>
          <w:b w:val="false"/>
          <w:bCs w:val="false"/>
          <w:i w:val="false"/>
          <w:iCs w:val="false"/>
          <w:color w:val="555555"/>
          <w:sz w:val="18"/>
          <w:szCs w:val="18"/>
        </w:rPr>
        <w:t xml:space="preserve">  —  3107 N 50th St Unit A, Tampa, FL 33619</w:t>
      </w:r>
      <w:r>
        <w:rPr>
          <w:rFonts w:eastAsia="Calibri" w:cs="Calibri"/>
          <w:b w:val="false"/>
          <w:bCs w:val="false"/>
          <w:i w:val="false"/>
          <w:iCs w:val="false"/>
          <w:color w:val="3E5871"/>
          <w:sz w:val="18"/>
          <w:szCs w:val="18"/>
        </w:rPr>
        <w:t xml:space="preserve">  ·  813-367-2565</w:t>
      </w:r>
    </w:p>
    <w:p>
      <w:pPr>
        <w:pStyle w:val="ListParagraph"/>
        <w:numPr>
          <w:ilvl w:val="0"/>
          <w:numId w:val="1"/>
        </w:numPr>
        <w:spacing w:lineRule="exact" w:line="264" w:before="0" w:after="70"/>
        <w:rPr/>
      </w:pPr>
      <w:r>
        <w:rPr>
          <w:rFonts w:eastAsia="Calibri" w:cs="Calibri"/>
          <w:b/>
          <w:bCs/>
          <w:i w:val="false"/>
          <w:iCs w:val="false"/>
          <w:color w:val="1A1A1A"/>
          <w:sz w:val="19"/>
          <w:szCs w:val="19"/>
        </w:rPr>
        <w:t>Cove Behavioral Health (SUD treatment &amp; OTP)</w:t>
      </w:r>
      <w:r>
        <w:rPr>
          <w:rFonts w:eastAsia="Calibri" w:cs="Calibri"/>
          <w:b w:val="false"/>
          <w:bCs w:val="false"/>
          <w:i w:val="false"/>
          <w:iCs w:val="false"/>
          <w:color w:val="555555"/>
          <w:sz w:val="18"/>
          <w:szCs w:val="18"/>
        </w:rPr>
        <w:t xml:space="preserve">  —  4422 E Columbus Dr, Tampa, FL 33605</w:t>
      </w:r>
      <w:r>
        <w:rPr>
          <w:rFonts w:eastAsia="Calibri" w:cs="Calibri"/>
          <w:b w:val="false"/>
          <w:bCs w:val="false"/>
          <w:i w:val="false"/>
          <w:iCs w:val="false"/>
          <w:color w:val="3E5871"/>
          <w:sz w:val="18"/>
          <w:szCs w:val="18"/>
        </w:rPr>
        <w:t xml:space="preserve">  ·  813-384-4000</w:t>
      </w:r>
    </w:p>
    <w:p>
      <w:pPr>
        <w:pStyle w:val="Normal"/>
        <w:keepNext w:val="true"/>
        <w:spacing w:before="150" w:after="60"/>
        <w:rPr/>
      </w:pPr>
      <w:r>
        <w:rPr>
          <w:rFonts w:eastAsia="Calibri" w:cs="Calibri"/>
          <w:b/>
          <w:bCs/>
          <w:i w:val="false"/>
          <w:iCs w:val="false"/>
          <w:color w:val="3E5871"/>
          <w:sz w:val="20"/>
          <w:szCs w:val="20"/>
        </w:rPr>
        <w:t>West Palm Beach / Treasure Coast — verified named partners</w:t>
      </w:r>
    </w:p>
    <w:p>
      <w:pPr>
        <w:pStyle w:val="Normal"/>
        <w:spacing w:before="0" w:after="60"/>
        <w:rPr/>
      </w:pPr>
      <w:r>
        <w:rPr>
          <w:rFonts w:eastAsia="Calibri" w:cs="Calibri"/>
          <w:b/>
          <w:bCs/>
          <w:i w:val="false"/>
          <w:iCs w:val="false"/>
          <w:color w:val="1F3A5F"/>
          <w:sz w:val="19"/>
          <w:szCs w:val="19"/>
        </w:rPr>
        <w:t>Detox &amp;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Allure Detox</w:t>
      </w:r>
      <w:r>
        <w:rPr>
          <w:rFonts w:eastAsia="Calibri" w:cs="Calibri"/>
          <w:b w:val="false"/>
          <w:bCs w:val="false"/>
          <w:i w:val="false"/>
          <w:iCs w:val="false"/>
          <w:color w:val="555555"/>
          <w:sz w:val="18"/>
          <w:szCs w:val="18"/>
        </w:rPr>
        <w:t xml:space="preserve">  —  900 54th St, West Palm Beach, FL 33407</w:t>
      </w:r>
      <w:r>
        <w:rPr>
          <w:rFonts w:eastAsia="Calibri" w:cs="Calibri"/>
          <w:b w:val="false"/>
          <w:bCs w:val="false"/>
          <w:i w:val="false"/>
          <w:iCs w:val="false"/>
          <w:color w:val="3E5871"/>
          <w:sz w:val="18"/>
          <w:szCs w:val="18"/>
        </w:rPr>
        <w:t xml:space="preserve">  ·  561-475-3505</w:t>
      </w:r>
    </w:p>
    <w:p>
      <w:pPr>
        <w:pStyle w:val="ListParagraph"/>
        <w:numPr>
          <w:ilvl w:val="0"/>
          <w:numId w:val="1"/>
        </w:numPr>
        <w:spacing w:lineRule="exact" w:line="264" w:before="0" w:after="70"/>
        <w:rPr/>
      </w:pPr>
      <w:r>
        <w:rPr>
          <w:rFonts w:eastAsia="Calibri" w:cs="Calibri"/>
          <w:b/>
          <w:bCs/>
          <w:i w:val="false"/>
          <w:iCs w:val="false"/>
          <w:color w:val="1A1A1A"/>
          <w:sz w:val="19"/>
          <w:szCs w:val="19"/>
        </w:rPr>
        <w:t>Daylight Recovery Center</w:t>
      </w:r>
      <w:r>
        <w:rPr>
          <w:rFonts w:eastAsia="Calibri" w:cs="Calibri"/>
          <w:b w:val="false"/>
          <w:bCs w:val="false"/>
          <w:i w:val="false"/>
          <w:iCs w:val="false"/>
          <w:color w:val="555555"/>
          <w:sz w:val="18"/>
          <w:szCs w:val="18"/>
        </w:rPr>
        <w:t xml:space="preserve">  —  2521 Metrocentre Blvd, West Palm Beach, FL 33407</w:t>
      </w:r>
      <w:r>
        <w:rPr>
          <w:rFonts w:eastAsia="Calibri" w:cs="Calibri"/>
          <w:b w:val="false"/>
          <w:bCs w:val="false"/>
          <w:i w:val="false"/>
          <w:iCs w:val="false"/>
          <w:color w:val="3E5871"/>
          <w:sz w:val="18"/>
          <w:szCs w:val="18"/>
        </w:rPr>
        <w:t xml:space="preserve">  ·  888-859-0533</w:t>
      </w:r>
    </w:p>
    <w:p>
      <w:pPr>
        <w:pStyle w:val="ListParagraph"/>
        <w:numPr>
          <w:ilvl w:val="0"/>
          <w:numId w:val="1"/>
        </w:numPr>
        <w:spacing w:lineRule="exact" w:line="264" w:before="0" w:after="70"/>
        <w:rPr/>
      </w:pPr>
      <w:r>
        <w:rPr>
          <w:rFonts w:eastAsia="Calibri" w:cs="Calibri"/>
          <w:b/>
          <w:bCs/>
          <w:i w:val="false"/>
          <w:iCs w:val="false"/>
          <w:color w:val="1A1A1A"/>
          <w:sz w:val="19"/>
          <w:szCs w:val="19"/>
        </w:rPr>
        <w:t>HEAL Behavioral Health</w:t>
      </w:r>
      <w:r>
        <w:rPr>
          <w:rFonts w:eastAsia="Calibri" w:cs="Calibri"/>
          <w:b w:val="false"/>
          <w:bCs w:val="false"/>
          <w:i w:val="false"/>
          <w:iCs w:val="false"/>
          <w:color w:val="555555"/>
          <w:sz w:val="18"/>
          <w:szCs w:val="18"/>
        </w:rPr>
        <w:t xml:space="preserve">  —  105 S Narcissus Ave Ste 309, West Palm Beach, FL 33401</w:t>
      </w:r>
      <w:r>
        <w:rPr>
          <w:rFonts w:eastAsia="Calibri" w:cs="Calibri"/>
          <w:b w:val="false"/>
          <w:bCs w:val="false"/>
          <w:i w:val="false"/>
          <w:iCs w:val="false"/>
          <w:color w:val="3E5871"/>
          <w:sz w:val="18"/>
          <w:szCs w:val="18"/>
        </w:rPr>
        <w:t xml:space="preserve">  ·  561-781-5915</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(SMMC plan / Managing Entity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(SMMC plan, Managing Entity,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Florida behavioral health providers, not legal advice. Contacts, programs, and phone numbers change — verify each before you rely on it, and confirm the Anti-Kickback Statute, EKRA, and Florida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Florida Edition  —  PolicyReady.org  —  Page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Florida Edition  —  PolicyReady.org  —  Page </w:t>
    </w:r>
    <w:r>
      <w:rPr/>
      <w:fldChar w:fldCharType="begin"/>
    </w:r>
    <w:r>
      <w:rPr/>
      <w:instrText xml:space="preserve"> PAGE </w:instrText>
    </w:r>
    <w:r>
      <w:rPr/>
      <w:fldChar w:fldCharType="separate"/>
    </w:r>
    <w:r>
      <w:rPr/>
      <w:t>18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2026-07-16T11:57:12Z</dcterms:created>
  <dc:creator>PolicyReady.org</dc:creator>
  <dc:description/>
  <dc:language>en-US</dc:language>
  <cp:lastModifiedBy>Un-named</cp:lastModifiedBy>
  <dcterms:modified xsi:type="dcterms:W3CDTF">2026-07-16T11:57:12Z</dcterms:modified>
  <cp:revision>1</cp:revision>
  <dc:subject/>
  <dc:title>The Substance Use Referral System — Florida Edition</dc:title>
</cp:coreProperties>
</file>